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eastAsia="仿宋_GB2312"/>
          <w:snapToGrid w:val="0"/>
          <w:kern w:val="0"/>
          <w:sz w:val="52"/>
          <w:szCs w:val="52"/>
        </w:rPr>
      </w:pPr>
    </w:p>
    <w:p>
      <w:pPr>
        <w:spacing w:line="480" w:lineRule="auto"/>
        <w:ind w:firstLine="0" w:firstLineChars="0"/>
        <w:jc w:val="center"/>
        <w:rPr>
          <w:rFonts w:ascii="华文新魏" w:hAnsi="华文楷体" w:eastAsia="华文新魏"/>
          <w:sz w:val="52"/>
          <w:szCs w:val="52"/>
        </w:rPr>
      </w:pPr>
    </w:p>
    <w:p>
      <w:pPr>
        <w:spacing w:line="480" w:lineRule="auto"/>
        <w:ind w:firstLine="0" w:firstLineChars="0"/>
        <w:jc w:val="center"/>
        <w:rPr>
          <w:rFonts w:ascii="华文新魏" w:hAnsi="华文楷体" w:eastAsia="华文新魏"/>
          <w:sz w:val="52"/>
          <w:szCs w:val="52"/>
        </w:rPr>
      </w:pPr>
      <w:r>
        <w:rPr>
          <w:rFonts w:ascii="华文新魏" w:hAnsi="华文楷体" w:eastAsia="华文新魏"/>
          <w:sz w:val="56"/>
          <w:szCs w:val="52"/>
        </w:rPr>
        <w:t>峨边彝族自治县矿产资源</w:t>
      </w:r>
      <w:bookmarkStart w:id="0" w:name="_Toc59415651"/>
      <w:r>
        <w:rPr>
          <w:rFonts w:ascii="华文新魏" w:hAnsi="华文楷体" w:eastAsia="华文新魏"/>
          <w:sz w:val="56"/>
          <w:szCs w:val="52"/>
        </w:rPr>
        <w:t>总体规划</w:t>
      </w:r>
      <w:bookmarkEnd w:id="0"/>
    </w:p>
    <w:p>
      <w:pPr>
        <w:spacing w:line="480" w:lineRule="auto"/>
        <w:ind w:firstLine="0" w:firstLineChars="0"/>
        <w:jc w:val="center"/>
        <w:rPr>
          <w:rFonts w:eastAsia="仿宋_GB2312"/>
          <w:b/>
          <w:snapToGrid w:val="0"/>
          <w:kern w:val="0"/>
          <w:sz w:val="44"/>
          <w:szCs w:val="44"/>
        </w:rPr>
      </w:pPr>
      <w:r>
        <w:rPr>
          <w:rFonts w:ascii="华文新魏" w:hAnsi="华文楷体" w:eastAsia="华文新魏"/>
          <w:sz w:val="48"/>
          <w:szCs w:val="48"/>
        </w:rPr>
        <w:t>（2021 -2025年）</w:t>
      </w:r>
    </w:p>
    <w:p>
      <w:pPr>
        <w:spacing w:line="480" w:lineRule="auto"/>
        <w:ind w:firstLine="0" w:firstLineChars="0"/>
        <w:jc w:val="center"/>
        <w:rPr>
          <w:rFonts w:ascii="华文新魏" w:hAnsi="华文楷体" w:eastAsia="华文新魏"/>
          <w:sz w:val="52"/>
          <w:szCs w:val="52"/>
        </w:rPr>
      </w:pPr>
    </w:p>
    <w:p>
      <w:pPr>
        <w:ind w:firstLine="199" w:firstLineChars="45"/>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883"/>
        <w:jc w:val="center"/>
        <w:rPr>
          <w:rFonts w:eastAsia="仿宋_GB2312"/>
          <w:b/>
          <w:snapToGrid w:val="0"/>
          <w:kern w:val="0"/>
          <w:sz w:val="44"/>
          <w:szCs w:val="44"/>
        </w:rPr>
      </w:pPr>
    </w:p>
    <w:p>
      <w:pPr>
        <w:ind w:firstLine="720"/>
        <w:jc w:val="center"/>
        <w:rPr>
          <w:rFonts w:ascii="华文新魏" w:hAnsi="黑体" w:eastAsia="华文新魏"/>
          <w:sz w:val="36"/>
          <w:szCs w:val="36"/>
        </w:rPr>
      </w:pPr>
      <w:r>
        <w:rPr>
          <w:rFonts w:hint="eastAsia" w:ascii="华文新魏" w:hAnsi="黑体" w:eastAsia="华文新魏"/>
          <w:sz w:val="36"/>
          <w:szCs w:val="36"/>
        </w:rPr>
        <w:t>峨边彝族自治县人民政府</w:t>
      </w:r>
    </w:p>
    <w:p>
      <w:pPr>
        <w:ind w:firstLine="720"/>
        <w:jc w:val="center"/>
        <w:rPr>
          <w:rFonts w:ascii="华文新魏" w:eastAsia="华文新魏"/>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700" w:bottom="1440" w:left="1800" w:header="851" w:footer="992" w:gutter="0"/>
          <w:cols w:space="425" w:num="1"/>
          <w:docGrid w:type="lines" w:linePitch="312" w:charSpace="0"/>
        </w:sectPr>
      </w:pPr>
      <w:r>
        <w:rPr>
          <w:rFonts w:hint="eastAsia" w:ascii="华文新魏" w:hAnsi="黑体" w:eastAsia="华文新魏"/>
          <w:sz w:val="36"/>
          <w:szCs w:val="36"/>
        </w:rPr>
        <w:t>二</w:t>
      </w:r>
      <w:r>
        <w:rPr>
          <w:rFonts w:hint="eastAsia" w:ascii="华文新魏" w:hAnsi="黑体" w:eastAsia="黑体"/>
          <w:sz w:val="36"/>
          <w:szCs w:val="36"/>
        </w:rPr>
        <w:t>〇</w:t>
      </w:r>
      <w:r>
        <w:rPr>
          <w:rFonts w:hint="eastAsia" w:ascii="华文新魏" w:hAnsi="黑体" w:eastAsia="华文新魏"/>
          <w:sz w:val="36"/>
          <w:szCs w:val="36"/>
        </w:rPr>
        <w:t>二二年</w:t>
      </w:r>
      <w:r>
        <w:rPr>
          <w:rFonts w:hint="eastAsia" w:ascii="华文新魏" w:hAnsi="黑体" w:eastAsia="华文新魏"/>
          <w:sz w:val="36"/>
          <w:szCs w:val="36"/>
          <w:lang w:val="en-US" w:eastAsia="zh-CN"/>
        </w:rPr>
        <w:t>九</w:t>
      </w:r>
      <w:bookmarkStart w:id="80" w:name="_GoBack"/>
      <w:bookmarkEnd w:id="80"/>
      <w:r>
        <w:rPr>
          <w:rFonts w:hint="eastAsia" w:ascii="华文新魏" w:hAnsi="黑体" w:eastAsia="华文新魏"/>
          <w:sz w:val="36"/>
          <w:szCs w:val="36"/>
        </w:rPr>
        <w:t>月</w:t>
      </w:r>
    </w:p>
    <w:p>
      <w:pPr>
        <w:spacing w:afterLines="50"/>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峨边彝族自治县矿产资源总体规划</w:t>
      </w:r>
    </w:p>
    <w:p>
      <w:pPr>
        <w:spacing w:afterLines="50"/>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(2021-2025年)</w:t>
      </w:r>
    </w:p>
    <w:p>
      <w:pPr>
        <w:spacing w:afterLines="50"/>
        <w:ind w:left="1765" w:leftChars="200" w:hanging="1285" w:hangingChars="400"/>
        <w:jc w:val="center"/>
        <w:rPr>
          <w:rFonts w:eastAsia="仿宋_GB2312"/>
          <w:b/>
          <w:color w:val="000000" w:themeColor="text1"/>
          <w:sz w:val="32"/>
          <w:szCs w:val="28"/>
        </w:rPr>
      </w:pPr>
      <w:r>
        <w:rPr>
          <w:rFonts w:eastAsia="仿宋_GB2312"/>
          <w:b/>
          <w:color w:val="000000" w:themeColor="text1"/>
          <w:sz w:val="32"/>
          <w:szCs w:val="28"/>
        </w:rPr>
        <w:t>编制</w:t>
      </w:r>
      <w:bookmarkStart w:id="1" w:name="_Hlk69974781"/>
      <w:r>
        <w:rPr>
          <w:rFonts w:eastAsia="仿宋_GB2312"/>
          <w:b/>
          <w:color w:val="000000" w:themeColor="text1"/>
          <w:sz w:val="32"/>
          <w:szCs w:val="28"/>
        </w:rPr>
        <w:t>工作领导小组</w:t>
      </w:r>
      <w:bookmarkEnd w:id="1"/>
      <w:r>
        <w:rPr>
          <w:rFonts w:eastAsia="仿宋_GB2312"/>
          <w:b/>
          <w:color w:val="000000" w:themeColor="text1"/>
          <w:sz w:val="32"/>
          <w:szCs w:val="28"/>
        </w:rPr>
        <w:t>成员名单</w:t>
      </w:r>
    </w:p>
    <w:p>
      <w:pPr>
        <w:snapToGrid w:val="0"/>
        <w:ind w:left="720" w:leftChars="300" w:firstLine="0" w:firstLineChars="0"/>
        <w:contextualSpacing/>
        <w:rPr>
          <w:rFonts w:eastAsia="仿宋_GB2312"/>
          <w:sz w:val="28"/>
          <w:szCs w:val="28"/>
        </w:rPr>
      </w:pPr>
      <w:r>
        <w:rPr>
          <w:rFonts w:eastAsia="仿宋_GB2312"/>
          <w:b/>
          <w:sz w:val="28"/>
          <w:szCs w:val="28"/>
        </w:rPr>
        <w:t>组  长：</w:t>
      </w:r>
      <w:r>
        <w:rPr>
          <w:rFonts w:eastAsia="仿宋_GB2312"/>
          <w:spacing w:val="70"/>
          <w:kern w:val="0"/>
          <w:sz w:val="28"/>
          <w:szCs w:val="28"/>
          <w:fitText w:val="1120" w:id="-1483394048"/>
        </w:rPr>
        <w:t>龙克</w:t>
      </w:r>
      <w:r>
        <w:rPr>
          <w:rFonts w:eastAsia="仿宋_GB2312"/>
          <w:spacing w:val="0"/>
          <w:kern w:val="0"/>
          <w:sz w:val="28"/>
          <w:szCs w:val="28"/>
          <w:fitText w:val="1120" w:id="-1483394048"/>
        </w:rPr>
        <w:t>强</w:t>
      </w:r>
      <w:r>
        <w:rPr>
          <w:rFonts w:eastAsia="仿宋_GB2312"/>
          <w:sz w:val="28"/>
          <w:szCs w:val="28"/>
        </w:rPr>
        <w:t xml:space="preserve">  </w:t>
      </w:r>
      <w:r>
        <w:rPr>
          <w:rFonts w:eastAsia="仿宋_GB2312"/>
          <w:kern w:val="0"/>
          <w:sz w:val="28"/>
          <w:szCs w:val="28"/>
        </w:rPr>
        <w:t>(县人民政府常务副县长)</w:t>
      </w:r>
    </w:p>
    <w:p>
      <w:pPr>
        <w:snapToGrid w:val="0"/>
        <w:ind w:firstLine="1841" w:firstLineChars="495"/>
        <w:contextualSpacing/>
        <w:rPr>
          <w:rFonts w:eastAsia="仿宋_GB2312"/>
          <w:sz w:val="28"/>
          <w:szCs w:val="28"/>
        </w:rPr>
      </w:pPr>
      <w:r>
        <w:rPr>
          <w:rFonts w:eastAsia="仿宋_GB2312"/>
          <w:spacing w:val="46"/>
          <w:kern w:val="0"/>
          <w:sz w:val="28"/>
          <w:szCs w:val="28"/>
          <w:fitText w:val="1120" w:id="-1483394047"/>
        </w:rPr>
        <w:t xml:space="preserve">颜  </w:t>
      </w:r>
      <w:r>
        <w:rPr>
          <w:rFonts w:eastAsia="仿宋_GB2312"/>
          <w:spacing w:val="2"/>
          <w:kern w:val="0"/>
          <w:sz w:val="28"/>
          <w:szCs w:val="28"/>
          <w:fitText w:val="1120" w:id="-1483394047"/>
        </w:rPr>
        <w:t>磊</w:t>
      </w:r>
      <w:r>
        <w:rPr>
          <w:rFonts w:eastAsia="仿宋_GB2312"/>
          <w:sz w:val="28"/>
          <w:szCs w:val="28"/>
        </w:rPr>
        <w:t xml:space="preserve">  </w:t>
      </w:r>
      <w:r>
        <w:rPr>
          <w:rFonts w:eastAsia="仿宋_GB2312"/>
          <w:kern w:val="0"/>
          <w:sz w:val="28"/>
          <w:szCs w:val="28"/>
        </w:rPr>
        <w:t>(县人民政府副县长)</w:t>
      </w:r>
    </w:p>
    <w:p>
      <w:pPr>
        <w:snapToGrid w:val="0"/>
        <w:ind w:left="720" w:leftChars="300" w:firstLine="0" w:firstLineChars="0"/>
        <w:contextualSpacing/>
        <w:rPr>
          <w:rFonts w:eastAsia="仿宋_GB2312"/>
          <w:sz w:val="28"/>
          <w:szCs w:val="28"/>
        </w:rPr>
      </w:pPr>
      <w:r>
        <w:rPr>
          <w:rFonts w:eastAsia="仿宋_GB2312"/>
          <w:b/>
          <w:sz w:val="28"/>
          <w:szCs w:val="28"/>
        </w:rPr>
        <w:t>副组长：</w:t>
      </w:r>
      <w:r>
        <w:rPr>
          <w:rFonts w:eastAsia="仿宋_GB2312"/>
          <w:spacing w:val="46"/>
          <w:kern w:val="0"/>
          <w:sz w:val="28"/>
          <w:szCs w:val="28"/>
          <w:fitText w:val="1120" w:id="-1483393792"/>
        </w:rPr>
        <w:t xml:space="preserve">李  </w:t>
      </w:r>
      <w:r>
        <w:rPr>
          <w:rFonts w:eastAsia="仿宋_GB2312"/>
          <w:spacing w:val="2"/>
          <w:kern w:val="0"/>
          <w:sz w:val="28"/>
          <w:szCs w:val="28"/>
          <w:fitText w:val="1120" w:id="-1483393792"/>
        </w:rPr>
        <w:t>晟</w:t>
      </w:r>
      <w:r>
        <w:rPr>
          <w:rFonts w:eastAsia="仿宋_GB2312"/>
          <w:sz w:val="28"/>
          <w:szCs w:val="28"/>
        </w:rPr>
        <w:t xml:space="preserve">  </w:t>
      </w:r>
      <w:r>
        <w:rPr>
          <w:rFonts w:eastAsia="仿宋_GB2312"/>
          <w:kern w:val="0"/>
          <w:sz w:val="28"/>
          <w:szCs w:val="28"/>
        </w:rPr>
        <w:t>（县自然资源局局长）</w:t>
      </w:r>
    </w:p>
    <w:p>
      <w:pPr>
        <w:snapToGrid w:val="0"/>
        <w:ind w:left="1440" w:leftChars="600" w:firstLine="280" w:firstLineChars="100"/>
        <w:contextualSpacing/>
        <w:rPr>
          <w:rFonts w:eastAsia="仿宋_GB2312"/>
          <w:sz w:val="28"/>
          <w:szCs w:val="28"/>
        </w:rPr>
      </w:pPr>
      <w:r>
        <w:rPr>
          <w:rFonts w:eastAsia="仿宋_GB2312"/>
          <w:sz w:val="28"/>
          <w:szCs w:val="28"/>
        </w:rPr>
        <w:t xml:space="preserve"> </w:t>
      </w:r>
      <w:r>
        <w:rPr>
          <w:rFonts w:eastAsia="仿宋_GB2312"/>
          <w:spacing w:val="70"/>
          <w:kern w:val="0"/>
          <w:sz w:val="28"/>
          <w:szCs w:val="28"/>
          <w:fitText w:val="1120" w:id="-1483393791"/>
        </w:rPr>
        <w:t>马文</w:t>
      </w:r>
      <w:r>
        <w:rPr>
          <w:rFonts w:eastAsia="仿宋_GB2312"/>
          <w:spacing w:val="0"/>
          <w:kern w:val="0"/>
          <w:sz w:val="28"/>
          <w:szCs w:val="28"/>
          <w:fitText w:val="1120" w:id="-1483393791"/>
        </w:rPr>
        <w:t>富</w:t>
      </w:r>
      <w:r>
        <w:rPr>
          <w:rFonts w:eastAsia="仿宋_GB2312"/>
          <w:sz w:val="28"/>
          <w:szCs w:val="28"/>
        </w:rPr>
        <w:t xml:space="preserve">  </w:t>
      </w:r>
      <w:r>
        <w:rPr>
          <w:rFonts w:eastAsia="仿宋_GB2312"/>
          <w:kern w:val="0"/>
          <w:sz w:val="28"/>
          <w:szCs w:val="28"/>
        </w:rPr>
        <w:t>（县人民政府办公室主任）</w:t>
      </w:r>
    </w:p>
    <w:p>
      <w:pPr>
        <w:snapToGrid w:val="0"/>
        <w:ind w:left="1563" w:leftChars="300" w:hanging="843" w:hangingChars="300"/>
        <w:contextualSpacing/>
        <w:rPr>
          <w:rFonts w:eastAsia="仿宋_GB2312"/>
          <w:sz w:val="28"/>
          <w:szCs w:val="28"/>
        </w:rPr>
      </w:pPr>
      <w:r>
        <w:rPr>
          <w:rFonts w:eastAsia="仿宋_GB2312"/>
          <w:b/>
          <w:sz w:val="28"/>
          <w:szCs w:val="28"/>
        </w:rPr>
        <w:t>成  员：</w:t>
      </w:r>
      <w:r>
        <w:rPr>
          <w:rFonts w:eastAsia="仿宋_GB2312"/>
          <w:spacing w:val="70"/>
          <w:kern w:val="0"/>
          <w:sz w:val="28"/>
          <w:szCs w:val="28"/>
          <w:fitText w:val="1120" w:id="-1483393791"/>
        </w:rPr>
        <w:t>查述</w:t>
      </w:r>
      <w:r>
        <w:rPr>
          <w:rFonts w:eastAsia="仿宋_GB2312"/>
          <w:spacing w:val="0"/>
          <w:kern w:val="0"/>
          <w:sz w:val="28"/>
          <w:szCs w:val="28"/>
          <w:fitText w:val="1120" w:id="-1483393791"/>
        </w:rPr>
        <w:t>明</w:t>
      </w:r>
      <w:r>
        <w:rPr>
          <w:rFonts w:eastAsia="仿宋_GB2312"/>
          <w:sz w:val="28"/>
          <w:szCs w:val="28"/>
        </w:rPr>
        <w:t xml:space="preserve">  </w:t>
      </w:r>
      <w:r>
        <w:rPr>
          <w:rFonts w:eastAsia="仿宋_GB2312"/>
          <w:kern w:val="0"/>
          <w:sz w:val="28"/>
          <w:szCs w:val="28"/>
        </w:rPr>
        <w:t>（县财政局副局长）</w:t>
      </w:r>
    </w:p>
    <w:p>
      <w:pPr>
        <w:snapToGrid w:val="0"/>
        <w:ind w:left="1440" w:leftChars="600" w:firstLine="399" w:firstLineChars="95"/>
        <w:contextualSpacing/>
        <w:rPr>
          <w:rFonts w:eastAsia="仿宋_GB2312"/>
          <w:sz w:val="28"/>
          <w:szCs w:val="28"/>
        </w:rPr>
      </w:pPr>
      <w:r>
        <w:rPr>
          <w:rFonts w:eastAsia="仿宋_GB2312"/>
          <w:spacing w:val="70"/>
          <w:kern w:val="0"/>
          <w:sz w:val="28"/>
          <w:szCs w:val="28"/>
          <w:fitText w:val="1120" w:id="-1483393791"/>
        </w:rPr>
        <w:t>杨尚</w:t>
      </w:r>
      <w:r>
        <w:rPr>
          <w:rFonts w:eastAsia="仿宋_GB2312"/>
          <w:spacing w:val="0"/>
          <w:kern w:val="0"/>
          <w:sz w:val="28"/>
          <w:szCs w:val="28"/>
          <w:fitText w:val="1120" w:id="-1483393791"/>
        </w:rPr>
        <w:t>军</w:t>
      </w:r>
      <w:r>
        <w:rPr>
          <w:rFonts w:eastAsia="仿宋_GB2312"/>
          <w:sz w:val="28"/>
          <w:szCs w:val="28"/>
        </w:rPr>
        <w:t xml:space="preserve">  </w:t>
      </w:r>
      <w:r>
        <w:rPr>
          <w:rFonts w:eastAsia="仿宋_GB2312"/>
          <w:kern w:val="0"/>
          <w:sz w:val="28"/>
          <w:szCs w:val="28"/>
        </w:rPr>
        <w:t>（县发展改革局局长）</w:t>
      </w:r>
    </w:p>
    <w:p>
      <w:pPr>
        <w:snapToGrid w:val="0"/>
        <w:ind w:left="1440" w:leftChars="600" w:firstLine="399" w:firstLineChars="95"/>
        <w:contextualSpacing/>
        <w:rPr>
          <w:rFonts w:eastAsia="仿宋_GB2312"/>
          <w:sz w:val="28"/>
          <w:szCs w:val="28"/>
        </w:rPr>
      </w:pPr>
      <w:r>
        <w:rPr>
          <w:rFonts w:eastAsia="仿宋_GB2312"/>
          <w:spacing w:val="70"/>
          <w:kern w:val="0"/>
          <w:sz w:val="28"/>
          <w:szCs w:val="28"/>
          <w:fitText w:val="1120" w:id="-1483393791"/>
        </w:rPr>
        <w:t>张方</w:t>
      </w:r>
      <w:r>
        <w:rPr>
          <w:rFonts w:eastAsia="仿宋_GB2312"/>
          <w:spacing w:val="0"/>
          <w:kern w:val="0"/>
          <w:sz w:val="28"/>
          <w:szCs w:val="28"/>
          <w:fitText w:val="1120" w:id="-1483393791"/>
        </w:rPr>
        <w:t>正</w:t>
      </w:r>
      <w:r>
        <w:rPr>
          <w:rFonts w:eastAsia="仿宋_GB2312"/>
          <w:sz w:val="28"/>
          <w:szCs w:val="28"/>
        </w:rPr>
        <w:t xml:space="preserve">  </w:t>
      </w:r>
      <w:r>
        <w:rPr>
          <w:rFonts w:eastAsia="仿宋_GB2312"/>
          <w:kern w:val="0"/>
          <w:sz w:val="28"/>
          <w:szCs w:val="28"/>
        </w:rPr>
        <w:t>（县水务局局长）</w:t>
      </w:r>
    </w:p>
    <w:p>
      <w:pPr>
        <w:snapToGrid w:val="0"/>
        <w:ind w:left="1440" w:leftChars="600" w:firstLine="400" w:firstLineChars="143"/>
        <w:contextualSpacing/>
        <w:rPr>
          <w:rFonts w:eastAsia="仿宋_GB2312"/>
          <w:sz w:val="28"/>
          <w:szCs w:val="28"/>
        </w:rPr>
      </w:pPr>
      <w:r>
        <w:rPr>
          <w:rFonts w:eastAsia="仿宋_GB2312"/>
          <w:spacing w:val="0"/>
          <w:w w:val="100"/>
          <w:kern w:val="0"/>
          <w:sz w:val="28"/>
          <w:szCs w:val="28"/>
          <w:fitText w:val="1120" w:id="-1483393791"/>
        </w:rPr>
        <w:t>老布拉罗</w:t>
      </w:r>
      <w:r>
        <w:rPr>
          <w:rFonts w:eastAsia="仿宋_GB2312"/>
          <w:sz w:val="28"/>
          <w:szCs w:val="28"/>
        </w:rPr>
        <w:t xml:space="preserve">  </w:t>
      </w:r>
      <w:r>
        <w:rPr>
          <w:rFonts w:eastAsia="仿宋_GB2312"/>
          <w:kern w:val="0"/>
          <w:sz w:val="28"/>
          <w:szCs w:val="28"/>
        </w:rPr>
        <w:t>（县林业局局长）</w:t>
      </w:r>
    </w:p>
    <w:p>
      <w:pPr>
        <w:snapToGrid w:val="0"/>
        <w:ind w:left="1440" w:leftChars="600" w:right="-341" w:rightChars="-142" w:firstLine="400" w:firstLineChars="143"/>
        <w:contextualSpacing/>
        <w:rPr>
          <w:rFonts w:eastAsia="仿宋_GB2312"/>
          <w:sz w:val="28"/>
          <w:szCs w:val="28"/>
        </w:rPr>
      </w:pPr>
      <w:r>
        <w:rPr>
          <w:rFonts w:eastAsia="仿宋_GB2312"/>
          <w:spacing w:val="0"/>
          <w:w w:val="100"/>
          <w:kern w:val="0"/>
          <w:sz w:val="28"/>
          <w:szCs w:val="28"/>
          <w:fitText w:val="1120" w:id="-1483393791"/>
        </w:rPr>
        <w:t>介来阿提</w:t>
      </w:r>
      <w:r>
        <w:rPr>
          <w:rFonts w:eastAsia="仿宋_GB2312"/>
          <w:sz w:val="28"/>
          <w:szCs w:val="28"/>
        </w:rPr>
        <w:t xml:space="preserve">  </w:t>
      </w:r>
      <w:r>
        <w:rPr>
          <w:rFonts w:eastAsia="仿宋_GB2312"/>
          <w:kern w:val="0"/>
          <w:sz w:val="28"/>
          <w:szCs w:val="28"/>
        </w:rPr>
        <w:t>（县应急管理局局长）</w:t>
      </w:r>
    </w:p>
    <w:p>
      <w:pPr>
        <w:snapToGrid w:val="0"/>
        <w:ind w:left="1440" w:leftChars="600" w:firstLine="401" w:firstLineChars="82"/>
        <w:contextualSpacing/>
        <w:jc w:val="left"/>
        <w:rPr>
          <w:rFonts w:eastAsia="仿宋_GB2312"/>
          <w:sz w:val="28"/>
          <w:szCs w:val="28"/>
        </w:rPr>
      </w:pPr>
      <w:r>
        <w:rPr>
          <w:rFonts w:eastAsia="仿宋_GB2312"/>
          <w:spacing w:val="105"/>
          <w:kern w:val="0"/>
          <w:sz w:val="28"/>
          <w:szCs w:val="28"/>
          <w:fitText w:val="1120" w:id="-1483393280"/>
        </w:rPr>
        <w:t xml:space="preserve">段 </w:t>
      </w:r>
      <w:r>
        <w:rPr>
          <w:rFonts w:eastAsia="仿宋_GB2312"/>
          <w:spacing w:val="0"/>
          <w:kern w:val="0"/>
          <w:sz w:val="28"/>
          <w:szCs w:val="28"/>
          <w:fitText w:val="1120" w:id="-1483393280"/>
        </w:rPr>
        <w:t>孟</w:t>
      </w:r>
      <w:r>
        <w:rPr>
          <w:rFonts w:eastAsia="仿宋_GB2312"/>
          <w:sz w:val="28"/>
          <w:szCs w:val="28"/>
        </w:rPr>
        <w:t xml:space="preserve">  </w:t>
      </w:r>
      <w:r>
        <w:rPr>
          <w:rFonts w:eastAsia="仿宋_GB2312"/>
          <w:kern w:val="0"/>
          <w:sz w:val="28"/>
          <w:szCs w:val="28"/>
        </w:rPr>
        <w:t>（</w:t>
      </w:r>
      <w:r>
        <w:rPr>
          <w:rFonts w:hint="eastAsia" w:eastAsia="仿宋_GB2312"/>
          <w:kern w:val="0"/>
          <w:sz w:val="28"/>
          <w:szCs w:val="28"/>
        </w:rPr>
        <w:t>峨边生态环境</w:t>
      </w:r>
      <w:r>
        <w:rPr>
          <w:rFonts w:eastAsia="仿宋_GB2312"/>
          <w:kern w:val="0"/>
          <w:sz w:val="28"/>
          <w:szCs w:val="28"/>
        </w:rPr>
        <w:t>局局长）</w:t>
      </w:r>
    </w:p>
    <w:p>
      <w:pPr>
        <w:snapToGrid w:val="0"/>
        <w:ind w:left="1440" w:leftChars="600" w:firstLine="401" w:firstLineChars="82"/>
        <w:contextualSpacing/>
        <w:jc w:val="left"/>
        <w:rPr>
          <w:rFonts w:eastAsia="仿宋_GB2312"/>
          <w:spacing w:val="105"/>
          <w:kern w:val="0"/>
          <w:sz w:val="28"/>
          <w:szCs w:val="28"/>
        </w:rPr>
      </w:pPr>
      <w:r>
        <w:rPr>
          <w:rFonts w:eastAsia="仿宋_GB2312"/>
          <w:spacing w:val="105"/>
          <w:kern w:val="0"/>
          <w:sz w:val="28"/>
          <w:szCs w:val="28"/>
          <w:fitText w:val="1120" w:id="-1483393279"/>
        </w:rPr>
        <w:t xml:space="preserve">方 </w:t>
      </w:r>
      <w:r>
        <w:rPr>
          <w:rFonts w:eastAsia="仿宋_GB2312"/>
          <w:spacing w:val="0"/>
          <w:kern w:val="0"/>
          <w:sz w:val="28"/>
          <w:szCs w:val="28"/>
          <w:fitText w:val="1120" w:id="-1483393279"/>
        </w:rPr>
        <w:t>勇</w:t>
      </w:r>
      <w:r>
        <w:rPr>
          <w:rFonts w:eastAsia="仿宋_GB2312"/>
          <w:kern w:val="0"/>
          <w:sz w:val="28"/>
          <w:szCs w:val="28"/>
        </w:rPr>
        <w:t xml:space="preserve">  （县住房和城乡规划建设局局长）</w:t>
      </w:r>
    </w:p>
    <w:p>
      <w:pPr>
        <w:snapToGrid w:val="0"/>
        <w:ind w:left="720" w:leftChars="300" w:firstLine="1121" w:firstLineChars="267"/>
        <w:contextualSpacing/>
        <w:jc w:val="left"/>
        <w:rPr>
          <w:rFonts w:eastAsia="仿宋_GB2312"/>
          <w:spacing w:val="105"/>
          <w:kern w:val="0"/>
          <w:sz w:val="28"/>
          <w:szCs w:val="28"/>
        </w:rPr>
      </w:pPr>
      <w:r>
        <w:rPr>
          <w:rFonts w:eastAsia="仿宋_GB2312"/>
          <w:spacing w:val="70"/>
          <w:kern w:val="0"/>
          <w:sz w:val="28"/>
          <w:szCs w:val="28"/>
          <w:fitText w:val="1120" w:id="-1483390464"/>
        </w:rPr>
        <w:t>戴旭</w:t>
      </w:r>
      <w:r>
        <w:rPr>
          <w:rFonts w:eastAsia="仿宋_GB2312"/>
          <w:spacing w:val="0"/>
          <w:kern w:val="0"/>
          <w:sz w:val="28"/>
          <w:szCs w:val="28"/>
          <w:fitText w:val="1120" w:id="-1483390464"/>
        </w:rPr>
        <w:t>东</w:t>
      </w:r>
      <w:r>
        <w:rPr>
          <w:rFonts w:eastAsia="仿宋_GB2312"/>
          <w:kern w:val="0"/>
          <w:sz w:val="28"/>
          <w:szCs w:val="28"/>
        </w:rPr>
        <w:t xml:space="preserve">  （县交通运输局副局长）</w:t>
      </w:r>
    </w:p>
    <w:p>
      <w:pPr>
        <w:snapToGrid w:val="0"/>
        <w:ind w:left="1440" w:leftChars="600" w:firstLine="373" w:firstLineChars="89"/>
        <w:contextualSpacing/>
        <w:jc w:val="left"/>
        <w:rPr>
          <w:rFonts w:eastAsia="仿宋_GB2312"/>
          <w:spacing w:val="105"/>
          <w:kern w:val="0"/>
          <w:sz w:val="28"/>
          <w:szCs w:val="28"/>
        </w:rPr>
      </w:pPr>
      <w:r>
        <w:rPr>
          <w:rFonts w:eastAsia="仿宋_GB2312"/>
          <w:spacing w:val="70"/>
          <w:kern w:val="0"/>
          <w:sz w:val="28"/>
          <w:szCs w:val="28"/>
          <w:fitText w:val="1120" w:id="-1483393023"/>
        </w:rPr>
        <w:t>林晓</w:t>
      </w:r>
      <w:r>
        <w:rPr>
          <w:rFonts w:eastAsia="仿宋_GB2312"/>
          <w:spacing w:val="0"/>
          <w:kern w:val="0"/>
          <w:sz w:val="28"/>
          <w:szCs w:val="28"/>
          <w:fitText w:val="1120" w:id="-1483393023"/>
        </w:rPr>
        <w:t>鸿</w:t>
      </w:r>
      <w:r>
        <w:rPr>
          <w:rFonts w:eastAsia="仿宋_GB2312"/>
          <w:kern w:val="0"/>
          <w:sz w:val="28"/>
          <w:szCs w:val="28"/>
        </w:rPr>
        <w:t xml:space="preserve">  （四川省川南林业局局长）</w:t>
      </w:r>
    </w:p>
    <w:p>
      <w:pPr>
        <w:snapToGrid w:val="0"/>
        <w:ind w:left="1440" w:leftChars="600" w:firstLine="373" w:firstLineChars="89"/>
        <w:contextualSpacing/>
        <w:jc w:val="left"/>
        <w:rPr>
          <w:rFonts w:eastAsia="仿宋_GB2312"/>
          <w:spacing w:val="105"/>
          <w:kern w:val="0"/>
          <w:sz w:val="28"/>
          <w:szCs w:val="28"/>
        </w:rPr>
      </w:pPr>
      <w:r>
        <w:rPr>
          <w:rFonts w:eastAsia="仿宋_GB2312"/>
          <w:spacing w:val="70"/>
          <w:kern w:val="0"/>
          <w:sz w:val="28"/>
          <w:szCs w:val="28"/>
          <w:fitText w:val="1120" w:id="-1483393022"/>
        </w:rPr>
        <w:t>郭明</w:t>
      </w:r>
      <w:r>
        <w:rPr>
          <w:rFonts w:eastAsia="仿宋_GB2312"/>
          <w:spacing w:val="0"/>
          <w:kern w:val="0"/>
          <w:sz w:val="28"/>
          <w:szCs w:val="28"/>
          <w:fitText w:val="1120" w:id="-1483393022"/>
        </w:rPr>
        <w:t>军</w:t>
      </w:r>
      <w:r>
        <w:rPr>
          <w:rFonts w:eastAsia="仿宋_GB2312"/>
          <w:kern w:val="0"/>
          <w:sz w:val="28"/>
          <w:szCs w:val="28"/>
        </w:rPr>
        <w:t xml:space="preserve">   （四川黑竹沟国家级自然保护区管理局局长）</w:t>
      </w:r>
    </w:p>
    <w:p>
      <w:pPr>
        <w:snapToGrid w:val="0"/>
        <w:ind w:left="1440" w:leftChars="600" w:firstLine="401" w:firstLineChars="82"/>
        <w:contextualSpacing/>
        <w:jc w:val="left"/>
        <w:rPr>
          <w:rFonts w:eastAsia="仿宋_GB2312"/>
          <w:spacing w:val="105"/>
          <w:kern w:val="0"/>
          <w:sz w:val="28"/>
          <w:szCs w:val="28"/>
        </w:rPr>
      </w:pPr>
      <w:r>
        <w:rPr>
          <w:rFonts w:eastAsia="仿宋_GB2312"/>
          <w:spacing w:val="105"/>
          <w:kern w:val="0"/>
          <w:sz w:val="28"/>
          <w:szCs w:val="28"/>
          <w:fitText w:val="1120" w:id="-1483393021"/>
        </w:rPr>
        <w:t xml:space="preserve">马 </w:t>
      </w:r>
      <w:r>
        <w:rPr>
          <w:rFonts w:eastAsia="仿宋_GB2312"/>
          <w:spacing w:val="0"/>
          <w:kern w:val="0"/>
          <w:sz w:val="28"/>
          <w:szCs w:val="28"/>
          <w:fitText w:val="1120" w:id="-1483393021"/>
        </w:rPr>
        <w:t>洪</w:t>
      </w:r>
      <w:r>
        <w:rPr>
          <w:rFonts w:eastAsia="仿宋_GB2312"/>
          <w:kern w:val="0"/>
          <w:sz w:val="28"/>
          <w:szCs w:val="28"/>
        </w:rPr>
        <w:t xml:space="preserve">  （县自然资源局总工程师）</w:t>
      </w:r>
    </w:p>
    <w:p>
      <w:pPr>
        <w:snapToGrid w:val="0"/>
        <w:ind w:left="1440" w:leftChars="600" w:firstLine="373" w:firstLineChars="89"/>
        <w:contextualSpacing/>
        <w:jc w:val="left"/>
        <w:rPr>
          <w:rFonts w:eastAsia="仿宋_GB2312"/>
          <w:sz w:val="28"/>
          <w:szCs w:val="28"/>
        </w:rPr>
      </w:pPr>
      <w:r>
        <w:rPr>
          <w:rFonts w:eastAsia="仿宋_GB2312"/>
          <w:spacing w:val="70"/>
          <w:kern w:val="0"/>
          <w:sz w:val="28"/>
          <w:szCs w:val="28"/>
          <w:fitText w:val="1120" w:id="-1483392768"/>
        </w:rPr>
        <w:t>葛均</w:t>
      </w:r>
      <w:r>
        <w:rPr>
          <w:rFonts w:eastAsia="仿宋_GB2312"/>
          <w:spacing w:val="0"/>
          <w:kern w:val="0"/>
          <w:sz w:val="28"/>
          <w:szCs w:val="28"/>
          <w:fitText w:val="1120" w:id="-1483392768"/>
        </w:rPr>
        <w:t>正</w:t>
      </w:r>
      <w:r>
        <w:rPr>
          <w:rFonts w:eastAsia="仿宋_GB2312"/>
          <w:kern w:val="0"/>
          <w:sz w:val="28"/>
          <w:szCs w:val="28"/>
        </w:rPr>
        <w:t xml:space="preserve">  （县自然资源局办公室主任）</w:t>
      </w:r>
    </w:p>
    <w:p>
      <w:pPr>
        <w:snapToGrid w:val="0"/>
        <w:ind w:left="1440" w:leftChars="600" w:firstLine="373" w:firstLineChars="89"/>
        <w:contextualSpacing/>
        <w:jc w:val="left"/>
        <w:rPr>
          <w:rFonts w:eastAsia="仿宋_GB2312"/>
          <w:sz w:val="28"/>
          <w:szCs w:val="28"/>
        </w:rPr>
      </w:pPr>
      <w:r>
        <w:rPr>
          <w:rFonts w:eastAsia="仿宋_GB2312"/>
          <w:spacing w:val="70"/>
          <w:kern w:val="0"/>
          <w:sz w:val="28"/>
          <w:szCs w:val="28"/>
          <w:fitText w:val="1120" w:id="-1483392767"/>
        </w:rPr>
        <w:t>雷晓</w:t>
      </w:r>
      <w:r>
        <w:rPr>
          <w:rFonts w:eastAsia="仿宋_GB2312"/>
          <w:spacing w:val="0"/>
          <w:kern w:val="0"/>
          <w:sz w:val="28"/>
          <w:szCs w:val="28"/>
          <w:fitText w:val="1120" w:id="-1483392767"/>
        </w:rPr>
        <w:t>波</w:t>
      </w:r>
      <w:r>
        <w:rPr>
          <w:rFonts w:eastAsia="仿宋_GB2312"/>
          <w:kern w:val="0"/>
          <w:sz w:val="28"/>
          <w:szCs w:val="28"/>
        </w:rPr>
        <w:t xml:space="preserve">  （县自然资源局生态保护股股长）</w:t>
      </w:r>
    </w:p>
    <w:p>
      <w:pPr>
        <w:snapToGrid w:val="0"/>
        <w:ind w:left="3153" w:leftChars="768" w:hanging="1310" w:hangingChars="312"/>
        <w:contextualSpacing/>
        <w:jc w:val="left"/>
        <w:rPr>
          <w:rFonts w:eastAsia="仿宋_GB2312"/>
          <w:kern w:val="0"/>
          <w:sz w:val="28"/>
          <w:szCs w:val="28"/>
        </w:rPr>
      </w:pPr>
      <w:r>
        <w:rPr>
          <w:rFonts w:eastAsia="仿宋_GB2312"/>
          <w:spacing w:val="70"/>
          <w:kern w:val="0"/>
          <w:sz w:val="28"/>
          <w:szCs w:val="28"/>
          <w:fitText w:val="1120" w:id="-1483392766"/>
        </w:rPr>
        <w:t>李小</w:t>
      </w:r>
      <w:r>
        <w:rPr>
          <w:rFonts w:eastAsia="仿宋_GB2312"/>
          <w:spacing w:val="0"/>
          <w:kern w:val="0"/>
          <w:sz w:val="28"/>
          <w:szCs w:val="28"/>
          <w:fitText w:val="1120" w:id="-1483392766"/>
        </w:rPr>
        <w:t>军</w:t>
      </w:r>
      <w:r>
        <w:rPr>
          <w:rFonts w:eastAsia="仿宋_GB2312"/>
          <w:kern w:val="0"/>
          <w:sz w:val="28"/>
          <w:szCs w:val="28"/>
        </w:rPr>
        <w:t xml:space="preserve">  （县自然资源局地质灾害防治和矿产资源管理股股长）</w:t>
      </w:r>
    </w:p>
    <w:p>
      <w:pPr>
        <w:ind w:left="482" w:firstLine="482"/>
        <w:rPr>
          <w:rFonts w:eastAsia="仿宋_GB2312"/>
          <w:b/>
          <w:color w:val="000000" w:themeColor="text1"/>
        </w:rPr>
        <w:sectPr>
          <w:pgSz w:w="11906" w:h="16838"/>
          <w:pgMar w:top="1440" w:right="1558" w:bottom="1440" w:left="1800" w:header="851" w:footer="992" w:gutter="0"/>
          <w:cols w:space="425" w:num="1"/>
          <w:docGrid w:type="lines" w:linePitch="312" w:charSpace="0"/>
        </w:sectPr>
      </w:pPr>
      <w:r>
        <w:rPr>
          <w:rFonts w:eastAsia="仿宋_GB2312"/>
          <w:b/>
          <w:kern w:val="0"/>
        </w:rPr>
        <w:t>领导小组下设办公室于县自然资源局，由李晟同志兼任办公室主任,马洪同志兼任办公室副主任，具体负责领导小组日常事务</w:t>
      </w:r>
    </w:p>
    <w:p>
      <w:pPr>
        <w:spacing w:line="480" w:lineRule="auto"/>
        <w:ind w:left="1926" w:leftChars="200" w:hanging="1446" w:hangingChars="400"/>
        <w:rPr>
          <w:rFonts w:eastAsia="仿宋_GB2312"/>
          <w:b/>
          <w:color w:val="000000" w:themeColor="text1"/>
          <w:sz w:val="36"/>
          <w:szCs w:val="32"/>
        </w:rPr>
      </w:pPr>
    </w:p>
    <w:p>
      <w:pPr>
        <w:spacing w:line="480" w:lineRule="auto"/>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峨边彝族自治县矿产资源总体规划</w:t>
      </w:r>
    </w:p>
    <w:p>
      <w:pPr>
        <w:spacing w:line="480" w:lineRule="auto"/>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(2021-2025年)</w:t>
      </w:r>
    </w:p>
    <w:p>
      <w:pPr>
        <w:ind w:left="1765" w:leftChars="200" w:hanging="1285" w:hangingChars="400"/>
        <w:jc w:val="center"/>
        <w:rPr>
          <w:rFonts w:eastAsia="仿宋_GB2312"/>
          <w:b/>
          <w:color w:val="000000" w:themeColor="text1"/>
          <w:sz w:val="32"/>
          <w:szCs w:val="28"/>
        </w:rPr>
      </w:pPr>
      <w:r>
        <w:rPr>
          <w:rFonts w:eastAsia="仿宋_GB2312"/>
          <w:b/>
          <w:color w:val="000000" w:themeColor="text1"/>
          <w:sz w:val="32"/>
          <w:szCs w:val="28"/>
        </w:rPr>
        <w:t>编制工作组织实施小组成员名单</w:t>
      </w:r>
    </w:p>
    <w:p>
      <w:pPr>
        <w:ind w:left="1765" w:leftChars="200" w:hanging="1285" w:hangingChars="400"/>
        <w:jc w:val="center"/>
        <w:rPr>
          <w:rFonts w:eastAsia="仿宋_GB2312"/>
          <w:b/>
          <w:color w:val="000000" w:themeColor="text1"/>
          <w:sz w:val="32"/>
          <w:szCs w:val="28"/>
        </w:rPr>
      </w:pPr>
    </w:p>
    <w:tbl>
      <w:tblPr>
        <w:tblStyle w:val="23"/>
        <w:tblW w:w="7231" w:type="dxa"/>
        <w:jc w:val="center"/>
        <w:tblLayout w:type="fixed"/>
        <w:tblCellMar>
          <w:top w:w="0" w:type="dxa"/>
          <w:left w:w="108" w:type="dxa"/>
          <w:bottom w:w="0" w:type="dxa"/>
          <w:right w:w="108" w:type="dxa"/>
        </w:tblCellMar>
      </w:tblPr>
      <w:tblGrid>
        <w:gridCol w:w="1561"/>
        <w:gridCol w:w="1134"/>
        <w:gridCol w:w="1134"/>
        <w:gridCol w:w="1134"/>
        <w:gridCol w:w="1134"/>
        <w:gridCol w:w="1134"/>
      </w:tblGrid>
      <w:tr>
        <w:trPr>
          <w:trHeight w:val="375" w:hRule="atLeast"/>
          <w:jc w:val="center"/>
        </w:trPr>
        <w:tc>
          <w:tcPr>
            <w:tcW w:w="1561" w:type="dxa"/>
            <w:shd w:val="clear" w:color="auto" w:fill="auto"/>
            <w:vAlign w:val="center"/>
          </w:tcPr>
          <w:p>
            <w:pPr>
              <w:ind w:firstLine="0" w:firstLineChars="0"/>
              <w:rPr>
                <w:rFonts w:eastAsia="仿宋_GB2312"/>
                <w:b/>
                <w:bCs/>
                <w:kern w:val="0"/>
                <w:sz w:val="28"/>
                <w:szCs w:val="28"/>
              </w:rPr>
            </w:pPr>
            <w:r>
              <w:rPr>
                <w:rFonts w:eastAsia="仿宋_GB2312"/>
                <w:b/>
                <w:bCs/>
                <w:kern w:val="0"/>
                <w:sz w:val="28"/>
                <w:szCs w:val="28"/>
              </w:rPr>
              <w:t>组织单位：</w:t>
            </w:r>
          </w:p>
        </w:tc>
        <w:tc>
          <w:tcPr>
            <w:tcW w:w="5670" w:type="dxa"/>
            <w:gridSpan w:val="5"/>
            <w:shd w:val="clear" w:color="auto" w:fill="auto"/>
            <w:vAlign w:val="center"/>
          </w:tcPr>
          <w:p>
            <w:pPr>
              <w:widowControl/>
              <w:ind w:firstLine="0" w:firstLineChars="0"/>
              <w:rPr>
                <w:rFonts w:eastAsia="仿宋_GB2312"/>
                <w:kern w:val="0"/>
                <w:sz w:val="22"/>
              </w:rPr>
            </w:pPr>
            <w:r>
              <w:rPr>
                <w:rFonts w:eastAsia="仿宋_GB2312"/>
                <w:sz w:val="28"/>
                <w:szCs w:val="28"/>
              </w:rPr>
              <w:t>峨边彝族自治县自然资源局</w:t>
            </w:r>
          </w:p>
        </w:tc>
      </w:tr>
      <w:tr>
        <w:tblPrEx>
          <w:tblCellMar>
            <w:top w:w="0" w:type="dxa"/>
            <w:left w:w="108" w:type="dxa"/>
            <w:bottom w:w="0" w:type="dxa"/>
            <w:right w:w="108" w:type="dxa"/>
          </w:tblCellMar>
        </w:tblPrEx>
        <w:trPr>
          <w:trHeight w:val="375" w:hRule="atLeast"/>
          <w:jc w:val="center"/>
        </w:trPr>
        <w:tc>
          <w:tcPr>
            <w:tcW w:w="1561" w:type="dxa"/>
            <w:shd w:val="clear" w:color="auto" w:fill="auto"/>
            <w:vAlign w:val="center"/>
          </w:tcPr>
          <w:p>
            <w:pPr>
              <w:widowControl/>
              <w:ind w:firstLine="0" w:firstLineChars="0"/>
              <w:jc w:val="left"/>
              <w:rPr>
                <w:rFonts w:eastAsia="仿宋_GB2312"/>
                <w:b/>
                <w:bCs/>
                <w:kern w:val="0"/>
                <w:sz w:val="28"/>
                <w:szCs w:val="28"/>
              </w:rPr>
            </w:pPr>
            <w:r>
              <w:rPr>
                <w:rFonts w:eastAsia="仿宋_GB2312"/>
                <w:b/>
                <w:bCs/>
                <w:kern w:val="0"/>
                <w:sz w:val="28"/>
                <w:szCs w:val="28"/>
              </w:rPr>
              <w:t>组    长：</w:t>
            </w:r>
          </w:p>
        </w:tc>
        <w:tc>
          <w:tcPr>
            <w:tcW w:w="1134" w:type="dxa"/>
            <w:shd w:val="clear" w:color="auto" w:fill="auto"/>
            <w:vAlign w:val="center"/>
          </w:tcPr>
          <w:p>
            <w:pPr>
              <w:widowControl/>
              <w:ind w:firstLine="0" w:firstLineChars="0"/>
              <w:rPr>
                <w:rFonts w:eastAsia="仿宋_GB2312"/>
                <w:kern w:val="0"/>
                <w:sz w:val="28"/>
                <w:szCs w:val="28"/>
              </w:rPr>
            </w:pPr>
            <w:r>
              <w:rPr>
                <w:rFonts w:eastAsia="仿宋_GB2312"/>
                <w:sz w:val="28"/>
                <w:szCs w:val="28"/>
              </w:rPr>
              <w:t>李  晟</w:t>
            </w:r>
          </w:p>
        </w:tc>
        <w:tc>
          <w:tcPr>
            <w:tcW w:w="1134" w:type="dxa"/>
            <w:shd w:val="clear" w:color="auto" w:fill="auto"/>
            <w:vAlign w:val="center"/>
          </w:tcPr>
          <w:p>
            <w:pPr>
              <w:widowControl/>
              <w:ind w:firstLine="440"/>
              <w:jc w:val="left"/>
              <w:rPr>
                <w:rFonts w:eastAsia="仿宋_GB2312"/>
                <w:kern w:val="0"/>
                <w:sz w:val="22"/>
              </w:rPr>
            </w:pPr>
          </w:p>
        </w:tc>
        <w:tc>
          <w:tcPr>
            <w:tcW w:w="1134" w:type="dxa"/>
            <w:shd w:val="clear" w:color="auto" w:fill="auto"/>
            <w:vAlign w:val="center"/>
          </w:tcPr>
          <w:p>
            <w:pPr>
              <w:widowControl/>
              <w:ind w:firstLine="440"/>
              <w:jc w:val="left"/>
              <w:rPr>
                <w:rFonts w:eastAsia="仿宋_GB2312"/>
                <w:kern w:val="0"/>
                <w:sz w:val="22"/>
              </w:rPr>
            </w:pPr>
          </w:p>
        </w:tc>
        <w:tc>
          <w:tcPr>
            <w:tcW w:w="1134" w:type="dxa"/>
            <w:shd w:val="clear" w:color="auto" w:fill="auto"/>
            <w:vAlign w:val="center"/>
          </w:tcPr>
          <w:p>
            <w:pPr>
              <w:widowControl/>
              <w:ind w:firstLine="440"/>
              <w:jc w:val="left"/>
              <w:rPr>
                <w:rFonts w:eastAsia="仿宋_GB2312"/>
                <w:color w:val="FF0000"/>
                <w:kern w:val="0"/>
                <w:sz w:val="22"/>
              </w:rPr>
            </w:pPr>
          </w:p>
        </w:tc>
        <w:tc>
          <w:tcPr>
            <w:tcW w:w="1134" w:type="dxa"/>
            <w:shd w:val="clear" w:color="auto" w:fill="auto"/>
            <w:vAlign w:val="center"/>
          </w:tcPr>
          <w:p>
            <w:pPr>
              <w:widowControl/>
              <w:ind w:firstLine="440"/>
              <w:jc w:val="left"/>
              <w:rPr>
                <w:rFonts w:eastAsia="仿宋_GB2312"/>
                <w:color w:val="FF0000"/>
                <w:kern w:val="0"/>
                <w:sz w:val="22"/>
              </w:rPr>
            </w:pPr>
          </w:p>
        </w:tc>
      </w:tr>
      <w:tr>
        <w:tblPrEx>
          <w:tblCellMar>
            <w:top w:w="0" w:type="dxa"/>
            <w:left w:w="108" w:type="dxa"/>
            <w:bottom w:w="0" w:type="dxa"/>
            <w:right w:w="108" w:type="dxa"/>
          </w:tblCellMar>
        </w:tblPrEx>
        <w:trPr>
          <w:trHeight w:val="375" w:hRule="atLeast"/>
          <w:jc w:val="center"/>
        </w:trPr>
        <w:tc>
          <w:tcPr>
            <w:tcW w:w="1561" w:type="dxa"/>
            <w:shd w:val="clear" w:color="auto" w:fill="auto"/>
            <w:vAlign w:val="center"/>
          </w:tcPr>
          <w:p>
            <w:pPr>
              <w:widowControl/>
              <w:ind w:firstLine="0" w:firstLineChars="0"/>
              <w:jc w:val="left"/>
              <w:rPr>
                <w:rFonts w:eastAsia="仿宋_GB2312"/>
                <w:b/>
                <w:bCs/>
                <w:kern w:val="0"/>
                <w:sz w:val="28"/>
                <w:szCs w:val="28"/>
              </w:rPr>
            </w:pPr>
            <w:r>
              <w:rPr>
                <w:rFonts w:eastAsia="仿宋_GB2312"/>
                <w:b/>
                <w:bCs/>
                <w:kern w:val="0"/>
                <w:sz w:val="28"/>
                <w:szCs w:val="28"/>
              </w:rPr>
              <w:t>副 组 长：</w:t>
            </w:r>
          </w:p>
        </w:tc>
        <w:tc>
          <w:tcPr>
            <w:tcW w:w="1134" w:type="dxa"/>
            <w:shd w:val="clear" w:color="auto" w:fill="auto"/>
          </w:tcPr>
          <w:p>
            <w:pPr>
              <w:ind w:firstLine="0" w:firstLineChars="0"/>
              <w:rPr>
                <w:rFonts w:eastAsia="仿宋_GB2312"/>
                <w:sz w:val="28"/>
                <w:szCs w:val="28"/>
              </w:rPr>
            </w:pPr>
            <w:r>
              <w:rPr>
                <w:rFonts w:eastAsia="仿宋_GB2312"/>
                <w:sz w:val="28"/>
                <w:szCs w:val="28"/>
              </w:rPr>
              <w:t>马  洪</w:t>
            </w:r>
          </w:p>
        </w:tc>
        <w:tc>
          <w:tcPr>
            <w:tcW w:w="1134" w:type="dxa"/>
            <w:shd w:val="clear" w:color="auto" w:fill="auto"/>
          </w:tcPr>
          <w:p>
            <w:pPr>
              <w:ind w:firstLine="0" w:firstLineChars="0"/>
              <w:rPr>
                <w:rFonts w:eastAsia="仿宋_GB2312"/>
              </w:rPr>
            </w:pPr>
          </w:p>
        </w:tc>
        <w:tc>
          <w:tcPr>
            <w:tcW w:w="1134" w:type="dxa"/>
            <w:shd w:val="clear" w:color="auto" w:fill="auto"/>
            <w:vAlign w:val="center"/>
          </w:tcPr>
          <w:p>
            <w:pPr>
              <w:widowControl/>
              <w:ind w:firstLine="440"/>
              <w:jc w:val="left"/>
              <w:rPr>
                <w:rFonts w:eastAsia="仿宋_GB2312"/>
                <w:kern w:val="0"/>
                <w:sz w:val="22"/>
              </w:rPr>
            </w:pPr>
          </w:p>
        </w:tc>
        <w:tc>
          <w:tcPr>
            <w:tcW w:w="1134" w:type="dxa"/>
            <w:shd w:val="clear" w:color="auto" w:fill="auto"/>
            <w:vAlign w:val="center"/>
          </w:tcPr>
          <w:p>
            <w:pPr>
              <w:widowControl/>
              <w:ind w:firstLine="440"/>
              <w:jc w:val="left"/>
              <w:rPr>
                <w:rFonts w:eastAsia="仿宋_GB2312"/>
                <w:color w:val="FF0000"/>
                <w:kern w:val="0"/>
                <w:sz w:val="22"/>
              </w:rPr>
            </w:pPr>
          </w:p>
        </w:tc>
        <w:tc>
          <w:tcPr>
            <w:tcW w:w="1134" w:type="dxa"/>
            <w:shd w:val="clear" w:color="auto" w:fill="auto"/>
            <w:vAlign w:val="center"/>
          </w:tcPr>
          <w:p>
            <w:pPr>
              <w:widowControl/>
              <w:ind w:firstLine="440"/>
              <w:jc w:val="left"/>
              <w:rPr>
                <w:rFonts w:eastAsia="仿宋_GB2312"/>
                <w:color w:val="FF0000"/>
                <w:kern w:val="0"/>
                <w:sz w:val="22"/>
              </w:rPr>
            </w:pPr>
          </w:p>
        </w:tc>
      </w:tr>
      <w:tr>
        <w:tblPrEx>
          <w:tblCellMar>
            <w:top w:w="0" w:type="dxa"/>
            <w:left w:w="108" w:type="dxa"/>
            <w:bottom w:w="0" w:type="dxa"/>
            <w:right w:w="108" w:type="dxa"/>
          </w:tblCellMar>
        </w:tblPrEx>
        <w:trPr>
          <w:trHeight w:val="704" w:hRule="atLeast"/>
          <w:jc w:val="center"/>
        </w:trPr>
        <w:tc>
          <w:tcPr>
            <w:tcW w:w="1561" w:type="dxa"/>
            <w:shd w:val="clear" w:color="auto" w:fill="auto"/>
            <w:vAlign w:val="center"/>
          </w:tcPr>
          <w:p>
            <w:pPr>
              <w:widowControl/>
              <w:ind w:firstLine="0" w:firstLineChars="0"/>
              <w:jc w:val="left"/>
              <w:rPr>
                <w:rFonts w:eastAsia="仿宋_GB2312"/>
                <w:b/>
                <w:bCs/>
                <w:kern w:val="0"/>
                <w:sz w:val="28"/>
                <w:szCs w:val="28"/>
              </w:rPr>
            </w:pPr>
            <w:r>
              <w:rPr>
                <w:rFonts w:eastAsia="仿宋_GB2312"/>
                <w:b/>
                <w:bCs/>
                <w:kern w:val="0"/>
                <w:sz w:val="28"/>
                <w:szCs w:val="28"/>
              </w:rPr>
              <w:t>成    员：</w:t>
            </w:r>
          </w:p>
        </w:tc>
        <w:tc>
          <w:tcPr>
            <w:tcW w:w="1134" w:type="dxa"/>
            <w:shd w:val="clear" w:color="auto" w:fill="auto"/>
          </w:tcPr>
          <w:p>
            <w:pPr>
              <w:ind w:firstLine="0" w:firstLineChars="0"/>
              <w:rPr>
                <w:rFonts w:eastAsia="仿宋_GB2312"/>
                <w:sz w:val="28"/>
                <w:szCs w:val="28"/>
              </w:rPr>
            </w:pPr>
            <w:r>
              <w:rPr>
                <w:rFonts w:eastAsia="仿宋_GB2312"/>
                <w:sz w:val="28"/>
                <w:szCs w:val="28"/>
              </w:rPr>
              <w:t>李小军</w:t>
            </w:r>
          </w:p>
        </w:tc>
        <w:tc>
          <w:tcPr>
            <w:tcW w:w="1134" w:type="dxa"/>
            <w:shd w:val="clear" w:color="auto" w:fill="auto"/>
          </w:tcPr>
          <w:p>
            <w:pPr>
              <w:ind w:firstLine="0" w:firstLineChars="0"/>
              <w:rPr>
                <w:rFonts w:eastAsia="仿宋_GB2312"/>
                <w:sz w:val="28"/>
                <w:szCs w:val="28"/>
              </w:rPr>
            </w:pPr>
            <w:r>
              <w:rPr>
                <w:rFonts w:eastAsia="仿宋_GB2312"/>
                <w:sz w:val="28"/>
                <w:szCs w:val="28"/>
              </w:rPr>
              <w:t>彭章强</w:t>
            </w:r>
          </w:p>
        </w:tc>
        <w:tc>
          <w:tcPr>
            <w:tcW w:w="1134" w:type="dxa"/>
            <w:shd w:val="clear" w:color="auto" w:fill="auto"/>
          </w:tcPr>
          <w:p>
            <w:pPr>
              <w:ind w:firstLine="0" w:firstLineChars="0"/>
              <w:rPr>
                <w:rFonts w:eastAsia="仿宋_GB2312"/>
                <w:sz w:val="28"/>
                <w:szCs w:val="28"/>
              </w:rPr>
            </w:pPr>
            <w:r>
              <w:rPr>
                <w:rFonts w:eastAsia="仿宋_GB2312"/>
                <w:sz w:val="28"/>
                <w:szCs w:val="28"/>
              </w:rPr>
              <w:t>唐利</w:t>
            </w:r>
          </w:p>
        </w:tc>
        <w:tc>
          <w:tcPr>
            <w:tcW w:w="1134" w:type="dxa"/>
            <w:shd w:val="clear" w:color="auto" w:fill="auto"/>
          </w:tcPr>
          <w:p>
            <w:pPr>
              <w:ind w:firstLine="0" w:firstLineChars="0"/>
              <w:rPr>
                <w:rFonts w:eastAsia="仿宋_GB2312"/>
              </w:rPr>
            </w:pPr>
          </w:p>
        </w:tc>
        <w:tc>
          <w:tcPr>
            <w:tcW w:w="1134" w:type="dxa"/>
            <w:shd w:val="clear" w:color="auto" w:fill="auto"/>
          </w:tcPr>
          <w:p>
            <w:pPr>
              <w:ind w:firstLine="560"/>
              <w:rPr>
                <w:rFonts w:eastAsia="仿宋_GB2312"/>
                <w:color w:val="000000" w:themeColor="text1"/>
                <w:sz w:val="28"/>
                <w:szCs w:val="28"/>
              </w:rPr>
            </w:pPr>
          </w:p>
        </w:tc>
      </w:tr>
    </w:tbl>
    <w:p>
      <w:pPr>
        <w:ind w:firstLine="0" w:firstLineChars="0"/>
        <w:jc w:val="center"/>
        <w:rPr>
          <w:rFonts w:eastAsia="仿宋_GB2312"/>
          <w:snapToGrid w:val="0"/>
          <w:kern w:val="0"/>
          <w:sz w:val="36"/>
          <w:szCs w:val="36"/>
        </w:rPr>
      </w:pPr>
    </w:p>
    <w:p>
      <w:pPr>
        <w:spacing w:line="480" w:lineRule="auto"/>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峨边彝族自治县矿产资源总体规划</w:t>
      </w:r>
    </w:p>
    <w:p>
      <w:pPr>
        <w:spacing w:line="480" w:lineRule="auto"/>
        <w:ind w:left="1926" w:leftChars="200" w:hanging="1446" w:hangingChars="400"/>
        <w:jc w:val="center"/>
        <w:rPr>
          <w:rFonts w:eastAsia="仿宋_GB2312"/>
          <w:b/>
          <w:color w:val="000000" w:themeColor="text1"/>
          <w:sz w:val="36"/>
          <w:szCs w:val="32"/>
        </w:rPr>
      </w:pPr>
      <w:r>
        <w:rPr>
          <w:rFonts w:eastAsia="仿宋_GB2312"/>
          <w:b/>
          <w:color w:val="000000" w:themeColor="text1"/>
          <w:sz w:val="36"/>
          <w:szCs w:val="32"/>
        </w:rPr>
        <w:t>(2021-2025年)</w:t>
      </w:r>
    </w:p>
    <w:p>
      <w:pPr>
        <w:ind w:left="1765" w:leftChars="200" w:hanging="1285" w:hangingChars="400"/>
        <w:jc w:val="center"/>
        <w:rPr>
          <w:rFonts w:eastAsia="仿宋_GB2312"/>
          <w:b/>
          <w:color w:val="000000" w:themeColor="text1"/>
          <w:sz w:val="32"/>
          <w:szCs w:val="28"/>
        </w:rPr>
      </w:pPr>
      <w:r>
        <w:rPr>
          <w:rFonts w:eastAsia="仿宋_GB2312"/>
          <w:b/>
          <w:color w:val="000000" w:themeColor="text1"/>
          <w:sz w:val="32"/>
          <w:szCs w:val="28"/>
        </w:rPr>
        <w:t>编制工作技术组成员名单</w:t>
      </w:r>
    </w:p>
    <w:p>
      <w:pPr>
        <w:ind w:left="1765" w:leftChars="200" w:hanging="1285" w:hangingChars="400"/>
        <w:jc w:val="center"/>
        <w:rPr>
          <w:rFonts w:eastAsia="仿宋_GB2312"/>
          <w:b/>
          <w:color w:val="000000" w:themeColor="text1"/>
          <w:sz w:val="32"/>
          <w:szCs w:val="28"/>
        </w:rPr>
      </w:pPr>
    </w:p>
    <w:tbl>
      <w:tblPr>
        <w:tblStyle w:val="24"/>
        <w:tblW w:w="7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4"/>
        <w:gridCol w:w="1127"/>
        <w:gridCol w:w="1134"/>
        <w:gridCol w:w="1134"/>
        <w:gridCol w:w="1134"/>
        <w:gridCol w:w="1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604" w:type="dxa"/>
          </w:tcPr>
          <w:p>
            <w:pPr>
              <w:ind w:firstLine="0" w:firstLineChars="0"/>
              <w:rPr>
                <w:rFonts w:eastAsia="仿宋_GB2312"/>
                <w:b/>
                <w:color w:val="000000"/>
                <w:sz w:val="28"/>
                <w:szCs w:val="28"/>
              </w:rPr>
            </w:pPr>
            <w:r>
              <w:rPr>
                <w:rFonts w:eastAsia="仿宋_GB2312"/>
                <w:b/>
                <w:color w:val="000000"/>
                <w:sz w:val="28"/>
                <w:szCs w:val="28"/>
              </w:rPr>
              <w:t>承担单位：</w:t>
            </w:r>
          </w:p>
        </w:tc>
        <w:tc>
          <w:tcPr>
            <w:tcW w:w="5673" w:type="dxa"/>
            <w:gridSpan w:val="5"/>
          </w:tcPr>
          <w:p>
            <w:pPr>
              <w:ind w:firstLine="0" w:firstLineChars="0"/>
              <w:rPr>
                <w:rFonts w:eastAsia="仿宋_GB2312"/>
                <w:color w:val="000000"/>
                <w:sz w:val="28"/>
                <w:szCs w:val="28"/>
              </w:rPr>
            </w:pPr>
            <w:r>
              <w:rPr>
                <w:rFonts w:eastAsia="仿宋_GB2312"/>
                <w:color w:val="000000"/>
                <w:sz w:val="28"/>
                <w:szCs w:val="28"/>
              </w:rPr>
              <w:t>四川省地质矿产勘查开发局四0三地质队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604" w:type="dxa"/>
          </w:tcPr>
          <w:p>
            <w:pPr>
              <w:ind w:firstLine="0" w:firstLineChars="0"/>
              <w:rPr>
                <w:rFonts w:eastAsia="仿宋_GB2312"/>
                <w:b/>
                <w:color w:val="000000"/>
                <w:sz w:val="28"/>
                <w:szCs w:val="28"/>
              </w:rPr>
            </w:pPr>
            <w:r>
              <w:rPr>
                <w:rFonts w:eastAsia="仿宋_GB2312"/>
                <w:b/>
                <w:color w:val="000000"/>
                <w:sz w:val="28"/>
                <w:szCs w:val="28"/>
              </w:rPr>
              <w:t>组    长：</w:t>
            </w:r>
          </w:p>
        </w:tc>
        <w:tc>
          <w:tcPr>
            <w:tcW w:w="1127" w:type="dxa"/>
          </w:tcPr>
          <w:p>
            <w:pPr>
              <w:ind w:firstLine="0" w:firstLineChars="0"/>
              <w:rPr>
                <w:rFonts w:eastAsia="仿宋_GB2312"/>
                <w:color w:val="000000"/>
                <w:sz w:val="28"/>
                <w:szCs w:val="28"/>
              </w:rPr>
            </w:pPr>
            <w:r>
              <w:rPr>
                <w:rFonts w:eastAsia="仿宋_GB2312"/>
                <w:color w:val="000000"/>
                <w:sz w:val="28"/>
                <w:szCs w:val="28"/>
              </w:rPr>
              <w:t>张济礼</w:t>
            </w:r>
          </w:p>
        </w:tc>
        <w:tc>
          <w:tcPr>
            <w:tcW w:w="1134" w:type="dxa"/>
          </w:tcPr>
          <w:p>
            <w:pPr>
              <w:ind w:firstLine="562"/>
              <w:rPr>
                <w:rFonts w:eastAsia="仿宋_GB2312"/>
                <w:b/>
                <w:color w:val="000000"/>
                <w:sz w:val="28"/>
                <w:szCs w:val="28"/>
              </w:rPr>
            </w:pPr>
          </w:p>
        </w:tc>
        <w:tc>
          <w:tcPr>
            <w:tcW w:w="1134" w:type="dxa"/>
          </w:tcPr>
          <w:p>
            <w:pPr>
              <w:ind w:firstLine="562"/>
              <w:rPr>
                <w:rFonts w:eastAsia="仿宋_GB2312"/>
                <w:b/>
                <w:color w:val="000000"/>
                <w:sz w:val="28"/>
                <w:szCs w:val="28"/>
              </w:rPr>
            </w:pPr>
          </w:p>
        </w:tc>
        <w:tc>
          <w:tcPr>
            <w:tcW w:w="1134" w:type="dxa"/>
          </w:tcPr>
          <w:p>
            <w:pPr>
              <w:ind w:firstLine="562"/>
              <w:rPr>
                <w:rFonts w:eastAsia="仿宋_GB2312"/>
                <w:b/>
                <w:color w:val="000000"/>
                <w:sz w:val="28"/>
                <w:szCs w:val="28"/>
              </w:rPr>
            </w:pPr>
          </w:p>
        </w:tc>
        <w:tc>
          <w:tcPr>
            <w:tcW w:w="1144" w:type="dxa"/>
          </w:tcPr>
          <w:p>
            <w:pPr>
              <w:ind w:firstLine="562"/>
              <w:rPr>
                <w:rFonts w:eastAsia="仿宋_GB2312"/>
                <w:b/>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4" w:type="dxa"/>
          </w:tcPr>
          <w:p>
            <w:pPr>
              <w:ind w:firstLine="0" w:firstLineChars="0"/>
              <w:rPr>
                <w:rFonts w:eastAsia="仿宋_GB2312"/>
                <w:b/>
                <w:color w:val="000000"/>
                <w:sz w:val="28"/>
                <w:szCs w:val="28"/>
              </w:rPr>
            </w:pPr>
            <w:r>
              <w:rPr>
                <w:rFonts w:eastAsia="仿宋_GB2312"/>
                <w:b/>
                <w:color w:val="000000"/>
                <w:sz w:val="28"/>
                <w:szCs w:val="28"/>
              </w:rPr>
              <w:t>副 组 长：</w:t>
            </w:r>
          </w:p>
        </w:tc>
        <w:tc>
          <w:tcPr>
            <w:tcW w:w="1127" w:type="dxa"/>
          </w:tcPr>
          <w:p>
            <w:pPr>
              <w:ind w:firstLine="0" w:firstLineChars="0"/>
              <w:jc w:val="distribute"/>
              <w:rPr>
                <w:rFonts w:eastAsia="仿宋_GB2312"/>
                <w:b/>
                <w:color w:val="000000"/>
                <w:sz w:val="28"/>
                <w:szCs w:val="28"/>
              </w:rPr>
            </w:pPr>
            <w:r>
              <w:rPr>
                <w:rFonts w:eastAsia="仿宋_GB2312"/>
                <w:color w:val="000000" w:themeColor="text1"/>
                <w:sz w:val="28"/>
                <w:szCs w:val="28"/>
              </w:rPr>
              <w:t xml:space="preserve">魏清文      </w:t>
            </w:r>
          </w:p>
        </w:tc>
        <w:tc>
          <w:tcPr>
            <w:tcW w:w="1134" w:type="dxa"/>
          </w:tcPr>
          <w:p>
            <w:pPr>
              <w:ind w:firstLine="0" w:firstLineChars="0"/>
              <w:jc w:val="distribute"/>
              <w:rPr>
                <w:rFonts w:eastAsia="仿宋_GB2312"/>
                <w:b/>
                <w:color w:val="000000"/>
                <w:sz w:val="28"/>
                <w:szCs w:val="28"/>
              </w:rPr>
            </w:pPr>
            <w:r>
              <w:rPr>
                <w:rFonts w:eastAsia="仿宋_GB2312"/>
                <w:color w:val="000000" w:themeColor="text1"/>
                <w:sz w:val="28"/>
                <w:szCs w:val="28"/>
              </w:rPr>
              <w:t>胡  东</w:t>
            </w:r>
          </w:p>
        </w:tc>
        <w:tc>
          <w:tcPr>
            <w:tcW w:w="1134" w:type="dxa"/>
          </w:tcPr>
          <w:p>
            <w:pPr>
              <w:ind w:firstLine="0" w:firstLineChars="0"/>
              <w:jc w:val="distribute"/>
              <w:rPr>
                <w:rFonts w:eastAsia="仿宋_GB2312"/>
                <w:b/>
                <w:color w:val="000000"/>
                <w:sz w:val="28"/>
                <w:szCs w:val="28"/>
              </w:rPr>
            </w:pPr>
            <w:r>
              <w:rPr>
                <w:rFonts w:eastAsia="仿宋_GB2312"/>
                <w:color w:val="000000" w:themeColor="text1"/>
                <w:sz w:val="28"/>
                <w:szCs w:val="28"/>
              </w:rPr>
              <w:t>李 静</w:t>
            </w:r>
          </w:p>
        </w:tc>
        <w:tc>
          <w:tcPr>
            <w:tcW w:w="1134" w:type="dxa"/>
          </w:tcPr>
          <w:p>
            <w:pPr>
              <w:ind w:firstLine="562"/>
              <w:jc w:val="distribute"/>
              <w:rPr>
                <w:rFonts w:eastAsia="仿宋_GB2312"/>
                <w:b/>
                <w:color w:val="000000"/>
                <w:sz w:val="28"/>
                <w:szCs w:val="28"/>
              </w:rPr>
            </w:pPr>
          </w:p>
        </w:tc>
        <w:tc>
          <w:tcPr>
            <w:tcW w:w="1144" w:type="dxa"/>
          </w:tcPr>
          <w:p>
            <w:pPr>
              <w:ind w:firstLine="562"/>
              <w:jc w:val="distribute"/>
              <w:rPr>
                <w:rFonts w:eastAsia="仿宋_GB2312"/>
                <w:b/>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1604" w:type="dxa"/>
            <w:vAlign w:val="center"/>
          </w:tcPr>
          <w:p>
            <w:pPr>
              <w:ind w:firstLine="0" w:firstLineChars="0"/>
              <w:jc w:val="center"/>
              <w:rPr>
                <w:rFonts w:eastAsia="仿宋_GB2312"/>
                <w:b/>
                <w:color w:val="000000"/>
                <w:sz w:val="28"/>
                <w:szCs w:val="28"/>
              </w:rPr>
            </w:pPr>
            <w:r>
              <w:rPr>
                <w:rFonts w:eastAsia="仿宋_GB2312"/>
                <w:b/>
                <w:color w:val="000000"/>
                <w:sz w:val="28"/>
                <w:szCs w:val="28"/>
              </w:rPr>
              <w:t>成    员：</w:t>
            </w:r>
          </w:p>
        </w:tc>
        <w:tc>
          <w:tcPr>
            <w:tcW w:w="1127" w:type="dxa"/>
            <w:vAlign w:val="center"/>
          </w:tcPr>
          <w:p>
            <w:pPr>
              <w:ind w:firstLine="0" w:firstLineChars="0"/>
              <w:jc w:val="distribute"/>
              <w:rPr>
                <w:rFonts w:eastAsia="仿宋_GB2312"/>
                <w:color w:val="000000" w:themeColor="text1"/>
                <w:sz w:val="28"/>
                <w:szCs w:val="28"/>
              </w:rPr>
            </w:pPr>
            <w:r>
              <w:rPr>
                <w:rFonts w:eastAsia="仿宋_GB2312"/>
                <w:color w:val="000000" w:themeColor="text1"/>
                <w:sz w:val="28"/>
                <w:szCs w:val="28"/>
              </w:rPr>
              <w:t>兰  西</w:t>
            </w:r>
          </w:p>
        </w:tc>
        <w:tc>
          <w:tcPr>
            <w:tcW w:w="1134" w:type="dxa"/>
            <w:vAlign w:val="center"/>
          </w:tcPr>
          <w:p>
            <w:pPr>
              <w:ind w:firstLine="0" w:firstLineChars="0"/>
              <w:jc w:val="distribute"/>
              <w:rPr>
                <w:rFonts w:eastAsia="仿宋_GB2312"/>
                <w:b/>
                <w:color w:val="000000"/>
                <w:sz w:val="28"/>
                <w:szCs w:val="28"/>
              </w:rPr>
            </w:pPr>
            <w:r>
              <w:rPr>
                <w:rFonts w:eastAsia="仿宋_GB2312"/>
                <w:color w:val="000000" w:themeColor="text1"/>
                <w:sz w:val="28"/>
                <w:szCs w:val="28"/>
              </w:rPr>
              <w:t>易光勇</w:t>
            </w:r>
          </w:p>
        </w:tc>
        <w:tc>
          <w:tcPr>
            <w:tcW w:w="1134" w:type="dxa"/>
            <w:vAlign w:val="center"/>
          </w:tcPr>
          <w:p>
            <w:pPr>
              <w:ind w:firstLine="0" w:firstLineChars="0"/>
              <w:jc w:val="distribute"/>
              <w:rPr>
                <w:rFonts w:eastAsia="仿宋_GB2312"/>
                <w:b/>
                <w:color w:val="000000"/>
                <w:sz w:val="28"/>
                <w:szCs w:val="28"/>
              </w:rPr>
            </w:pPr>
            <w:r>
              <w:rPr>
                <w:rFonts w:eastAsia="仿宋_GB2312"/>
                <w:color w:val="000000" w:themeColor="text1"/>
                <w:sz w:val="28"/>
                <w:szCs w:val="28"/>
              </w:rPr>
              <w:t>赵 勇</w:t>
            </w:r>
          </w:p>
        </w:tc>
        <w:tc>
          <w:tcPr>
            <w:tcW w:w="1134" w:type="dxa"/>
            <w:vAlign w:val="center"/>
          </w:tcPr>
          <w:p>
            <w:pPr>
              <w:ind w:firstLine="0" w:firstLineChars="0"/>
              <w:jc w:val="distribute"/>
              <w:rPr>
                <w:rFonts w:eastAsia="仿宋_GB2312"/>
                <w:b/>
                <w:color w:val="000000"/>
                <w:sz w:val="28"/>
                <w:szCs w:val="28"/>
              </w:rPr>
            </w:pPr>
            <w:r>
              <w:rPr>
                <w:rFonts w:eastAsia="仿宋_GB2312"/>
                <w:color w:val="000000" w:themeColor="text1"/>
                <w:sz w:val="28"/>
                <w:szCs w:val="28"/>
              </w:rPr>
              <w:t>李代忠</w:t>
            </w:r>
          </w:p>
        </w:tc>
        <w:tc>
          <w:tcPr>
            <w:tcW w:w="1144" w:type="dxa"/>
            <w:vAlign w:val="center"/>
          </w:tcPr>
          <w:p>
            <w:pPr>
              <w:ind w:firstLine="0" w:firstLineChars="0"/>
              <w:jc w:val="distribute"/>
              <w:rPr>
                <w:rFonts w:eastAsia="仿宋_GB2312"/>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604" w:type="dxa"/>
          </w:tcPr>
          <w:p>
            <w:pPr>
              <w:ind w:firstLine="562"/>
              <w:rPr>
                <w:rFonts w:eastAsia="仿宋_GB2312"/>
                <w:b/>
                <w:color w:val="000000"/>
                <w:sz w:val="28"/>
                <w:szCs w:val="28"/>
              </w:rPr>
            </w:pPr>
          </w:p>
        </w:tc>
        <w:tc>
          <w:tcPr>
            <w:tcW w:w="1127" w:type="dxa"/>
          </w:tcPr>
          <w:p>
            <w:pPr>
              <w:ind w:firstLine="0" w:firstLineChars="0"/>
              <w:jc w:val="distribute"/>
              <w:rPr>
                <w:rFonts w:eastAsia="仿宋_GB2312"/>
                <w:color w:val="000000"/>
                <w:sz w:val="28"/>
                <w:szCs w:val="28"/>
              </w:rPr>
            </w:pPr>
            <w:r>
              <w:rPr>
                <w:rFonts w:eastAsia="仿宋_GB2312"/>
                <w:color w:val="000000" w:themeColor="text1"/>
                <w:sz w:val="28"/>
                <w:szCs w:val="28"/>
              </w:rPr>
              <w:t xml:space="preserve">马利平            </w:t>
            </w:r>
          </w:p>
        </w:tc>
        <w:tc>
          <w:tcPr>
            <w:tcW w:w="1134" w:type="dxa"/>
          </w:tcPr>
          <w:p>
            <w:pPr>
              <w:ind w:firstLine="0" w:firstLineChars="0"/>
              <w:jc w:val="distribute"/>
              <w:rPr>
                <w:rFonts w:eastAsia="仿宋_GB2312"/>
                <w:color w:val="000000"/>
                <w:sz w:val="28"/>
                <w:szCs w:val="28"/>
              </w:rPr>
            </w:pPr>
            <w:r>
              <w:rPr>
                <w:rFonts w:eastAsia="仿宋_GB2312"/>
                <w:color w:val="000000" w:themeColor="text1"/>
                <w:sz w:val="28"/>
                <w:szCs w:val="28"/>
              </w:rPr>
              <w:t>周  伟</w:t>
            </w:r>
          </w:p>
        </w:tc>
        <w:tc>
          <w:tcPr>
            <w:tcW w:w="1134" w:type="dxa"/>
          </w:tcPr>
          <w:p>
            <w:pPr>
              <w:ind w:firstLine="0" w:firstLineChars="0"/>
              <w:jc w:val="distribute"/>
              <w:rPr>
                <w:rFonts w:eastAsia="仿宋_GB2312"/>
                <w:color w:val="000000"/>
                <w:sz w:val="28"/>
                <w:szCs w:val="28"/>
              </w:rPr>
            </w:pPr>
            <w:r>
              <w:rPr>
                <w:rFonts w:eastAsia="仿宋_GB2312"/>
                <w:color w:val="000000" w:themeColor="text1"/>
                <w:sz w:val="28"/>
                <w:szCs w:val="28"/>
              </w:rPr>
              <w:t>李祥涛</w:t>
            </w:r>
          </w:p>
        </w:tc>
        <w:tc>
          <w:tcPr>
            <w:tcW w:w="1134" w:type="dxa"/>
          </w:tcPr>
          <w:p>
            <w:pPr>
              <w:ind w:firstLine="0" w:firstLineChars="0"/>
              <w:jc w:val="distribute"/>
              <w:rPr>
                <w:rFonts w:eastAsia="仿宋_GB2312"/>
                <w:color w:val="000000"/>
                <w:sz w:val="28"/>
                <w:szCs w:val="28"/>
              </w:rPr>
            </w:pPr>
            <w:r>
              <w:rPr>
                <w:rFonts w:eastAsia="仿宋_GB2312"/>
                <w:color w:val="000000" w:themeColor="text1"/>
                <w:sz w:val="28"/>
                <w:szCs w:val="28"/>
              </w:rPr>
              <w:t>汪 林</w:t>
            </w:r>
          </w:p>
        </w:tc>
        <w:tc>
          <w:tcPr>
            <w:tcW w:w="1144" w:type="dxa"/>
          </w:tcPr>
          <w:p>
            <w:pPr>
              <w:ind w:firstLine="0" w:firstLineChars="0"/>
              <w:jc w:val="distribute"/>
              <w:rPr>
                <w:rFonts w:eastAsia="仿宋_GB2312"/>
                <w:color w:val="000000"/>
                <w:sz w:val="28"/>
                <w:szCs w:val="28"/>
              </w:rPr>
            </w:pPr>
            <w:r>
              <w:rPr>
                <w:rFonts w:eastAsia="仿宋_GB2312"/>
                <w:color w:val="000000" w:themeColor="text1"/>
                <w:sz w:val="28"/>
                <w:szCs w:val="28"/>
              </w:rPr>
              <w:t>吴寒介</w:t>
            </w:r>
          </w:p>
        </w:tc>
      </w:tr>
    </w:tbl>
    <w:p>
      <w:pPr>
        <w:snapToGrid w:val="0"/>
        <w:ind w:left="1440" w:leftChars="600" w:firstLine="436" w:firstLineChars="89"/>
        <w:contextualSpacing/>
        <w:jc w:val="left"/>
        <w:rPr>
          <w:rFonts w:eastAsia="仿宋_GB2312"/>
          <w:color w:val="000000" w:themeColor="text1"/>
          <w:spacing w:val="105"/>
          <w:kern w:val="0"/>
          <w:sz w:val="28"/>
          <w:szCs w:val="28"/>
        </w:rPr>
        <w:sectPr>
          <w:pgSz w:w="11906" w:h="16838"/>
          <w:pgMar w:top="1440" w:right="1800" w:bottom="1440" w:left="1800" w:header="851" w:footer="992" w:gutter="0"/>
          <w:cols w:space="425" w:num="1"/>
          <w:docGrid w:type="lines" w:linePitch="312" w:charSpace="0"/>
        </w:sectPr>
      </w:pPr>
    </w:p>
    <w:p>
      <w:pPr>
        <w:ind w:firstLine="643"/>
        <w:jc w:val="center"/>
        <w:rPr>
          <w:rFonts w:eastAsia="仿宋_GB2312"/>
          <w:b/>
          <w:sz w:val="32"/>
          <w:szCs w:val="32"/>
        </w:rPr>
      </w:pPr>
      <w:r>
        <w:rPr>
          <w:rFonts w:eastAsia="仿宋_GB2312"/>
          <w:b/>
          <w:sz w:val="32"/>
          <w:szCs w:val="32"/>
        </w:rPr>
        <w:t>目录</w:t>
      </w:r>
    </w:p>
    <w:p>
      <w:pPr>
        <w:pStyle w:val="17"/>
        <w:tabs>
          <w:tab w:val="right" w:leader="dot" w:pos="8296"/>
        </w:tabs>
        <w:ind w:firstLine="562"/>
        <w:rPr>
          <w:rFonts w:ascii="仿宋_GB2312" w:eastAsia="仿宋_GB2312" w:cstheme="minorBidi"/>
          <w:b w:val="0"/>
          <w:bCs w:val="0"/>
          <w:caps w:val="0"/>
          <w:sz w:val="24"/>
          <w:szCs w:val="24"/>
        </w:rPr>
      </w:pPr>
      <w:r>
        <w:rPr>
          <w:rFonts w:hint="eastAsia" w:ascii="仿宋_GB2312" w:hAnsi="Times New Roman" w:eastAsia="仿宋_GB2312" w:cs="Times New Roman"/>
          <w:sz w:val="28"/>
          <w:szCs w:val="28"/>
        </w:rPr>
        <w:fldChar w:fldCharType="begin"/>
      </w:r>
      <w:r>
        <w:rPr>
          <w:rFonts w:hint="eastAsia" w:ascii="仿宋_GB2312" w:hAnsi="Times New Roman" w:eastAsia="仿宋_GB2312" w:cs="Times New Roman"/>
          <w:sz w:val="28"/>
          <w:szCs w:val="28"/>
        </w:rPr>
        <w:instrText xml:space="preserve"> TOC \o "1-3" \u </w:instrText>
      </w:r>
      <w:r>
        <w:rPr>
          <w:rFonts w:hint="eastAsia" w:ascii="仿宋_GB2312" w:hAnsi="Times New Roman" w:eastAsia="仿宋_GB2312" w:cs="Times New Roman"/>
          <w:sz w:val="28"/>
          <w:szCs w:val="28"/>
        </w:rPr>
        <w:fldChar w:fldCharType="separate"/>
      </w:r>
      <w:r>
        <w:rPr>
          <w:rFonts w:hint="eastAsia" w:ascii="仿宋_GB2312" w:eastAsia="仿宋_GB2312"/>
          <w:sz w:val="24"/>
          <w:szCs w:val="24"/>
        </w:rPr>
        <w:t>总  则</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_Toc124293452 \h </w:instrText>
      </w:r>
      <w:r>
        <w:rPr>
          <w:rFonts w:hint="eastAsia" w:ascii="仿宋_GB2312" w:eastAsia="仿宋_GB2312"/>
          <w:b w:val="0"/>
          <w:sz w:val="24"/>
          <w:szCs w:val="24"/>
        </w:rPr>
        <w:fldChar w:fldCharType="separate"/>
      </w:r>
      <w:r>
        <w:rPr>
          <w:rFonts w:hint="eastAsia" w:ascii="仿宋_GB2312" w:eastAsia="仿宋_GB2312"/>
          <w:b w:val="0"/>
          <w:sz w:val="24"/>
          <w:szCs w:val="24"/>
        </w:rPr>
        <w:t>1</w:t>
      </w:r>
      <w:r>
        <w:rPr>
          <w:rFonts w:hint="eastAsia" w:ascii="仿宋_GB2312" w:eastAsia="仿宋_GB2312"/>
          <w:b w:val="0"/>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第一章  现状与形势</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_Toc124293453 \h </w:instrText>
      </w:r>
      <w:r>
        <w:rPr>
          <w:rFonts w:hint="eastAsia" w:ascii="仿宋_GB2312" w:eastAsia="仿宋_GB2312"/>
          <w:b w:val="0"/>
          <w:sz w:val="24"/>
          <w:szCs w:val="24"/>
        </w:rPr>
        <w:fldChar w:fldCharType="separate"/>
      </w:r>
      <w:r>
        <w:rPr>
          <w:rFonts w:hint="eastAsia" w:ascii="仿宋_GB2312" w:eastAsia="仿宋_GB2312"/>
          <w:b w:val="0"/>
          <w:sz w:val="24"/>
          <w:szCs w:val="24"/>
        </w:rPr>
        <w:t>2</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经济社会与矿业发展现状</w:t>
      </w:r>
      <w:r>
        <w:rPr>
          <w:rFonts w:hint="eastAsia"/>
          <w:sz w:val="24"/>
          <w:szCs w:val="24"/>
        </w:rPr>
        <w:tab/>
      </w:r>
      <w:r>
        <w:rPr>
          <w:rFonts w:hint="eastAsia"/>
          <w:sz w:val="24"/>
          <w:szCs w:val="24"/>
        </w:rPr>
        <w:fldChar w:fldCharType="begin"/>
      </w:r>
      <w:r>
        <w:rPr>
          <w:rFonts w:hint="eastAsia"/>
          <w:sz w:val="24"/>
          <w:szCs w:val="24"/>
        </w:rPr>
        <w:instrText xml:space="preserve"> PAGEREF _Toc124293454 \h </w:instrText>
      </w:r>
      <w:r>
        <w:rPr>
          <w:rFonts w:hint="eastAsia"/>
          <w:sz w:val="24"/>
          <w:szCs w:val="24"/>
        </w:rPr>
        <w:fldChar w:fldCharType="separate"/>
      </w:r>
      <w:r>
        <w:rPr>
          <w:rFonts w:hint="eastAsia"/>
          <w:sz w:val="24"/>
          <w:szCs w:val="24"/>
        </w:rPr>
        <w:t>2</w:t>
      </w:r>
      <w:r>
        <w:rPr>
          <w:rFonts w:hint="eastAsia"/>
          <w:sz w:val="24"/>
          <w:szCs w:val="24"/>
        </w:rPr>
        <w:fldChar w:fldCharType="end"/>
      </w:r>
    </w:p>
    <w:p>
      <w:pPr>
        <w:pStyle w:val="20"/>
        <w:ind w:firstLine="480"/>
        <w:rPr>
          <w:rFonts w:cstheme="minorBidi"/>
          <w:sz w:val="24"/>
          <w:szCs w:val="24"/>
        </w:rPr>
      </w:pPr>
      <w:r>
        <w:rPr>
          <w:rFonts w:hint="eastAsia"/>
          <w:sz w:val="24"/>
          <w:szCs w:val="24"/>
        </w:rPr>
        <w:t>第二节  矿产资源概况</w:t>
      </w:r>
      <w:r>
        <w:rPr>
          <w:rFonts w:hint="eastAsia"/>
          <w:sz w:val="24"/>
          <w:szCs w:val="24"/>
        </w:rPr>
        <w:tab/>
      </w:r>
      <w:r>
        <w:rPr>
          <w:rFonts w:hint="eastAsia"/>
          <w:sz w:val="24"/>
          <w:szCs w:val="24"/>
        </w:rPr>
        <w:fldChar w:fldCharType="begin"/>
      </w:r>
      <w:r>
        <w:rPr>
          <w:rFonts w:hint="eastAsia"/>
          <w:sz w:val="24"/>
          <w:szCs w:val="24"/>
        </w:rPr>
        <w:instrText xml:space="preserve"> PAGEREF _Toc124293455 \h </w:instrText>
      </w:r>
      <w:r>
        <w:rPr>
          <w:rFonts w:hint="eastAsia"/>
          <w:sz w:val="24"/>
          <w:szCs w:val="24"/>
        </w:rPr>
        <w:fldChar w:fldCharType="separate"/>
      </w:r>
      <w:r>
        <w:rPr>
          <w:rFonts w:hint="eastAsia"/>
          <w:sz w:val="24"/>
          <w:szCs w:val="24"/>
        </w:rPr>
        <w:t>2</w:t>
      </w:r>
      <w:r>
        <w:rPr>
          <w:rFonts w:hint="eastAsia"/>
          <w:sz w:val="24"/>
          <w:szCs w:val="24"/>
        </w:rPr>
        <w:fldChar w:fldCharType="end"/>
      </w:r>
    </w:p>
    <w:p>
      <w:pPr>
        <w:pStyle w:val="20"/>
        <w:ind w:firstLine="480"/>
        <w:rPr>
          <w:rFonts w:cstheme="minorBidi"/>
          <w:sz w:val="24"/>
          <w:szCs w:val="24"/>
        </w:rPr>
      </w:pPr>
      <w:r>
        <w:rPr>
          <w:rFonts w:hint="eastAsia"/>
          <w:sz w:val="24"/>
          <w:szCs w:val="24"/>
        </w:rPr>
        <w:t>第三节  矿产资源勘查开发利用现状</w:t>
      </w:r>
      <w:r>
        <w:rPr>
          <w:rFonts w:hint="eastAsia"/>
          <w:sz w:val="24"/>
          <w:szCs w:val="24"/>
        </w:rPr>
        <w:tab/>
      </w:r>
      <w:r>
        <w:rPr>
          <w:rFonts w:hint="eastAsia"/>
          <w:sz w:val="24"/>
          <w:szCs w:val="24"/>
        </w:rPr>
        <w:fldChar w:fldCharType="begin"/>
      </w:r>
      <w:r>
        <w:rPr>
          <w:rFonts w:hint="eastAsia"/>
          <w:sz w:val="24"/>
          <w:szCs w:val="24"/>
        </w:rPr>
        <w:instrText xml:space="preserve"> PAGEREF _Toc124293456 \h </w:instrText>
      </w:r>
      <w:r>
        <w:rPr>
          <w:rFonts w:hint="eastAsia"/>
          <w:sz w:val="24"/>
          <w:szCs w:val="24"/>
        </w:rPr>
        <w:fldChar w:fldCharType="separate"/>
      </w:r>
      <w:r>
        <w:rPr>
          <w:rFonts w:hint="eastAsia"/>
          <w:sz w:val="24"/>
          <w:szCs w:val="24"/>
        </w:rPr>
        <w:t>4</w:t>
      </w:r>
      <w:r>
        <w:rPr>
          <w:rFonts w:hint="eastAsia"/>
          <w:sz w:val="24"/>
          <w:szCs w:val="24"/>
        </w:rPr>
        <w:fldChar w:fldCharType="end"/>
      </w:r>
    </w:p>
    <w:p>
      <w:pPr>
        <w:pStyle w:val="20"/>
        <w:ind w:firstLine="480"/>
        <w:rPr>
          <w:rFonts w:cstheme="minorBidi"/>
          <w:sz w:val="24"/>
          <w:szCs w:val="24"/>
        </w:rPr>
      </w:pPr>
      <w:r>
        <w:rPr>
          <w:rFonts w:hint="eastAsia"/>
          <w:sz w:val="24"/>
          <w:szCs w:val="24"/>
        </w:rPr>
        <w:t>第四节  上轮矿产资源规划实施成效</w:t>
      </w:r>
      <w:r>
        <w:rPr>
          <w:rFonts w:hint="eastAsia"/>
          <w:sz w:val="24"/>
          <w:szCs w:val="24"/>
        </w:rPr>
        <w:tab/>
      </w:r>
      <w:r>
        <w:rPr>
          <w:rFonts w:hint="eastAsia"/>
          <w:sz w:val="24"/>
          <w:szCs w:val="24"/>
        </w:rPr>
        <w:fldChar w:fldCharType="begin"/>
      </w:r>
      <w:r>
        <w:rPr>
          <w:rFonts w:hint="eastAsia"/>
          <w:sz w:val="24"/>
          <w:szCs w:val="24"/>
        </w:rPr>
        <w:instrText xml:space="preserve"> PAGEREF _Toc124293457 \h </w:instrText>
      </w:r>
      <w:r>
        <w:rPr>
          <w:rFonts w:hint="eastAsia"/>
          <w:sz w:val="24"/>
          <w:szCs w:val="24"/>
        </w:rPr>
        <w:fldChar w:fldCharType="separate"/>
      </w:r>
      <w:r>
        <w:rPr>
          <w:rFonts w:hint="eastAsia"/>
          <w:sz w:val="24"/>
          <w:szCs w:val="24"/>
        </w:rPr>
        <w:t>4</w:t>
      </w:r>
      <w:r>
        <w:rPr>
          <w:rFonts w:hint="eastAsia"/>
          <w:sz w:val="24"/>
          <w:szCs w:val="24"/>
        </w:rPr>
        <w:fldChar w:fldCharType="end"/>
      </w:r>
    </w:p>
    <w:p>
      <w:pPr>
        <w:pStyle w:val="20"/>
        <w:ind w:firstLine="480"/>
        <w:rPr>
          <w:rFonts w:cstheme="minorBidi"/>
          <w:sz w:val="24"/>
          <w:szCs w:val="24"/>
        </w:rPr>
      </w:pPr>
      <w:r>
        <w:rPr>
          <w:rFonts w:hint="eastAsia"/>
          <w:sz w:val="24"/>
          <w:szCs w:val="24"/>
        </w:rPr>
        <w:t>第五节  存在问题</w:t>
      </w:r>
      <w:r>
        <w:rPr>
          <w:rFonts w:hint="eastAsia"/>
          <w:sz w:val="24"/>
          <w:szCs w:val="24"/>
        </w:rPr>
        <w:tab/>
      </w:r>
      <w:r>
        <w:rPr>
          <w:rFonts w:hint="eastAsia"/>
          <w:sz w:val="24"/>
          <w:szCs w:val="24"/>
        </w:rPr>
        <w:fldChar w:fldCharType="begin"/>
      </w:r>
      <w:r>
        <w:rPr>
          <w:rFonts w:hint="eastAsia"/>
          <w:sz w:val="24"/>
          <w:szCs w:val="24"/>
        </w:rPr>
        <w:instrText xml:space="preserve"> PAGEREF _Toc124293458 \h </w:instrText>
      </w:r>
      <w:r>
        <w:rPr>
          <w:rFonts w:hint="eastAsia"/>
          <w:sz w:val="24"/>
          <w:szCs w:val="24"/>
        </w:rPr>
        <w:fldChar w:fldCharType="separate"/>
      </w:r>
      <w:r>
        <w:rPr>
          <w:rFonts w:hint="eastAsia"/>
          <w:sz w:val="24"/>
          <w:szCs w:val="24"/>
        </w:rPr>
        <w:t>7</w:t>
      </w:r>
      <w:r>
        <w:rPr>
          <w:rFonts w:hint="eastAsia"/>
          <w:sz w:val="24"/>
          <w:szCs w:val="24"/>
        </w:rPr>
        <w:fldChar w:fldCharType="end"/>
      </w:r>
    </w:p>
    <w:p>
      <w:pPr>
        <w:pStyle w:val="20"/>
        <w:ind w:firstLine="480"/>
        <w:rPr>
          <w:rFonts w:cstheme="minorBidi"/>
          <w:sz w:val="24"/>
          <w:szCs w:val="24"/>
        </w:rPr>
      </w:pPr>
      <w:r>
        <w:rPr>
          <w:rFonts w:hint="eastAsia"/>
          <w:sz w:val="24"/>
          <w:szCs w:val="24"/>
        </w:rPr>
        <w:t>第六节  面临形势</w:t>
      </w:r>
      <w:r>
        <w:rPr>
          <w:rFonts w:hint="eastAsia"/>
          <w:sz w:val="24"/>
          <w:szCs w:val="24"/>
        </w:rPr>
        <w:tab/>
      </w:r>
      <w:r>
        <w:rPr>
          <w:rFonts w:hint="eastAsia"/>
          <w:sz w:val="24"/>
          <w:szCs w:val="24"/>
        </w:rPr>
        <w:fldChar w:fldCharType="begin"/>
      </w:r>
      <w:r>
        <w:rPr>
          <w:rFonts w:hint="eastAsia"/>
          <w:sz w:val="24"/>
          <w:szCs w:val="24"/>
        </w:rPr>
        <w:instrText xml:space="preserve"> PAGEREF _Toc124293459 \h </w:instrText>
      </w:r>
      <w:r>
        <w:rPr>
          <w:rFonts w:hint="eastAsia"/>
          <w:sz w:val="24"/>
          <w:szCs w:val="24"/>
        </w:rPr>
        <w:fldChar w:fldCharType="separate"/>
      </w:r>
      <w:r>
        <w:rPr>
          <w:rFonts w:hint="eastAsia"/>
          <w:sz w:val="24"/>
          <w:szCs w:val="24"/>
        </w:rPr>
        <w:t>8</w:t>
      </w:r>
      <w:r>
        <w:rPr>
          <w:rFonts w:hint="eastAsia"/>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第二章  指导原则与规划目标</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_Toc124293460 \h </w:instrText>
      </w:r>
      <w:r>
        <w:rPr>
          <w:rFonts w:hint="eastAsia" w:ascii="仿宋_GB2312" w:eastAsia="仿宋_GB2312"/>
          <w:b w:val="0"/>
          <w:sz w:val="24"/>
          <w:szCs w:val="24"/>
        </w:rPr>
        <w:fldChar w:fldCharType="separate"/>
      </w:r>
      <w:r>
        <w:rPr>
          <w:rFonts w:hint="eastAsia" w:ascii="仿宋_GB2312" w:eastAsia="仿宋_GB2312"/>
          <w:b w:val="0"/>
          <w:sz w:val="24"/>
          <w:szCs w:val="24"/>
        </w:rPr>
        <w:t>10</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指导思想</w:t>
      </w:r>
      <w:r>
        <w:rPr>
          <w:rFonts w:hint="eastAsia"/>
          <w:sz w:val="24"/>
          <w:szCs w:val="24"/>
        </w:rPr>
        <w:tab/>
      </w:r>
      <w:r>
        <w:rPr>
          <w:rFonts w:hint="eastAsia"/>
          <w:sz w:val="24"/>
          <w:szCs w:val="24"/>
        </w:rPr>
        <w:fldChar w:fldCharType="begin"/>
      </w:r>
      <w:r>
        <w:rPr>
          <w:rFonts w:hint="eastAsia"/>
          <w:sz w:val="24"/>
          <w:szCs w:val="24"/>
        </w:rPr>
        <w:instrText xml:space="preserve"> PAGEREF _Toc124293461 \h </w:instrText>
      </w:r>
      <w:r>
        <w:rPr>
          <w:rFonts w:hint="eastAsia"/>
          <w:sz w:val="24"/>
          <w:szCs w:val="24"/>
        </w:rPr>
        <w:fldChar w:fldCharType="separate"/>
      </w:r>
      <w:r>
        <w:rPr>
          <w:rFonts w:hint="eastAsia"/>
          <w:sz w:val="24"/>
          <w:szCs w:val="24"/>
        </w:rPr>
        <w:t>10</w:t>
      </w:r>
      <w:r>
        <w:rPr>
          <w:rFonts w:hint="eastAsia"/>
          <w:sz w:val="24"/>
          <w:szCs w:val="24"/>
        </w:rPr>
        <w:fldChar w:fldCharType="end"/>
      </w:r>
    </w:p>
    <w:p>
      <w:pPr>
        <w:pStyle w:val="20"/>
        <w:ind w:firstLine="480"/>
        <w:rPr>
          <w:rFonts w:cstheme="minorBidi"/>
          <w:sz w:val="24"/>
          <w:szCs w:val="24"/>
        </w:rPr>
      </w:pPr>
      <w:r>
        <w:rPr>
          <w:rFonts w:hint="eastAsia"/>
          <w:sz w:val="24"/>
          <w:szCs w:val="24"/>
        </w:rPr>
        <w:t>第二节  基本原则</w:t>
      </w:r>
      <w:r>
        <w:rPr>
          <w:rFonts w:hint="eastAsia"/>
          <w:sz w:val="24"/>
          <w:szCs w:val="24"/>
        </w:rPr>
        <w:tab/>
      </w:r>
      <w:r>
        <w:rPr>
          <w:rFonts w:hint="eastAsia"/>
          <w:sz w:val="24"/>
          <w:szCs w:val="24"/>
        </w:rPr>
        <w:fldChar w:fldCharType="begin"/>
      </w:r>
      <w:r>
        <w:rPr>
          <w:rFonts w:hint="eastAsia"/>
          <w:sz w:val="24"/>
          <w:szCs w:val="24"/>
        </w:rPr>
        <w:instrText xml:space="preserve"> PAGEREF _Toc124293462 \h </w:instrText>
      </w:r>
      <w:r>
        <w:rPr>
          <w:rFonts w:hint="eastAsia"/>
          <w:sz w:val="24"/>
          <w:szCs w:val="24"/>
        </w:rPr>
        <w:fldChar w:fldCharType="separate"/>
      </w:r>
      <w:r>
        <w:rPr>
          <w:rFonts w:hint="eastAsia"/>
          <w:sz w:val="24"/>
          <w:szCs w:val="24"/>
        </w:rPr>
        <w:t>10</w:t>
      </w:r>
      <w:r>
        <w:rPr>
          <w:rFonts w:hint="eastAsia"/>
          <w:sz w:val="24"/>
          <w:szCs w:val="24"/>
        </w:rPr>
        <w:fldChar w:fldCharType="end"/>
      </w:r>
    </w:p>
    <w:p>
      <w:pPr>
        <w:pStyle w:val="20"/>
        <w:ind w:firstLine="480"/>
        <w:rPr>
          <w:rFonts w:cstheme="minorBidi"/>
          <w:sz w:val="24"/>
          <w:szCs w:val="24"/>
        </w:rPr>
      </w:pPr>
      <w:r>
        <w:rPr>
          <w:rFonts w:hint="eastAsia"/>
          <w:sz w:val="24"/>
          <w:szCs w:val="24"/>
        </w:rPr>
        <w:t>第三节  规划目标</w:t>
      </w:r>
      <w:r>
        <w:rPr>
          <w:rFonts w:hint="eastAsia"/>
          <w:sz w:val="24"/>
          <w:szCs w:val="24"/>
        </w:rPr>
        <w:tab/>
      </w:r>
      <w:r>
        <w:rPr>
          <w:rFonts w:hint="eastAsia"/>
          <w:sz w:val="24"/>
          <w:szCs w:val="24"/>
        </w:rPr>
        <w:fldChar w:fldCharType="begin"/>
      </w:r>
      <w:r>
        <w:rPr>
          <w:rFonts w:hint="eastAsia"/>
          <w:sz w:val="24"/>
          <w:szCs w:val="24"/>
        </w:rPr>
        <w:instrText xml:space="preserve"> PAGEREF _Toc124293463 \h </w:instrText>
      </w:r>
      <w:r>
        <w:rPr>
          <w:rFonts w:hint="eastAsia"/>
          <w:sz w:val="24"/>
          <w:szCs w:val="24"/>
        </w:rPr>
        <w:fldChar w:fldCharType="separate"/>
      </w:r>
      <w:r>
        <w:rPr>
          <w:rFonts w:hint="eastAsia"/>
          <w:sz w:val="24"/>
          <w:szCs w:val="24"/>
        </w:rPr>
        <w:t>12</w:t>
      </w:r>
      <w:r>
        <w:rPr>
          <w:rFonts w:hint="eastAsia"/>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第三章  矿产勘查开发与保护布局</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_Toc124293464 \h </w:instrText>
      </w:r>
      <w:r>
        <w:rPr>
          <w:rFonts w:hint="eastAsia" w:ascii="仿宋_GB2312" w:eastAsia="仿宋_GB2312"/>
          <w:b w:val="0"/>
          <w:sz w:val="24"/>
          <w:szCs w:val="24"/>
        </w:rPr>
        <w:fldChar w:fldCharType="separate"/>
      </w:r>
      <w:r>
        <w:rPr>
          <w:rFonts w:hint="eastAsia" w:ascii="仿宋_GB2312" w:eastAsia="仿宋_GB2312"/>
          <w:b w:val="0"/>
          <w:sz w:val="24"/>
          <w:szCs w:val="24"/>
        </w:rPr>
        <w:t>16</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明确矿产资源勘查开发方向</w:t>
      </w:r>
      <w:r>
        <w:rPr>
          <w:rFonts w:hint="eastAsia"/>
          <w:sz w:val="24"/>
          <w:szCs w:val="24"/>
        </w:rPr>
        <w:tab/>
      </w:r>
      <w:r>
        <w:rPr>
          <w:rFonts w:hint="eastAsia"/>
          <w:sz w:val="24"/>
          <w:szCs w:val="24"/>
        </w:rPr>
        <w:fldChar w:fldCharType="begin"/>
      </w:r>
      <w:r>
        <w:rPr>
          <w:rFonts w:hint="eastAsia"/>
          <w:sz w:val="24"/>
          <w:szCs w:val="24"/>
        </w:rPr>
        <w:instrText xml:space="preserve"> PAGEREF _Toc124293465 \h </w:instrText>
      </w:r>
      <w:r>
        <w:rPr>
          <w:rFonts w:hint="eastAsia"/>
          <w:sz w:val="24"/>
          <w:szCs w:val="24"/>
        </w:rPr>
        <w:fldChar w:fldCharType="separate"/>
      </w:r>
      <w:r>
        <w:rPr>
          <w:rFonts w:hint="eastAsia"/>
          <w:sz w:val="24"/>
          <w:szCs w:val="24"/>
        </w:rPr>
        <w:t>16</w:t>
      </w:r>
      <w:r>
        <w:rPr>
          <w:rFonts w:hint="eastAsia"/>
          <w:sz w:val="24"/>
          <w:szCs w:val="24"/>
        </w:rPr>
        <w:fldChar w:fldCharType="end"/>
      </w:r>
    </w:p>
    <w:p>
      <w:pPr>
        <w:pStyle w:val="20"/>
        <w:ind w:firstLine="480"/>
        <w:rPr>
          <w:rFonts w:cstheme="minorBidi"/>
          <w:sz w:val="24"/>
          <w:szCs w:val="24"/>
        </w:rPr>
      </w:pPr>
      <w:r>
        <w:rPr>
          <w:rFonts w:hint="eastAsia"/>
          <w:sz w:val="24"/>
          <w:szCs w:val="24"/>
        </w:rPr>
        <w:t>第二节  合理布局产业重点发展区域</w:t>
      </w:r>
      <w:r>
        <w:rPr>
          <w:rFonts w:hint="eastAsia"/>
          <w:sz w:val="24"/>
          <w:szCs w:val="24"/>
        </w:rPr>
        <w:tab/>
      </w:r>
      <w:r>
        <w:rPr>
          <w:rFonts w:hint="eastAsia"/>
          <w:sz w:val="24"/>
          <w:szCs w:val="24"/>
        </w:rPr>
        <w:fldChar w:fldCharType="begin"/>
      </w:r>
      <w:r>
        <w:rPr>
          <w:rFonts w:hint="eastAsia"/>
          <w:sz w:val="24"/>
          <w:szCs w:val="24"/>
        </w:rPr>
        <w:instrText xml:space="preserve"> PAGEREF _Toc124293466 \h </w:instrText>
      </w:r>
      <w:r>
        <w:rPr>
          <w:rFonts w:hint="eastAsia"/>
          <w:sz w:val="24"/>
          <w:szCs w:val="24"/>
        </w:rPr>
        <w:fldChar w:fldCharType="separate"/>
      </w:r>
      <w:r>
        <w:rPr>
          <w:rFonts w:hint="eastAsia"/>
          <w:sz w:val="24"/>
          <w:szCs w:val="24"/>
        </w:rPr>
        <w:t>16</w:t>
      </w:r>
      <w:r>
        <w:rPr>
          <w:rFonts w:hint="eastAsia"/>
          <w:sz w:val="24"/>
          <w:szCs w:val="24"/>
        </w:rPr>
        <w:fldChar w:fldCharType="end"/>
      </w:r>
    </w:p>
    <w:p>
      <w:pPr>
        <w:pStyle w:val="20"/>
        <w:ind w:firstLine="480"/>
        <w:rPr>
          <w:rFonts w:cstheme="minorBidi"/>
          <w:sz w:val="24"/>
          <w:szCs w:val="24"/>
        </w:rPr>
      </w:pPr>
      <w:r>
        <w:rPr>
          <w:rFonts w:hint="eastAsia"/>
          <w:sz w:val="24"/>
          <w:szCs w:val="24"/>
        </w:rPr>
        <w:t>第三节  勘查开采与保护布局</w:t>
      </w:r>
      <w:r>
        <w:rPr>
          <w:rFonts w:hint="eastAsia"/>
          <w:sz w:val="24"/>
          <w:szCs w:val="24"/>
        </w:rPr>
        <w:tab/>
      </w:r>
      <w:r>
        <w:rPr>
          <w:rFonts w:hint="eastAsia"/>
          <w:sz w:val="24"/>
          <w:szCs w:val="24"/>
        </w:rPr>
        <w:fldChar w:fldCharType="begin"/>
      </w:r>
      <w:r>
        <w:rPr>
          <w:rFonts w:hint="eastAsia"/>
          <w:sz w:val="24"/>
          <w:szCs w:val="24"/>
        </w:rPr>
        <w:instrText xml:space="preserve"> PAGEREF _Toc124293467 \h </w:instrText>
      </w:r>
      <w:r>
        <w:rPr>
          <w:rFonts w:hint="eastAsia"/>
          <w:sz w:val="24"/>
          <w:szCs w:val="24"/>
        </w:rPr>
        <w:fldChar w:fldCharType="separate"/>
      </w:r>
      <w:r>
        <w:rPr>
          <w:rFonts w:hint="eastAsia"/>
          <w:sz w:val="24"/>
          <w:szCs w:val="24"/>
        </w:rPr>
        <w:t>18</w:t>
      </w:r>
      <w:r>
        <w:rPr>
          <w:rFonts w:hint="eastAsia"/>
          <w:sz w:val="24"/>
          <w:szCs w:val="24"/>
        </w:rPr>
        <w:fldChar w:fldCharType="end"/>
      </w:r>
    </w:p>
    <w:p>
      <w:pPr>
        <w:pStyle w:val="20"/>
        <w:ind w:firstLine="480"/>
        <w:rPr>
          <w:rFonts w:cstheme="minorBidi"/>
          <w:sz w:val="24"/>
          <w:szCs w:val="24"/>
        </w:rPr>
      </w:pPr>
      <w:r>
        <w:rPr>
          <w:rFonts w:hint="eastAsia"/>
          <w:sz w:val="24"/>
          <w:szCs w:val="24"/>
        </w:rPr>
        <w:t>第五节  勘查开采规划区块</w:t>
      </w:r>
      <w:r>
        <w:rPr>
          <w:rFonts w:hint="eastAsia"/>
          <w:sz w:val="24"/>
          <w:szCs w:val="24"/>
        </w:rPr>
        <w:tab/>
      </w:r>
      <w:r>
        <w:rPr>
          <w:rFonts w:hint="eastAsia"/>
          <w:sz w:val="24"/>
          <w:szCs w:val="24"/>
        </w:rPr>
        <w:fldChar w:fldCharType="begin"/>
      </w:r>
      <w:r>
        <w:rPr>
          <w:rFonts w:hint="eastAsia"/>
          <w:sz w:val="24"/>
          <w:szCs w:val="24"/>
        </w:rPr>
        <w:instrText xml:space="preserve"> PAGEREF _Toc124293468 \h </w:instrText>
      </w:r>
      <w:r>
        <w:rPr>
          <w:rFonts w:hint="eastAsia"/>
          <w:sz w:val="24"/>
          <w:szCs w:val="24"/>
        </w:rPr>
        <w:fldChar w:fldCharType="separate"/>
      </w:r>
      <w:r>
        <w:rPr>
          <w:rFonts w:hint="eastAsia"/>
          <w:sz w:val="24"/>
          <w:szCs w:val="24"/>
        </w:rPr>
        <w:t>20</w:t>
      </w:r>
      <w:r>
        <w:rPr>
          <w:rFonts w:hint="eastAsia"/>
          <w:sz w:val="24"/>
          <w:szCs w:val="24"/>
        </w:rPr>
        <w:fldChar w:fldCharType="end"/>
      </w:r>
    </w:p>
    <w:p>
      <w:pPr>
        <w:pStyle w:val="20"/>
        <w:ind w:firstLine="480"/>
        <w:rPr>
          <w:rFonts w:cstheme="minorBidi"/>
          <w:sz w:val="24"/>
          <w:szCs w:val="24"/>
        </w:rPr>
      </w:pPr>
      <w:r>
        <w:rPr>
          <w:rFonts w:hint="eastAsia"/>
          <w:sz w:val="24"/>
          <w:szCs w:val="24"/>
        </w:rPr>
        <w:t>第六节  严格规划准入管理</w:t>
      </w:r>
      <w:r>
        <w:rPr>
          <w:rFonts w:hint="eastAsia"/>
          <w:sz w:val="24"/>
          <w:szCs w:val="24"/>
        </w:rPr>
        <w:tab/>
      </w:r>
      <w:r>
        <w:rPr>
          <w:rFonts w:hint="eastAsia"/>
          <w:sz w:val="24"/>
          <w:szCs w:val="24"/>
        </w:rPr>
        <w:fldChar w:fldCharType="begin"/>
      </w:r>
      <w:r>
        <w:rPr>
          <w:rFonts w:hint="eastAsia"/>
          <w:sz w:val="24"/>
          <w:szCs w:val="24"/>
        </w:rPr>
        <w:instrText xml:space="preserve"> PAGEREF _Toc124293469 \h </w:instrText>
      </w:r>
      <w:r>
        <w:rPr>
          <w:rFonts w:hint="eastAsia"/>
          <w:sz w:val="24"/>
          <w:szCs w:val="24"/>
        </w:rPr>
        <w:fldChar w:fldCharType="separate"/>
      </w:r>
      <w:r>
        <w:rPr>
          <w:rFonts w:hint="eastAsia"/>
          <w:sz w:val="24"/>
          <w:szCs w:val="24"/>
        </w:rPr>
        <w:t>21</w:t>
      </w:r>
      <w:r>
        <w:rPr>
          <w:rFonts w:hint="eastAsia"/>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第四章 加强矿产资源勘查开发利用与保护</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_Toc124293470 \h </w:instrText>
      </w:r>
      <w:r>
        <w:rPr>
          <w:rFonts w:hint="eastAsia" w:ascii="仿宋_GB2312" w:eastAsia="仿宋_GB2312"/>
          <w:b w:val="0"/>
          <w:sz w:val="24"/>
          <w:szCs w:val="24"/>
        </w:rPr>
        <w:fldChar w:fldCharType="separate"/>
      </w:r>
      <w:r>
        <w:rPr>
          <w:rFonts w:hint="eastAsia" w:ascii="仿宋_GB2312" w:eastAsia="仿宋_GB2312"/>
          <w:b w:val="0"/>
          <w:sz w:val="24"/>
          <w:szCs w:val="24"/>
        </w:rPr>
        <w:t>23</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合理确定开发强度</w:t>
      </w:r>
      <w:r>
        <w:rPr>
          <w:rFonts w:hint="eastAsia"/>
          <w:sz w:val="24"/>
          <w:szCs w:val="24"/>
        </w:rPr>
        <w:tab/>
      </w:r>
      <w:r>
        <w:rPr>
          <w:rFonts w:hint="eastAsia"/>
          <w:sz w:val="24"/>
          <w:szCs w:val="24"/>
        </w:rPr>
        <w:fldChar w:fldCharType="begin"/>
      </w:r>
      <w:r>
        <w:rPr>
          <w:rFonts w:hint="eastAsia"/>
          <w:sz w:val="24"/>
          <w:szCs w:val="24"/>
        </w:rPr>
        <w:instrText xml:space="preserve"> PAGEREF _Toc124293471 \h </w:instrText>
      </w:r>
      <w:r>
        <w:rPr>
          <w:rFonts w:hint="eastAsia"/>
          <w:sz w:val="24"/>
          <w:szCs w:val="24"/>
        </w:rPr>
        <w:fldChar w:fldCharType="separate"/>
      </w:r>
      <w:r>
        <w:rPr>
          <w:rFonts w:hint="eastAsia"/>
          <w:sz w:val="24"/>
          <w:szCs w:val="24"/>
        </w:rPr>
        <w:t>23</w:t>
      </w:r>
      <w:r>
        <w:rPr>
          <w:rFonts w:hint="eastAsia"/>
          <w:sz w:val="24"/>
          <w:szCs w:val="24"/>
        </w:rPr>
        <w:fldChar w:fldCharType="end"/>
      </w:r>
    </w:p>
    <w:p>
      <w:pPr>
        <w:pStyle w:val="20"/>
        <w:ind w:firstLine="480"/>
        <w:rPr>
          <w:rFonts w:cstheme="minorBidi"/>
          <w:sz w:val="24"/>
          <w:szCs w:val="24"/>
        </w:rPr>
      </w:pPr>
      <w:r>
        <w:rPr>
          <w:rFonts w:hint="eastAsia"/>
          <w:sz w:val="24"/>
          <w:szCs w:val="24"/>
        </w:rPr>
        <w:t>第二节  优化开发利用结构</w:t>
      </w:r>
      <w:r>
        <w:rPr>
          <w:rFonts w:hint="eastAsia"/>
          <w:sz w:val="24"/>
          <w:szCs w:val="24"/>
        </w:rPr>
        <w:tab/>
      </w:r>
      <w:r>
        <w:rPr>
          <w:rFonts w:hint="eastAsia"/>
          <w:sz w:val="24"/>
          <w:szCs w:val="24"/>
        </w:rPr>
        <w:fldChar w:fldCharType="begin"/>
      </w:r>
      <w:r>
        <w:rPr>
          <w:rFonts w:hint="eastAsia"/>
          <w:sz w:val="24"/>
          <w:szCs w:val="24"/>
        </w:rPr>
        <w:instrText xml:space="preserve"> PAGEREF _Toc124293472 \h </w:instrText>
      </w:r>
      <w:r>
        <w:rPr>
          <w:rFonts w:hint="eastAsia"/>
          <w:sz w:val="24"/>
          <w:szCs w:val="24"/>
        </w:rPr>
        <w:fldChar w:fldCharType="separate"/>
      </w:r>
      <w:r>
        <w:rPr>
          <w:rFonts w:hint="eastAsia"/>
          <w:sz w:val="24"/>
          <w:szCs w:val="24"/>
        </w:rPr>
        <w:t>24</w:t>
      </w:r>
      <w:r>
        <w:rPr>
          <w:rFonts w:hint="eastAsia"/>
          <w:sz w:val="24"/>
          <w:szCs w:val="24"/>
        </w:rPr>
        <w:fldChar w:fldCharType="end"/>
      </w:r>
    </w:p>
    <w:p>
      <w:pPr>
        <w:pStyle w:val="20"/>
        <w:ind w:firstLine="480"/>
        <w:rPr>
          <w:rFonts w:cstheme="minorBidi"/>
          <w:sz w:val="24"/>
          <w:szCs w:val="24"/>
        </w:rPr>
      </w:pPr>
      <w:r>
        <w:rPr>
          <w:rFonts w:hint="eastAsia"/>
          <w:sz w:val="24"/>
          <w:szCs w:val="24"/>
        </w:rPr>
        <w:t>第三节  节约与综合利用矿产资源</w:t>
      </w:r>
      <w:r>
        <w:rPr>
          <w:rFonts w:hint="eastAsia"/>
          <w:sz w:val="24"/>
          <w:szCs w:val="24"/>
        </w:rPr>
        <w:tab/>
      </w:r>
      <w:r>
        <w:rPr>
          <w:rFonts w:hint="eastAsia"/>
          <w:sz w:val="24"/>
          <w:szCs w:val="24"/>
        </w:rPr>
        <w:fldChar w:fldCharType="begin"/>
      </w:r>
      <w:r>
        <w:rPr>
          <w:rFonts w:hint="eastAsia"/>
          <w:sz w:val="24"/>
          <w:szCs w:val="24"/>
        </w:rPr>
        <w:instrText xml:space="preserve"> PAGEREF _Toc124293473 \h </w:instrText>
      </w:r>
      <w:r>
        <w:rPr>
          <w:rFonts w:hint="eastAsia"/>
          <w:sz w:val="24"/>
          <w:szCs w:val="24"/>
        </w:rPr>
        <w:fldChar w:fldCharType="separate"/>
      </w:r>
      <w:r>
        <w:rPr>
          <w:rFonts w:hint="eastAsia"/>
          <w:sz w:val="24"/>
          <w:szCs w:val="24"/>
        </w:rPr>
        <w:t>25</w:t>
      </w:r>
      <w:r>
        <w:rPr>
          <w:rFonts w:hint="eastAsia"/>
          <w:sz w:val="24"/>
          <w:szCs w:val="24"/>
        </w:rPr>
        <w:fldChar w:fldCharType="end"/>
      </w:r>
    </w:p>
    <w:p>
      <w:pPr>
        <w:pStyle w:val="20"/>
        <w:ind w:firstLine="480"/>
        <w:rPr>
          <w:rFonts w:cstheme="minorBidi"/>
          <w:sz w:val="24"/>
          <w:szCs w:val="24"/>
        </w:rPr>
      </w:pPr>
      <w:r>
        <w:rPr>
          <w:rFonts w:hint="eastAsia"/>
          <w:sz w:val="24"/>
          <w:szCs w:val="24"/>
        </w:rPr>
        <w:t>第四节  持续推进矿产资源管理改革</w:t>
      </w:r>
      <w:r>
        <w:rPr>
          <w:rFonts w:hint="eastAsia"/>
          <w:sz w:val="24"/>
          <w:szCs w:val="24"/>
        </w:rPr>
        <w:tab/>
      </w:r>
      <w:r>
        <w:rPr>
          <w:rFonts w:hint="eastAsia"/>
          <w:sz w:val="24"/>
          <w:szCs w:val="24"/>
        </w:rPr>
        <w:fldChar w:fldCharType="begin"/>
      </w:r>
      <w:r>
        <w:rPr>
          <w:rFonts w:hint="eastAsia"/>
          <w:sz w:val="24"/>
          <w:szCs w:val="24"/>
        </w:rPr>
        <w:instrText xml:space="preserve"> PAGEREF _Toc124293474 \h </w:instrText>
      </w:r>
      <w:r>
        <w:rPr>
          <w:rFonts w:hint="eastAsia"/>
          <w:sz w:val="24"/>
          <w:szCs w:val="24"/>
        </w:rPr>
        <w:fldChar w:fldCharType="separate"/>
      </w:r>
      <w:r>
        <w:rPr>
          <w:rFonts w:hint="eastAsia"/>
          <w:sz w:val="24"/>
          <w:szCs w:val="24"/>
        </w:rPr>
        <w:t>26</w:t>
      </w:r>
      <w:r>
        <w:rPr>
          <w:rFonts w:hint="eastAsia"/>
          <w:sz w:val="24"/>
          <w:szCs w:val="24"/>
        </w:rPr>
        <w:fldChar w:fldCharType="end"/>
      </w:r>
    </w:p>
    <w:p>
      <w:pPr>
        <w:pStyle w:val="20"/>
        <w:ind w:firstLine="480"/>
        <w:rPr>
          <w:rFonts w:cstheme="minorBidi"/>
          <w:sz w:val="24"/>
          <w:szCs w:val="24"/>
        </w:rPr>
      </w:pPr>
      <w:r>
        <w:rPr>
          <w:rFonts w:hint="eastAsia"/>
          <w:sz w:val="24"/>
          <w:szCs w:val="24"/>
        </w:rPr>
        <w:t>第五节  严格矿产资源勘查开发管理</w:t>
      </w:r>
      <w:r>
        <w:rPr>
          <w:rFonts w:hint="eastAsia"/>
          <w:sz w:val="24"/>
          <w:szCs w:val="24"/>
        </w:rPr>
        <w:tab/>
      </w:r>
      <w:r>
        <w:rPr>
          <w:rFonts w:hint="eastAsia"/>
          <w:sz w:val="24"/>
          <w:szCs w:val="24"/>
        </w:rPr>
        <w:fldChar w:fldCharType="begin"/>
      </w:r>
      <w:r>
        <w:rPr>
          <w:rFonts w:hint="eastAsia"/>
          <w:sz w:val="24"/>
          <w:szCs w:val="24"/>
        </w:rPr>
        <w:instrText xml:space="preserve"> PAGEREF _Toc124293475 \h </w:instrText>
      </w:r>
      <w:r>
        <w:rPr>
          <w:rFonts w:hint="eastAsia"/>
          <w:sz w:val="24"/>
          <w:szCs w:val="24"/>
        </w:rPr>
        <w:fldChar w:fldCharType="separate"/>
      </w:r>
      <w:r>
        <w:rPr>
          <w:rFonts w:hint="eastAsia"/>
          <w:sz w:val="24"/>
          <w:szCs w:val="24"/>
        </w:rPr>
        <w:t>28</w:t>
      </w:r>
      <w:r>
        <w:rPr>
          <w:rFonts w:hint="eastAsia"/>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第五章 绿色矿山建设和矿区生态保护</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_Toc124293476 \h </w:instrText>
      </w:r>
      <w:r>
        <w:rPr>
          <w:rFonts w:hint="eastAsia" w:ascii="仿宋_GB2312" w:eastAsia="仿宋_GB2312"/>
          <w:b w:val="0"/>
          <w:sz w:val="24"/>
          <w:szCs w:val="24"/>
        </w:rPr>
        <w:fldChar w:fldCharType="separate"/>
      </w:r>
      <w:r>
        <w:rPr>
          <w:rFonts w:hint="eastAsia" w:ascii="仿宋_GB2312" w:eastAsia="仿宋_GB2312"/>
          <w:b w:val="0"/>
          <w:sz w:val="24"/>
          <w:szCs w:val="24"/>
        </w:rPr>
        <w:t>29</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绿色矿山建设</w:t>
      </w:r>
      <w:r>
        <w:rPr>
          <w:rFonts w:hint="eastAsia"/>
          <w:sz w:val="24"/>
          <w:szCs w:val="24"/>
        </w:rPr>
        <w:tab/>
      </w:r>
      <w:r>
        <w:rPr>
          <w:rFonts w:hint="eastAsia"/>
          <w:sz w:val="24"/>
          <w:szCs w:val="24"/>
        </w:rPr>
        <w:fldChar w:fldCharType="begin"/>
      </w:r>
      <w:r>
        <w:rPr>
          <w:rFonts w:hint="eastAsia"/>
          <w:sz w:val="24"/>
          <w:szCs w:val="24"/>
        </w:rPr>
        <w:instrText xml:space="preserve"> PAGEREF _Toc124293477 \h </w:instrText>
      </w:r>
      <w:r>
        <w:rPr>
          <w:rFonts w:hint="eastAsia"/>
          <w:sz w:val="24"/>
          <w:szCs w:val="24"/>
        </w:rPr>
        <w:fldChar w:fldCharType="separate"/>
      </w:r>
      <w:r>
        <w:rPr>
          <w:rFonts w:hint="eastAsia"/>
          <w:sz w:val="24"/>
          <w:szCs w:val="24"/>
        </w:rPr>
        <w:t>29</w:t>
      </w:r>
      <w:r>
        <w:rPr>
          <w:rFonts w:hint="eastAsia"/>
          <w:sz w:val="24"/>
          <w:szCs w:val="24"/>
        </w:rPr>
        <w:fldChar w:fldCharType="end"/>
      </w:r>
    </w:p>
    <w:p>
      <w:pPr>
        <w:pStyle w:val="20"/>
        <w:ind w:firstLine="480"/>
        <w:rPr>
          <w:rFonts w:cstheme="minorBidi"/>
          <w:sz w:val="24"/>
          <w:szCs w:val="24"/>
        </w:rPr>
      </w:pPr>
      <w:r>
        <w:rPr>
          <w:rFonts w:hint="eastAsia"/>
          <w:sz w:val="24"/>
          <w:szCs w:val="24"/>
        </w:rPr>
        <w:t>第二节  矿区生态保护修复</w:t>
      </w:r>
      <w:r>
        <w:rPr>
          <w:rFonts w:hint="eastAsia"/>
          <w:sz w:val="24"/>
          <w:szCs w:val="24"/>
        </w:rPr>
        <w:tab/>
      </w:r>
      <w:r>
        <w:rPr>
          <w:rFonts w:hint="eastAsia"/>
          <w:sz w:val="24"/>
          <w:szCs w:val="24"/>
        </w:rPr>
        <w:fldChar w:fldCharType="begin"/>
      </w:r>
      <w:r>
        <w:rPr>
          <w:rFonts w:hint="eastAsia"/>
          <w:sz w:val="24"/>
          <w:szCs w:val="24"/>
        </w:rPr>
        <w:instrText xml:space="preserve"> PAGEREF _Toc124293478 \h </w:instrText>
      </w:r>
      <w:r>
        <w:rPr>
          <w:rFonts w:hint="eastAsia"/>
          <w:sz w:val="24"/>
          <w:szCs w:val="24"/>
        </w:rPr>
        <w:fldChar w:fldCharType="separate"/>
      </w:r>
      <w:r>
        <w:rPr>
          <w:rFonts w:hint="eastAsia"/>
          <w:sz w:val="24"/>
          <w:szCs w:val="24"/>
        </w:rPr>
        <w:t>30</w:t>
      </w:r>
      <w:r>
        <w:rPr>
          <w:rFonts w:hint="eastAsia"/>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第六章  水土保持</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_Toc124293479 \h </w:instrText>
      </w:r>
      <w:r>
        <w:rPr>
          <w:rFonts w:hint="eastAsia" w:ascii="仿宋_GB2312" w:eastAsia="仿宋_GB2312"/>
          <w:b w:val="0"/>
          <w:sz w:val="24"/>
          <w:szCs w:val="24"/>
        </w:rPr>
        <w:fldChar w:fldCharType="separate"/>
      </w:r>
      <w:r>
        <w:rPr>
          <w:rFonts w:hint="eastAsia" w:ascii="仿宋_GB2312" w:eastAsia="仿宋_GB2312"/>
          <w:b w:val="0"/>
          <w:sz w:val="24"/>
          <w:szCs w:val="24"/>
        </w:rPr>
        <w:t>33</w:t>
      </w:r>
      <w:r>
        <w:rPr>
          <w:rFonts w:hint="eastAsia" w:ascii="仿宋_GB2312" w:eastAsia="仿宋_GB2312"/>
          <w:b w:val="0"/>
          <w:sz w:val="24"/>
          <w:szCs w:val="24"/>
        </w:rPr>
        <w:fldChar w:fldCharType="end"/>
      </w:r>
    </w:p>
    <w:p>
      <w:pPr>
        <w:pStyle w:val="17"/>
        <w:tabs>
          <w:tab w:val="right" w:leader="dot" w:pos="8296"/>
        </w:tabs>
        <w:ind w:firstLine="482"/>
        <w:rPr>
          <w:rFonts w:ascii="仿宋_GB2312" w:eastAsia="仿宋_GB2312" w:cstheme="minorBidi"/>
          <w:b w:val="0"/>
          <w:bCs w:val="0"/>
          <w:caps w:val="0"/>
          <w:sz w:val="24"/>
          <w:szCs w:val="24"/>
        </w:rPr>
      </w:pPr>
      <w:r>
        <w:rPr>
          <w:rFonts w:hint="eastAsia" w:ascii="仿宋_GB2312" w:eastAsia="仿宋_GB2312"/>
          <w:sz w:val="24"/>
          <w:szCs w:val="24"/>
        </w:rPr>
        <w:t>第七章 规划保障措施</w:t>
      </w:r>
      <w:r>
        <w:rPr>
          <w:rFonts w:hint="eastAsia" w:ascii="仿宋_GB2312" w:eastAsia="仿宋_GB2312"/>
          <w:sz w:val="24"/>
          <w:szCs w:val="24"/>
        </w:rPr>
        <w:tab/>
      </w:r>
      <w:r>
        <w:rPr>
          <w:rFonts w:hint="eastAsia" w:ascii="仿宋_GB2312" w:eastAsia="仿宋_GB2312"/>
          <w:b w:val="0"/>
          <w:sz w:val="24"/>
          <w:szCs w:val="24"/>
        </w:rPr>
        <w:fldChar w:fldCharType="begin"/>
      </w:r>
      <w:r>
        <w:rPr>
          <w:rFonts w:hint="eastAsia" w:ascii="仿宋_GB2312" w:eastAsia="仿宋_GB2312"/>
          <w:b w:val="0"/>
          <w:sz w:val="24"/>
          <w:szCs w:val="24"/>
        </w:rPr>
        <w:instrText xml:space="preserve"> PAGEREF _Toc124293480 \h </w:instrText>
      </w:r>
      <w:r>
        <w:rPr>
          <w:rFonts w:hint="eastAsia" w:ascii="仿宋_GB2312" w:eastAsia="仿宋_GB2312"/>
          <w:b w:val="0"/>
          <w:sz w:val="24"/>
          <w:szCs w:val="24"/>
        </w:rPr>
        <w:fldChar w:fldCharType="separate"/>
      </w:r>
      <w:r>
        <w:rPr>
          <w:rFonts w:hint="eastAsia" w:ascii="仿宋_GB2312" w:eastAsia="仿宋_GB2312"/>
          <w:b w:val="0"/>
          <w:sz w:val="24"/>
          <w:szCs w:val="24"/>
        </w:rPr>
        <w:t>35</w:t>
      </w:r>
      <w:r>
        <w:rPr>
          <w:rFonts w:hint="eastAsia" w:ascii="仿宋_GB2312" w:eastAsia="仿宋_GB2312"/>
          <w:b w:val="0"/>
          <w:sz w:val="24"/>
          <w:szCs w:val="24"/>
        </w:rPr>
        <w:fldChar w:fldCharType="end"/>
      </w:r>
    </w:p>
    <w:p>
      <w:pPr>
        <w:pStyle w:val="20"/>
        <w:ind w:firstLine="480"/>
        <w:rPr>
          <w:rFonts w:cstheme="minorBidi"/>
          <w:sz w:val="24"/>
          <w:szCs w:val="24"/>
        </w:rPr>
      </w:pPr>
      <w:r>
        <w:rPr>
          <w:rFonts w:hint="eastAsia"/>
          <w:sz w:val="24"/>
          <w:szCs w:val="24"/>
        </w:rPr>
        <w:t>第一节  加强组织领导，保障规划实施</w:t>
      </w:r>
      <w:r>
        <w:rPr>
          <w:rFonts w:hint="eastAsia"/>
          <w:sz w:val="24"/>
          <w:szCs w:val="24"/>
        </w:rPr>
        <w:tab/>
      </w:r>
      <w:r>
        <w:rPr>
          <w:rFonts w:hint="eastAsia"/>
          <w:sz w:val="24"/>
          <w:szCs w:val="24"/>
        </w:rPr>
        <w:fldChar w:fldCharType="begin"/>
      </w:r>
      <w:r>
        <w:rPr>
          <w:rFonts w:hint="eastAsia"/>
          <w:sz w:val="24"/>
          <w:szCs w:val="24"/>
        </w:rPr>
        <w:instrText xml:space="preserve"> PAGEREF _Toc124293481 \h </w:instrText>
      </w:r>
      <w:r>
        <w:rPr>
          <w:rFonts w:hint="eastAsia"/>
          <w:sz w:val="24"/>
          <w:szCs w:val="24"/>
        </w:rPr>
        <w:fldChar w:fldCharType="separate"/>
      </w:r>
      <w:r>
        <w:rPr>
          <w:rFonts w:hint="eastAsia"/>
          <w:sz w:val="24"/>
          <w:szCs w:val="24"/>
        </w:rPr>
        <w:t>35</w:t>
      </w:r>
      <w:r>
        <w:rPr>
          <w:rFonts w:hint="eastAsia"/>
          <w:sz w:val="24"/>
          <w:szCs w:val="24"/>
        </w:rPr>
        <w:fldChar w:fldCharType="end"/>
      </w:r>
    </w:p>
    <w:p>
      <w:pPr>
        <w:pStyle w:val="20"/>
        <w:ind w:firstLine="480"/>
        <w:rPr>
          <w:rFonts w:cstheme="minorBidi"/>
          <w:sz w:val="24"/>
          <w:szCs w:val="24"/>
        </w:rPr>
      </w:pPr>
      <w:r>
        <w:rPr>
          <w:rFonts w:hint="eastAsia"/>
          <w:sz w:val="24"/>
          <w:szCs w:val="24"/>
        </w:rPr>
        <w:t>第二节  强化约束管控</w:t>
      </w:r>
      <w:r>
        <w:rPr>
          <w:rFonts w:hint="eastAsia"/>
          <w:sz w:val="24"/>
          <w:szCs w:val="24"/>
        </w:rPr>
        <w:tab/>
      </w:r>
      <w:r>
        <w:rPr>
          <w:rFonts w:hint="eastAsia"/>
          <w:sz w:val="24"/>
          <w:szCs w:val="24"/>
        </w:rPr>
        <w:fldChar w:fldCharType="begin"/>
      </w:r>
      <w:r>
        <w:rPr>
          <w:rFonts w:hint="eastAsia"/>
          <w:sz w:val="24"/>
          <w:szCs w:val="24"/>
        </w:rPr>
        <w:instrText xml:space="preserve"> PAGEREF _Toc124293482 \h </w:instrText>
      </w:r>
      <w:r>
        <w:rPr>
          <w:rFonts w:hint="eastAsia"/>
          <w:sz w:val="24"/>
          <w:szCs w:val="24"/>
        </w:rPr>
        <w:fldChar w:fldCharType="separate"/>
      </w:r>
      <w:r>
        <w:rPr>
          <w:rFonts w:hint="eastAsia"/>
          <w:sz w:val="24"/>
          <w:szCs w:val="24"/>
        </w:rPr>
        <w:t>35</w:t>
      </w:r>
      <w:r>
        <w:rPr>
          <w:rFonts w:hint="eastAsia"/>
          <w:sz w:val="24"/>
          <w:szCs w:val="24"/>
        </w:rPr>
        <w:fldChar w:fldCharType="end"/>
      </w:r>
    </w:p>
    <w:p>
      <w:pPr>
        <w:pStyle w:val="20"/>
        <w:ind w:firstLine="480"/>
        <w:rPr>
          <w:rFonts w:cstheme="minorBidi"/>
          <w:sz w:val="24"/>
          <w:szCs w:val="24"/>
        </w:rPr>
      </w:pPr>
      <w:r>
        <w:rPr>
          <w:rFonts w:hint="eastAsia"/>
          <w:sz w:val="24"/>
          <w:szCs w:val="24"/>
        </w:rPr>
        <w:t>第三节  加强监督检查</w:t>
      </w:r>
      <w:r>
        <w:rPr>
          <w:rFonts w:hint="eastAsia"/>
          <w:sz w:val="24"/>
          <w:szCs w:val="24"/>
        </w:rPr>
        <w:tab/>
      </w:r>
      <w:r>
        <w:rPr>
          <w:rFonts w:hint="eastAsia"/>
          <w:sz w:val="24"/>
          <w:szCs w:val="24"/>
        </w:rPr>
        <w:fldChar w:fldCharType="begin"/>
      </w:r>
      <w:r>
        <w:rPr>
          <w:rFonts w:hint="eastAsia"/>
          <w:sz w:val="24"/>
          <w:szCs w:val="24"/>
        </w:rPr>
        <w:instrText xml:space="preserve"> PAGEREF _Toc124293483 \h </w:instrText>
      </w:r>
      <w:r>
        <w:rPr>
          <w:rFonts w:hint="eastAsia"/>
          <w:sz w:val="24"/>
          <w:szCs w:val="24"/>
        </w:rPr>
        <w:fldChar w:fldCharType="separate"/>
      </w:r>
      <w:r>
        <w:rPr>
          <w:rFonts w:hint="eastAsia"/>
          <w:sz w:val="24"/>
          <w:szCs w:val="24"/>
        </w:rPr>
        <w:t>35</w:t>
      </w:r>
      <w:r>
        <w:rPr>
          <w:rFonts w:hint="eastAsia"/>
          <w:sz w:val="24"/>
          <w:szCs w:val="24"/>
        </w:rPr>
        <w:fldChar w:fldCharType="end"/>
      </w:r>
    </w:p>
    <w:p>
      <w:pPr>
        <w:pStyle w:val="20"/>
        <w:ind w:firstLine="480"/>
        <w:rPr>
          <w:rFonts w:cstheme="minorBidi"/>
          <w:sz w:val="24"/>
          <w:szCs w:val="24"/>
        </w:rPr>
      </w:pPr>
      <w:r>
        <w:rPr>
          <w:rFonts w:hint="eastAsia"/>
          <w:sz w:val="24"/>
          <w:szCs w:val="24"/>
        </w:rPr>
        <w:t>第四节  注重规划实施评估调整</w:t>
      </w:r>
      <w:r>
        <w:rPr>
          <w:rFonts w:hint="eastAsia"/>
          <w:sz w:val="24"/>
          <w:szCs w:val="24"/>
        </w:rPr>
        <w:tab/>
      </w:r>
      <w:r>
        <w:rPr>
          <w:rFonts w:hint="eastAsia"/>
          <w:sz w:val="24"/>
          <w:szCs w:val="24"/>
        </w:rPr>
        <w:fldChar w:fldCharType="begin"/>
      </w:r>
      <w:r>
        <w:rPr>
          <w:rFonts w:hint="eastAsia"/>
          <w:sz w:val="24"/>
          <w:szCs w:val="24"/>
        </w:rPr>
        <w:instrText xml:space="preserve"> PAGEREF _Toc124293484 \h </w:instrText>
      </w:r>
      <w:r>
        <w:rPr>
          <w:rFonts w:hint="eastAsia"/>
          <w:sz w:val="24"/>
          <w:szCs w:val="24"/>
        </w:rPr>
        <w:fldChar w:fldCharType="separate"/>
      </w:r>
      <w:r>
        <w:rPr>
          <w:rFonts w:hint="eastAsia"/>
          <w:sz w:val="24"/>
          <w:szCs w:val="24"/>
        </w:rPr>
        <w:t>36</w:t>
      </w:r>
      <w:r>
        <w:rPr>
          <w:rFonts w:hint="eastAsia"/>
          <w:sz w:val="24"/>
          <w:szCs w:val="24"/>
        </w:rPr>
        <w:fldChar w:fldCharType="end"/>
      </w:r>
    </w:p>
    <w:p>
      <w:pPr>
        <w:pStyle w:val="20"/>
        <w:ind w:firstLine="480"/>
        <w:rPr>
          <w:rFonts w:cstheme="minorBidi"/>
          <w:sz w:val="24"/>
          <w:szCs w:val="24"/>
        </w:rPr>
      </w:pPr>
      <w:r>
        <w:rPr>
          <w:rFonts w:hint="eastAsia"/>
          <w:sz w:val="24"/>
          <w:szCs w:val="24"/>
        </w:rPr>
        <w:t>第五节  加强信息化管理</w:t>
      </w:r>
      <w:r>
        <w:rPr>
          <w:rFonts w:hint="eastAsia"/>
          <w:sz w:val="24"/>
          <w:szCs w:val="24"/>
        </w:rPr>
        <w:tab/>
      </w:r>
      <w:r>
        <w:rPr>
          <w:rFonts w:hint="eastAsia"/>
          <w:sz w:val="24"/>
          <w:szCs w:val="24"/>
        </w:rPr>
        <w:fldChar w:fldCharType="begin"/>
      </w:r>
      <w:r>
        <w:rPr>
          <w:rFonts w:hint="eastAsia"/>
          <w:sz w:val="24"/>
          <w:szCs w:val="24"/>
        </w:rPr>
        <w:instrText xml:space="preserve"> PAGEREF _Toc124293485 \h </w:instrText>
      </w:r>
      <w:r>
        <w:rPr>
          <w:rFonts w:hint="eastAsia"/>
          <w:sz w:val="24"/>
          <w:szCs w:val="24"/>
        </w:rPr>
        <w:fldChar w:fldCharType="separate"/>
      </w:r>
      <w:r>
        <w:rPr>
          <w:rFonts w:hint="eastAsia"/>
          <w:sz w:val="24"/>
          <w:szCs w:val="24"/>
        </w:rPr>
        <w:t>36</w:t>
      </w:r>
      <w:r>
        <w:rPr>
          <w:rFonts w:hint="eastAsia"/>
          <w:sz w:val="24"/>
          <w:szCs w:val="24"/>
        </w:rPr>
        <w:fldChar w:fldCharType="end"/>
      </w:r>
    </w:p>
    <w:p>
      <w:pPr>
        <w:pStyle w:val="20"/>
        <w:ind w:firstLine="480"/>
        <w:rPr>
          <w:sz w:val="24"/>
          <w:szCs w:val="24"/>
        </w:rPr>
      </w:pPr>
      <w:r>
        <w:rPr>
          <w:rFonts w:hint="eastAsia"/>
          <w:sz w:val="24"/>
          <w:szCs w:val="24"/>
        </w:rPr>
        <w:t>第六节  加大财政支持力度</w:t>
      </w:r>
      <w:r>
        <w:rPr>
          <w:rFonts w:hint="eastAsia"/>
          <w:sz w:val="24"/>
          <w:szCs w:val="24"/>
        </w:rPr>
        <w:tab/>
      </w:r>
      <w:r>
        <w:rPr>
          <w:rFonts w:hint="eastAsia"/>
          <w:sz w:val="24"/>
          <w:szCs w:val="24"/>
        </w:rPr>
        <w:fldChar w:fldCharType="begin"/>
      </w:r>
      <w:r>
        <w:rPr>
          <w:rFonts w:hint="eastAsia"/>
          <w:sz w:val="24"/>
          <w:szCs w:val="24"/>
        </w:rPr>
        <w:instrText xml:space="preserve"> PAGEREF _Toc124293486 \h </w:instrText>
      </w:r>
      <w:r>
        <w:rPr>
          <w:rFonts w:hint="eastAsia"/>
          <w:sz w:val="24"/>
          <w:szCs w:val="24"/>
        </w:rPr>
        <w:fldChar w:fldCharType="separate"/>
      </w:r>
      <w:r>
        <w:rPr>
          <w:rFonts w:hint="eastAsia"/>
          <w:sz w:val="24"/>
          <w:szCs w:val="24"/>
        </w:rPr>
        <w:t>37</w:t>
      </w:r>
      <w:r>
        <w:rPr>
          <w:rFonts w:hint="eastAsia"/>
          <w:sz w:val="24"/>
          <w:szCs w:val="24"/>
        </w:rPr>
        <w:fldChar w:fldCharType="end"/>
      </w:r>
    </w:p>
    <w:p>
      <w:pPr>
        <w:ind w:firstLine="480"/>
      </w:pPr>
    </w:p>
    <w:p>
      <w:pPr>
        <w:ind w:firstLine="600"/>
        <w:jc w:val="center"/>
        <w:rPr>
          <w:rFonts w:ascii="黑体" w:hAnsi="黑体" w:eastAsia="黑体"/>
          <w:sz w:val="30"/>
          <w:szCs w:val="30"/>
        </w:rPr>
      </w:pPr>
      <w:r>
        <w:rPr>
          <w:rFonts w:hint="eastAsia" w:ascii="黑体" w:hAnsi="黑体" w:eastAsia="黑体"/>
          <w:sz w:val="30"/>
          <w:szCs w:val="30"/>
        </w:rPr>
        <w:t>附 表</w:t>
      </w:r>
    </w:p>
    <w:p>
      <w:pPr>
        <w:pStyle w:val="20"/>
        <w:ind w:firstLine="480"/>
        <w:rPr>
          <w:rFonts w:cstheme="minorBidi"/>
          <w:sz w:val="24"/>
          <w:szCs w:val="24"/>
        </w:rPr>
      </w:pPr>
      <w:r>
        <w:rPr>
          <w:rFonts w:hint="eastAsia"/>
          <w:sz w:val="24"/>
          <w:szCs w:val="24"/>
        </w:rPr>
        <w:t>附表1 峨边彝族自治县能源资源基地表</w:t>
      </w:r>
      <w:r>
        <w:rPr>
          <w:rFonts w:hint="eastAsia"/>
          <w:sz w:val="24"/>
          <w:szCs w:val="24"/>
        </w:rPr>
        <w:tab/>
      </w:r>
      <w:r>
        <w:rPr>
          <w:rFonts w:hint="eastAsia"/>
          <w:sz w:val="24"/>
          <w:szCs w:val="24"/>
        </w:rPr>
        <w:fldChar w:fldCharType="begin"/>
      </w:r>
      <w:r>
        <w:rPr>
          <w:rFonts w:hint="eastAsia"/>
          <w:sz w:val="24"/>
          <w:szCs w:val="24"/>
        </w:rPr>
        <w:instrText xml:space="preserve"> PAGEREF _Toc124293487 \h </w:instrText>
      </w:r>
      <w:r>
        <w:rPr>
          <w:rFonts w:hint="eastAsia"/>
          <w:sz w:val="24"/>
          <w:szCs w:val="24"/>
        </w:rPr>
        <w:fldChar w:fldCharType="separate"/>
      </w:r>
      <w:r>
        <w:rPr>
          <w:rFonts w:hint="eastAsia"/>
          <w:sz w:val="24"/>
          <w:szCs w:val="24"/>
        </w:rPr>
        <w:t>38</w:t>
      </w:r>
      <w:r>
        <w:rPr>
          <w:rFonts w:hint="eastAsia"/>
          <w:sz w:val="24"/>
          <w:szCs w:val="24"/>
        </w:rPr>
        <w:fldChar w:fldCharType="end"/>
      </w:r>
    </w:p>
    <w:p>
      <w:pPr>
        <w:pStyle w:val="20"/>
        <w:ind w:firstLine="480"/>
        <w:rPr>
          <w:rFonts w:cstheme="minorBidi"/>
          <w:sz w:val="24"/>
          <w:szCs w:val="24"/>
        </w:rPr>
      </w:pPr>
      <w:r>
        <w:rPr>
          <w:rFonts w:hint="eastAsia"/>
          <w:sz w:val="24"/>
          <w:szCs w:val="24"/>
        </w:rPr>
        <w:t>附表2 峨边彝族自治县国家规划矿区表</w:t>
      </w:r>
      <w:r>
        <w:rPr>
          <w:rFonts w:hint="eastAsia"/>
          <w:sz w:val="24"/>
          <w:szCs w:val="24"/>
        </w:rPr>
        <w:tab/>
      </w:r>
      <w:r>
        <w:rPr>
          <w:rFonts w:hint="eastAsia"/>
          <w:sz w:val="24"/>
          <w:szCs w:val="24"/>
        </w:rPr>
        <w:fldChar w:fldCharType="begin"/>
      </w:r>
      <w:r>
        <w:rPr>
          <w:rFonts w:hint="eastAsia"/>
          <w:sz w:val="24"/>
          <w:szCs w:val="24"/>
        </w:rPr>
        <w:instrText xml:space="preserve"> PAGEREF _Toc124293488 \h </w:instrText>
      </w:r>
      <w:r>
        <w:rPr>
          <w:rFonts w:hint="eastAsia"/>
          <w:sz w:val="24"/>
          <w:szCs w:val="24"/>
        </w:rPr>
        <w:fldChar w:fldCharType="separate"/>
      </w:r>
      <w:r>
        <w:rPr>
          <w:rFonts w:hint="eastAsia"/>
          <w:sz w:val="24"/>
          <w:szCs w:val="24"/>
        </w:rPr>
        <w:t>39</w:t>
      </w:r>
      <w:r>
        <w:rPr>
          <w:rFonts w:hint="eastAsia"/>
          <w:sz w:val="24"/>
          <w:szCs w:val="24"/>
        </w:rPr>
        <w:fldChar w:fldCharType="end"/>
      </w:r>
    </w:p>
    <w:p>
      <w:pPr>
        <w:pStyle w:val="20"/>
        <w:ind w:firstLine="480"/>
        <w:rPr>
          <w:rFonts w:cstheme="minorBidi"/>
          <w:sz w:val="24"/>
          <w:szCs w:val="24"/>
        </w:rPr>
      </w:pPr>
      <w:r>
        <w:rPr>
          <w:rFonts w:hint="eastAsia"/>
          <w:sz w:val="24"/>
          <w:szCs w:val="24"/>
        </w:rPr>
        <w:t>附表3 峨边彝族自治县战略性矿产资源保护区表</w:t>
      </w:r>
      <w:r>
        <w:rPr>
          <w:rFonts w:hint="eastAsia"/>
          <w:sz w:val="24"/>
          <w:szCs w:val="24"/>
        </w:rPr>
        <w:tab/>
      </w:r>
      <w:r>
        <w:rPr>
          <w:rFonts w:hint="eastAsia"/>
          <w:sz w:val="24"/>
          <w:szCs w:val="24"/>
        </w:rPr>
        <w:fldChar w:fldCharType="begin"/>
      </w:r>
      <w:r>
        <w:rPr>
          <w:rFonts w:hint="eastAsia"/>
          <w:sz w:val="24"/>
          <w:szCs w:val="24"/>
        </w:rPr>
        <w:instrText xml:space="preserve"> PAGEREF _Toc124293489 \h </w:instrText>
      </w:r>
      <w:r>
        <w:rPr>
          <w:rFonts w:hint="eastAsia"/>
          <w:sz w:val="24"/>
          <w:szCs w:val="24"/>
        </w:rPr>
        <w:fldChar w:fldCharType="separate"/>
      </w:r>
      <w:r>
        <w:rPr>
          <w:rFonts w:hint="eastAsia"/>
          <w:sz w:val="24"/>
          <w:szCs w:val="24"/>
        </w:rPr>
        <w:t>40</w:t>
      </w:r>
      <w:r>
        <w:rPr>
          <w:rFonts w:hint="eastAsia"/>
          <w:sz w:val="24"/>
          <w:szCs w:val="24"/>
        </w:rPr>
        <w:fldChar w:fldCharType="end"/>
      </w:r>
    </w:p>
    <w:p>
      <w:pPr>
        <w:pStyle w:val="20"/>
        <w:ind w:firstLine="480"/>
        <w:rPr>
          <w:rFonts w:cstheme="minorBidi"/>
          <w:sz w:val="24"/>
          <w:szCs w:val="24"/>
        </w:rPr>
      </w:pPr>
      <w:r>
        <w:rPr>
          <w:rFonts w:hint="eastAsia"/>
          <w:sz w:val="24"/>
          <w:szCs w:val="24"/>
        </w:rPr>
        <w:t>附表4 峨边彝族自治县矿产资源重点勘查区表</w:t>
      </w:r>
      <w:r>
        <w:rPr>
          <w:rFonts w:hint="eastAsia"/>
          <w:sz w:val="24"/>
          <w:szCs w:val="24"/>
        </w:rPr>
        <w:tab/>
      </w:r>
      <w:r>
        <w:rPr>
          <w:rFonts w:hint="eastAsia"/>
          <w:sz w:val="24"/>
          <w:szCs w:val="24"/>
        </w:rPr>
        <w:fldChar w:fldCharType="begin"/>
      </w:r>
      <w:r>
        <w:rPr>
          <w:rFonts w:hint="eastAsia"/>
          <w:sz w:val="24"/>
          <w:szCs w:val="24"/>
        </w:rPr>
        <w:instrText xml:space="preserve"> PAGEREF _Toc124293490 \h </w:instrText>
      </w:r>
      <w:r>
        <w:rPr>
          <w:rFonts w:hint="eastAsia"/>
          <w:sz w:val="24"/>
          <w:szCs w:val="24"/>
        </w:rPr>
        <w:fldChar w:fldCharType="separate"/>
      </w:r>
      <w:r>
        <w:rPr>
          <w:rFonts w:hint="eastAsia"/>
          <w:sz w:val="24"/>
          <w:szCs w:val="24"/>
        </w:rPr>
        <w:t>41</w:t>
      </w:r>
      <w:r>
        <w:rPr>
          <w:rFonts w:hint="eastAsia"/>
          <w:sz w:val="24"/>
          <w:szCs w:val="24"/>
        </w:rPr>
        <w:fldChar w:fldCharType="end"/>
      </w:r>
    </w:p>
    <w:p>
      <w:pPr>
        <w:pStyle w:val="20"/>
        <w:ind w:firstLine="480"/>
        <w:rPr>
          <w:rFonts w:cstheme="minorBidi"/>
          <w:sz w:val="24"/>
          <w:szCs w:val="24"/>
        </w:rPr>
      </w:pPr>
      <w:r>
        <w:rPr>
          <w:rFonts w:hint="eastAsia"/>
          <w:sz w:val="24"/>
          <w:szCs w:val="24"/>
        </w:rPr>
        <w:t>附表5 峨边彝族自治县勘查规划区块表</w:t>
      </w:r>
      <w:r>
        <w:rPr>
          <w:rFonts w:hint="eastAsia"/>
          <w:sz w:val="24"/>
          <w:szCs w:val="24"/>
        </w:rPr>
        <w:tab/>
      </w:r>
      <w:r>
        <w:rPr>
          <w:rFonts w:hint="eastAsia"/>
          <w:sz w:val="24"/>
          <w:szCs w:val="24"/>
        </w:rPr>
        <w:fldChar w:fldCharType="begin"/>
      </w:r>
      <w:r>
        <w:rPr>
          <w:rFonts w:hint="eastAsia"/>
          <w:sz w:val="24"/>
          <w:szCs w:val="24"/>
        </w:rPr>
        <w:instrText xml:space="preserve"> PAGEREF _Toc124293491 \h </w:instrText>
      </w:r>
      <w:r>
        <w:rPr>
          <w:rFonts w:hint="eastAsia"/>
          <w:sz w:val="24"/>
          <w:szCs w:val="24"/>
        </w:rPr>
        <w:fldChar w:fldCharType="separate"/>
      </w:r>
      <w:r>
        <w:rPr>
          <w:rFonts w:hint="eastAsia"/>
          <w:sz w:val="24"/>
          <w:szCs w:val="24"/>
        </w:rPr>
        <w:t>42</w:t>
      </w:r>
      <w:r>
        <w:rPr>
          <w:rFonts w:hint="eastAsia"/>
          <w:sz w:val="24"/>
          <w:szCs w:val="24"/>
        </w:rPr>
        <w:fldChar w:fldCharType="end"/>
      </w:r>
    </w:p>
    <w:p>
      <w:pPr>
        <w:pStyle w:val="20"/>
        <w:ind w:firstLine="480"/>
        <w:rPr>
          <w:rFonts w:cstheme="minorBidi"/>
          <w:sz w:val="24"/>
          <w:szCs w:val="24"/>
        </w:rPr>
      </w:pPr>
      <w:r>
        <w:rPr>
          <w:rFonts w:hint="eastAsia"/>
          <w:sz w:val="24"/>
          <w:szCs w:val="24"/>
        </w:rPr>
        <w:t>附表6 峨边彝族自治县矿产资源重点开采区表</w:t>
      </w:r>
      <w:r>
        <w:rPr>
          <w:rFonts w:hint="eastAsia"/>
          <w:sz w:val="24"/>
          <w:szCs w:val="24"/>
        </w:rPr>
        <w:tab/>
      </w:r>
      <w:r>
        <w:rPr>
          <w:rFonts w:hint="eastAsia"/>
          <w:sz w:val="24"/>
          <w:szCs w:val="24"/>
        </w:rPr>
        <w:fldChar w:fldCharType="begin"/>
      </w:r>
      <w:r>
        <w:rPr>
          <w:rFonts w:hint="eastAsia"/>
          <w:sz w:val="24"/>
          <w:szCs w:val="24"/>
        </w:rPr>
        <w:instrText xml:space="preserve"> PAGEREF _Toc124293492 \h </w:instrText>
      </w:r>
      <w:r>
        <w:rPr>
          <w:rFonts w:hint="eastAsia"/>
          <w:sz w:val="24"/>
          <w:szCs w:val="24"/>
        </w:rPr>
        <w:fldChar w:fldCharType="separate"/>
      </w:r>
      <w:r>
        <w:rPr>
          <w:rFonts w:hint="eastAsia"/>
          <w:sz w:val="24"/>
          <w:szCs w:val="24"/>
        </w:rPr>
        <w:t>43</w:t>
      </w:r>
      <w:r>
        <w:rPr>
          <w:rFonts w:hint="eastAsia"/>
          <w:sz w:val="24"/>
          <w:szCs w:val="24"/>
        </w:rPr>
        <w:fldChar w:fldCharType="end"/>
      </w:r>
    </w:p>
    <w:p>
      <w:pPr>
        <w:pStyle w:val="20"/>
        <w:ind w:firstLine="480"/>
        <w:rPr>
          <w:rFonts w:cstheme="minorBidi"/>
          <w:sz w:val="24"/>
          <w:szCs w:val="24"/>
        </w:rPr>
      </w:pPr>
      <w:r>
        <w:rPr>
          <w:rFonts w:hint="eastAsia"/>
          <w:sz w:val="24"/>
          <w:szCs w:val="24"/>
        </w:rPr>
        <w:t>附表7 峨边彝族自治县开采规划区块表</w:t>
      </w:r>
      <w:r>
        <w:rPr>
          <w:rFonts w:hint="eastAsia"/>
          <w:sz w:val="24"/>
          <w:szCs w:val="24"/>
        </w:rPr>
        <w:tab/>
      </w:r>
      <w:r>
        <w:rPr>
          <w:rFonts w:hint="eastAsia"/>
          <w:sz w:val="24"/>
          <w:szCs w:val="24"/>
        </w:rPr>
        <w:fldChar w:fldCharType="begin"/>
      </w:r>
      <w:r>
        <w:rPr>
          <w:rFonts w:hint="eastAsia"/>
          <w:sz w:val="24"/>
          <w:szCs w:val="24"/>
        </w:rPr>
        <w:instrText xml:space="preserve"> PAGEREF _Toc124293493 \h </w:instrText>
      </w:r>
      <w:r>
        <w:rPr>
          <w:rFonts w:hint="eastAsia"/>
          <w:sz w:val="24"/>
          <w:szCs w:val="24"/>
        </w:rPr>
        <w:fldChar w:fldCharType="separate"/>
      </w:r>
      <w:r>
        <w:rPr>
          <w:rFonts w:hint="eastAsia"/>
          <w:sz w:val="24"/>
          <w:szCs w:val="24"/>
        </w:rPr>
        <w:t>44</w:t>
      </w:r>
      <w:r>
        <w:rPr>
          <w:rFonts w:hint="eastAsia"/>
          <w:sz w:val="24"/>
          <w:szCs w:val="24"/>
        </w:rPr>
        <w:fldChar w:fldCharType="end"/>
      </w:r>
    </w:p>
    <w:p>
      <w:pPr>
        <w:pStyle w:val="20"/>
        <w:ind w:firstLine="480"/>
        <w:rPr>
          <w:rFonts w:eastAsiaTheme="minorEastAsia" w:cstheme="minorBidi"/>
          <w:sz w:val="24"/>
          <w:szCs w:val="24"/>
        </w:rPr>
      </w:pPr>
      <w:r>
        <w:rPr>
          <w:rFonts w:hint="eastAsia"/>
          <w:sz w:val="24"/>
          <w:szCs w:val="24"/>
        </w:rPr>
        <w:t>附表8 峨边彝族自治县砂石土类矿产集中开采区</w:t>
      </w:r>
      <w:r>
        <w:rPr>
          <w:rFonts w:hint="eastAsia"/>
          <w:sz w:val="24"/>
          <w:szCs w:val="24"/>
        </w:rPr>
        <w:tab/>
      </w:r>
      <w:r>
        <w:rPr>
          <w:rFonts w:hint="eastAsia"/>
          <w:sz w:val="24"/>
          <w:szCs w:val="24"/>
        </w:rPr>
        <w:fldChar w:fldCharType="begin"/>
      </w:r>
      <w:r>
        <w:rPr>
          <w:rFonts w:hint="eastAsia"/>
          <w:sz w:val="24"/>
          <w:szCs w:val="24"/>
        </w:rPr>
        <w:instrText xml:space="preserve"> PAGEREF _Toc124293494 \h </w:instrText>
      </w:r>
      <w:r>
        <w:rPr>
          <w:rFonts w:hint="eastAsia"/>
          <w:sz w:val="24"/>
          <w:szCs w:val="24"/>
        </w:rPr>
        <w:fldChar w:fldCharType="separate"/>
      </w:r>
      <w:r>
        <w:rPr>
          <w:rFonts w:hint="eastAsia"/>
          <w:sz w:val="24"/>
          <w:szCs w:val="24"/>
        </w:rPr>
        <w:t>45</w:t>
      </w:r>
      <w:r>
        <w:rPr>
          <w:rFonts w:hint="eastAsia"/>
          <w:sz w:val="24"/>
          <w:szCs w:val="24"/>
        </w:rPr>
        <w:fldChar w:fldCharType="end"/>
      </w:r>
    </w:p>
    <w:p>
      <w:pPr>
        <w:pStyle w:val="20"/>
        <w:ind w:firstLine="480"/>
        <w:rPr>
          <w:b/>
          <w:sz w:val="24"/>
          <w:szCs w:val="24"/>
        </w:rPr>
      </w:pPr>
      <w:r>
        <w:rPr>
          <w:rFonts w:hint="eastAsia"/>
          <w:sz w:val="24"/>
          <w:szCs w:val="24"/>
        </w:rPr>
        <w:t>附表9 峨边彝族自治县重点矿种矿山最低开采规模规划表</w:t>
      </w:r>
      <w:r>
        <w:rPr>
          <w:b/>
          <w:sz w:val="24"/>
          <w:szCs w:val="24"/>
        </w:rPr>
        <w:tab/>
      </w:r>
      <w:r>
        <w:rPr>
          <w:sz w:val="24"/>
          <w:szCs w:val="24"/>
        </w:rPr>
        <w:fldChar w:fldCharType="begin"/>
      </w:r>
      <w:r>
        <w:rPr>
          <w:sz w:val="24"/>
          <w:szCs w:val="24"/>
        </w:rPr>
        <w:instrText xml:space="preserve"> PAGEREF _Toc124293495 \h </w:instrText>
      </w:r>
      <w:r>
        <w:rPr>
          <w:sz w:val="24"/>
          <w:szCs w:val="24"/>
        </w:rPr>
        <w:fldChar w:fldCharType="separate"/>
      </w:r>
      <w:r>
        <w:rPr>
          <w:sz w:val="24"/>
          <w:szCs w:val="24"/>
        </w:rPr>
        <w:t>46</w:t>
      </w:r>
      <w:r>
        <w:rPr>
          <w:sz w:val="24"/>
          <w:szCs w:val="24"/>
        </w:rPr>
        <w:fldChar w:fldCharType="end"/>
      </w:r>
    </w:p>
    <w:p>
      <w:pPr>
        <w:ind w:firstLine="482"/>
        <w:jc w:val="center"/>
        <w:rPr>
          <w:b/>
        </w:rPr>
      </w:pPr>
    </w:p>
    <w:p>
      <w:pPr>
        <w:ind w:firstLine="602"/>
        <w:jc w:val="center"/>
        <w:rPr>
          <w:b/>
          <w:sz w:val="30"/>
          <w:szCs w:val="30"/>
        </w:rPr>
      </w:pPr>
      <w:r>
        <w:rPr>
          <w:rFonts w:hint="eastAsia"/>
          <w:b/>
          <w:sz w:val="30"/>
          <w:szCs w:val="30"/>
        </w:rPr>
        <w:t>附 图</w:t>
      </w:r>
    </w:p>
    <w:p>
      <w:pPr>
        <w:ind w:left="238" w:firstLine="480"/>
        <w:rPr>
          <w:rFonts w:ascii="仿宋_GB2312" w:hAnsi="仿宋" w:eastAsia="仿宋_GB2312"/>
        </w:rPr>
      </w:pPr>
      <w:r>
        <w:rPr>
          <w:rFonts w:hint="eastAsia" w:ascii="仿宋_GB2312" w:hAnsi="仿宋" w:eastAsia="仿宋_GB2312"/>
        </w:rPr>
        <w:t>峨边彝族自治县矿产资源分布图</w:t>
      </w:r>
    </w:p>
    <w:p>
      <w:pPr>
        <w:ind w:left="238" w:firstLine="480"/>
        <w:rPr>
          <w:rFonts w:ascii="仿宋_GB2312" w:hAnsi="仿宋" w:eastAsia="仿宋_GB2312"/>
        </w:rPr>
      </w:pPr>
      <w:r>
        <w:rPr>
          <w:rFonts w:hint="eastAsia" w:ascii="仿宋_GB2312" w:hAnsi="仿宋" w:eastAsia="仿宋_GB2312"/>
        </w:rPr>
        <w:t>峨边彝族自治县矿产资源勘查开发利用现状图</w:t>
      </w:r>
    </w:p>
    <w:p>
      <w:pPr>
        <w:ind w:left="238" w:firstLine="480"/>
        <w:rPr>
          <w:rFonts w:ascii="仿宋_GB2312" w:hAnsi="仿宋" w:eastAsia="仿宋_GB2312"/>
        </w:rPr>
      </w:pPr>
      <w:r>
        <w:rPr>
          <w:rFonts w:hint="eastAsia" w:ascii="仿宋_GB2312" w:hAnsi="仿宋" w:eastAsia="仿宋_GB2312"/>
        </w:rPr>
        <w:t>峨边彝族自治县矿产资源勘查开发保护总体布局图</w:t>
      </w:r>
    </w:p>
    <w:p>
      <w:pPr>
        <w:ind w:left="238" w:firstLine="480"/>
        <w:rPr>
          <w:rFonts w:ascii="仿宋_GB2312" w:hAnsi="仿宋" w:eastAsia="仿宋_GB2312"/>
        </w:rPr>
      </w:pPr>
      <w:r>
        <w:rPr>
          <w:rFonts w:hint="eastAsia" w:ascii="仿宋_GB2312" w:hAnsi="仿宋" w:eastAsia="仿宋_GB2312"/>
        </w:rPr>
        <w:t>峨边彝族自治县矿产资源勘查规划图</w:t>
      </w:r>
    </w:p>
    <w:p>
      <w:pPr>
        <w:ind w:left="238" w:firstLine="480"/>
        <w:jc w:val="left"/>
        <w:rPr>
          <w:rFonts w:eastAsia="仿宋_GB2312"/>
          <w:sz w:val="36"/>
          <w:szCs w:val="36"/>
        </w:rPr>
        <w:sectPr>
          <w:footerReference r:id="rId11" w:type="default"/>
          <w:pgSz w:w="11906" w:h="16838"/>
          <w:pgMar w:top="1440" w:right="1800" w:bottom="1440" w:left="1800" w:header="851" w:footer="992" w:gutter="0"/>
          <w:cols w:space="425" w:num="1"/>
          <w:docGrid w:type="lines" w:linePitch="312" w:charSpace="0"/>
        </w:sectPr>
      </w:pPr>
      <w:r>
        <w:rPr>
          <w:rFonts w:hint="eastAsia" w:ascii="仿宋_GB2312" w:hAnsi="仿宋" w:eastAsia="仿宋_GB2312"/>
        </w:rPr>
        <w:t>峨边彝族自治县矿产资源开采规划图</w:t>
      </w:r>
      <w:r>
        <w:rPr>
          <w:rFonts w:hint="eastAsia" w:ascii="仿宋_GB2312" w:eastAsia="仿宋_GB2312"/>
          <w:sz w:val="28"/>
          <w:szCs w:val="28"/>
        </w:rPr>
        <w:fldChar w:fldCharType="end"/>
      </w:r>
      <w:r>
        <w:rPr>
          <w:rFonts w:eastAsia="仿宋_GB2312"/>
          <w:sz w:val="36"/>
          <w:szCs w:val="36"/>
        </w:rPr>
        <w:t xml:space="preserve"> </w:t>
      </w:r>
    </w:p>
    <w:p>
      <w:pPr>
        <w:pStyle w:val="2"/>
      </w:pPr>
      <w:bookmarkStart w:id="2" w:name="_Toc124293452"/>
      <w:r>
        <w:rPr>
          <w:rFonts w:hint="eastAsia"/>
        </w:rPr>
        <w:t>总  则</w:t>
      </w:r>
      <w:bookmarkEnd w:id="2"/>
    </w:p>
    <w:p>
      <w:pPr>
        <w:widowControl/>
        <w:shd w:val="clear" w:color="auto" w:fill="FFFFFF"/>
        <w:ind w:firstLine="640"/>
        <w:rPr>
          <w:rFonts w:eastAsia="仿宋_GB2312"/>
          <w:bCs/>
          <w:snapToGrid w:val="0"/>
          <w:kern w:val="0"/>
          <w:sz w:val="32"/>
          <w:szCs w:val="32"/>
        </w:rPr>
      </w:pPr>
      <w:r>
        <w:rPr>
          <w:rFonts w:eastAsia="仿宋_GB2312"/>
          <w:bCs/>
          <w:snapToGrid w:val="0"/>
          <w:kern w:val="0"/>
          <w:sz w:val="32"/>
          <w:szCs w:val="32"/>
        </w:rPr>
        <w:t>矿产资源是发展之基、生产之要，矿产资源保护与合理开发利用是经济社会发展的重要基础。</w:t>
      </w:r>
      <w:r>
        <w:rPr>
          <w:rFonts w:hint="eastAsia" w:eastAsia="仿宋_GB2312"/>
          <w:bCs/>
          <w:snapToGrid w:val="0"/>
          <w:kern w:val="0"/>
          <w:sz w:val="32"/>
          <w:szCs w:val="32"/>
        </w:rPr>
        <w:t>为科学合理开发利用和保护矿产资源，全面深化矿产资源管理改革，促进矿业经济可持续健康发展，进一步提高矿产资源对经济社会发展、重大工程建设以及乡村振兴战略等需求的保障能力，</w:t>
      </w:r>
      <w:r>
        <w:rPr>
          <w:rFonts w:eastAsia="仿宋_GB2312"/>
          <w:bCs/>
          <w:snapToGrid w:val="0"/>
          <w:kern w:val="0"/>
          <w:sz w:val="32"/>
          <w:szCs w:val="32"/>
        </w:rPr>
        <w:t>依据《中华人民共和国矿产资源法》</w:t>
      </w:r>
      <w:r>
        <w:rPr>
          <w:rFonts w:hint="eastAsia" w:eastAsia="仿宋_GB2312"/>
          <w:bCs/>
          <w:snapToGrid w:val="0"/>
          <w:kern w:val="0"/>
          <w:sz w:val="32"/>
          <w:szCs w:val="32"/>
        </w:rPr>
        <w:t>及其实施细则</w:t>
      </w:r>
      <w:r>
        <w:rPr>
          <w:rFonts w:eastAsia="仿宋_GB2312"/>
          <w:bCs/>
          <w:snapToGrid w:val="0"/>
          <w:kern w:val="0"/>
          <w:sz w:val="32"/>
          <w:szCs w:val="32"/>
        </w:rPr>
        <w:t>、《矿产资源规划编制实施办法》</w:t>
      </w:r>
      <w:r>
        <w:rPr>
          <w:rFonts w:hint="eastAsia" w:eastAsia="仿宋_GB2312"/>
          <w:bCs/>
          <w:snapToGrid w:val="0"/>
          <w:kern w:val="0"/>
          <w:sz w:val="32"/>
          <w:szCs w:val="32"/>
        </w:rPr>
        <w:t>、《乐山市矿产资源总体规划（2</w:t>
      </w:r>
      <w:r>
        <w:rPr>
          <w:rFonts w:eastAsia="仿宋_GB2312"/>
          <w:bCs/>
          <w:snapToGrid w:val="0"/>
          <w:kern w:val="0"/>
          <w:sz w:val="32"/>
          <w:szCs w:val="32"/>
        </w:rPr>
        <w:t>021</w:t>
      </w:r>
      <w:r>
        <w:rPr>
          <w:rFonts w:hint="eastAsia" w:eastAsia="仿宋_GB2312"/>
          <w:bCs/>
          <w:snapToGrid w:val="0"/>
          <w:kern w:val="0"/>
          <w:sz w:val="32"/>
          <w:szCs w:val="32"/>
        </w:rPr>
        <w:t>-</w:t>
      </w:r>
      <w:r>
        <w:rPr>
          <w:rFonts w:eastAsia="仿宋_GB2312"/>
          <w:bCs/>
          <w:snapToGrid w:val="0"/>
          <w:kern w:val="0"/>
          <w:sz w:val="32"/>
          <w:szCs w:val="32"/>
        </w:rPr>
        <w:t>2025年</w:t>
      </w:r>
      <w:r>
        <w:rPr>
          <w:rFonts w:hint="eastAsia" w:eastAsia="仿宋_GB2312"/>
          <w:bCs/>
          <w:snapToGrid w:val="0"/>
          <w:kern w:val="0"/>
          <w:sz w:val="32"/>
          <w:szCs w:val="32"/>
        </w:rPr>
        <w:t>）》，结合《峨边彝族自治县国土空间规划》、《峨边彝族自治县国民经济和社会发展第十四个五年规划和二○三五年远景目标纲要》，制定</w:t>
      </w:r>
      <w:r>
        <w:rPr>
          <w:rFonts w:eastAsia="仿宋_GB2312"/>
          <w:bCs/>
          <w:snapToGrid w:val="0"/>
          <w:kern w:val="0"/>
          <w:sz w:val="32"/>
          <w:szCs w:val="32"/>
        </w:rPr>
        <w:t>《峨边彝族自治县矿产资源总体规划（2021-2025年）》（以下简称《规划》）。</w:t>
      </w:r>
    </w:p>
    <w:p>
      <w:pPr>
        <w:widowControl/>
        <w:shd w:val="clear" w:color="auto" w:fill="FFFFFF"/>
        <w:ind w:firstLine="640"/>
        <w:rPr>
          <w:rFonts w:eastAsia="仿宋_GB2312"/>
          <w:bCs/>
          <w:snapToGrid w:val="0"/>
          <w:kern w:val="0"/>
          <w:sz w:val="32"/>
          <w:szCs w:val="32"/>
        </w:rPr>
      </w:pPr>
      <w:r>
        <w:rPr>
          <w:rFonts w:eastAsia="仿宋_GB2312"/>
          <w:bCs/>
          <w:snapToGrid w:val="0"/>
          <w:kern w:val="0"/>
          <w:sz w:val="32"/>
          <w:szCs w:val="32"/>
        </w:rPr>
        <w:t>《规划》是在</w:t>
      </w:r>
      <w:r>
        <w:rPr>
          <w:rFonts w:eastAsia="仿宋_GB2312"/>
          <w:sz w:val="32"/>
          <w:szCs w:val="32"/>
        </w:rPr>
        <w:t>细化和具体落实省市级矿产资源规划部署要求基础上，因地制宜，细化管控措施，解决具体问题的依据，</w:t>
      </w:r>
      <w:r>
        <w:rPr>
          <w:rFonts w:eastAsia="仿宋_GB2312"/>
          <w:bCs/>
          <w:snapToGrid w:val="0"/>
          <w:kern w:val="0"/>
          <w:sz w:val="32"/>
          <w:szCs w:val="32"/>
        </w:rPr>
        <w:t>是</w:t>
      </w:r>
      <w:r>
        <w:rPr>
          <w:rFonts w:hint="eastAsia" w:eastAsia="仿宋_GB2312"/>
          <w:bCs/>
          <w:snapToGrid w:val="0"/>
          <w:kern w:val="0"/>
          <w:sz w:val="32"/>
          <w:szCs w:val="32"/>
        </w:rPr>
        <w:t>本行政区域内</w:t>
      </w:r>
      <w:r>
        <w:rPr>
          <w:rFonts w:eastAsia="仿宋_GB2312"/>
          <w:bCs/>
          <w:snapToGrid w:val="0"/>
          <w:kern w:val="0"/>
          <w:sz w:val="32"/>
          <w:szCs w:val="32"/>
        </w:rPr>
        <w:t>矿产资源勘查、开发利用和保护的指导性文件，是依法依规管理和监督峨边彝族自治县矿产资源勘查、开采活动的重要依据。涉及矿产资源开发利用的相关行业规划</w:t>
      </w:r>
      <w:r>
        <w:rPr>
          <w:rFonts w:hint="eastAsia" w:eastAsia="仿宋_GB2312"/>
          <w:bCs/>
          <w:snapToGrid w:val="0"/>
          <w:kern w:val="0"/>
          <w:sz w:val="32"/>
          <w:szCs w:val="32"/>
        </w:rPr>
        <w:t>，</w:t>
      </w:r>
      <w:r>
        <w:rPr>
          <w:rFonts w:eastAsia="仿宋_GB2312"/>
          <w:bCs/>
          <w:snapToGrid w:val="0"/>
          <w:kern w:val="0"/>
          <w:sz w:val="32"/>
          <w:szCs w:val="32"/>
        </w:rPr>
        <w:t>应与《规划》做好衔接。</w:t>
      </w:r>
    </w:p>
    <w:p>
      <w:pPr>
        <w:widowControl/>
        <w:shd w:val="clear" w:color="auto" w:fill="FFFFFF"/>
        <w:ind w:firstLine="640"/>
        <w:rPr>
          <w:rFonts w:eastAsia="仿宋_GB2312"/>
          <w:bCs/>
          <w:snapToGrid w:val="0"/>
          <w:kern w:val="0"/>
          <w:sz w:val="32"/>
          <w:szCs w:val="32"/>
        </w:rPr>
        <w:sectPr>
          <w:footerReference r:id="rId12" w:type="default"/>
          <w:pgSz w:w="11906" w:h="16838"/>
          <w:pgMar w:top="1440" w:right="1800" w:bottom="1440" w:left="1800" w:header="851" w:footer="992" w:gutter="0"/>
          <w:pgNumType w:start="1"/>
          <w:cols w:space="425" w:num="1"/>
          <w:docGrid w:type="lines" w:linePitch="312" w:charSpace="0"/>
        </w:sectPr>
      </w:pPr>
      <w:r>
        <w:rPr>
          <w:rFonts w:eastAsia="仿宋_GB2312"/>
          <w:bCs/>
          <w:snapToGrid w:val="0"/>
          <w:kern w:val="0"/>
          <w:sz w:val="32"/>
          <w:szCs w:val="32"/>
        </w:rPr>
        <w:t>《规划》以2020年为基期， 规划至2025年，展望到2035年。适用范围为峨边彝族自治县所辖行政区域内。</w:t>
      </w:r>
    </w:p>
    <w:p>
      <w:pPr>
        <w:pStyle w:val="2"/>
      </w:pPr>
      <w:bookmarkStart w:id="3" w:name="_Toc124293453"/>
      <w:bookmarkStart w:id="4" w:name="_Toc62744910"/>
      <w:r>
        <w:t>第一章  现状与形势</w:t>
      </w:r>
      <w:bookmarkEnd w:id="3"/>
      <w:bookmarkEnd w:id="4"/>
    </w:p>
    <w:p>
      <w:pPr>
        <w:pStyle w:val="3"/>
        <w:spacing w:before="156" w:after="156"/>
      </w:pPr>
      <w:bookmarkStart w:id="5" w:name="_Toc124293454"/>
      <w:r>
        <w:rPr>
          <w:rFonts w:hint="eastAsia"/>
        </w:rPr>
        <w:t>第一节 经济社会与矿业发展现状</w:t>
      </w:r>
      <w:bookmarkEnd w:id="5"/>
    </w:p>
    <w:p>
      <w:pPr>
        <w:ind w:firstLine="640"/>
        <w:rPr>
          <w:rFonts w:ascii="仿宋_GB2312" w:eastAsia="仿宋_GB2312"/>
          <w:sz w:val="32"/>
          <w:szCs w:val="32"/>
        </w:rPr>
      </w:pPr>
      <w:r>
        <w:rPr>
          <w:rFonts w:hint="eastAsia" w:ascii="仿宋_GB2312" w:eastAsia="仿宋_GB2312"/>
          <w:sz w:val="32"/>
          <w:szCs w:val="32"/>
        </w:rPr>
        <w:t>峨边彝族自治县隶属于四川省</w:t>
      </w:r>
      <w:r>
        <w:fldChar w:fldCharType="begin"/>
      </w:r>
      <w:r>
        <w:instrText xml:space="preserve"> HYPERLINK "http://baike.baidu.com/item/%E4%B9%90%E5%B1%B1%E5%B8%82" \t "_blank" </w:instrText>
      </w:r>
      <w:r>
        <w:fldChar w:fldCharType="separate"/>
      </w:r>
      <w:r>
        <w:rPr>
          <w:rFonts w:hint="eastAsia" w:ascii="仿宋_GB2312" w:eastAsia="仿宋_GB2312"/>
          <w:sz w:val="32"/>
          <w:szCs w:val="32"/>
        </w:rPr>
        <w:t>乐山市</w:t>
      </w:r>
      <w:r>
        <w:rPr>
          <w:rFonts w:hint="eastAsia" w:ascii="仿宋_GB2312" w:eastAsia="仿宋_GB2312"/>
          <w:sz w:val="32"/>
          <w:szCs w:val="32"/>
        </w:rPr>
        <w:fldChar w:fldCharType="end"/>
      </w:r>
      <w:r>
        <w:rPr>
          <w:rFonts w:hint="eastAsia" w:ascii="仿宋_GB2312" w:eastAsia="仿宋_GB2312"/>
          <w:sz w:val="32"/>
          <w:szCs w:val="32"/>
        </w:rPr>
        <w:t>，位于四川省西南部的</w:t>
      </w:r>
      <w:r>
        <w:fldChar w:fldCharType="begin"/>
      </w:r>
      <w:r>
        <w:instrText xml:space="preserve"> HYPERLINK "http://baike.baidu.com/item/%E5%B0%8F%E5%87%89%E5%B1%B1" \t "_blank" </w:instrText>
      </w:r>
      <w:r>
        <w:fldChar w:fldCharType="separate"/>
      </w:r>
      <w:r>
        <w:rPr>
          <w:rFonts w:hint="eastAsia" w:ascii="仿宋_GB2312" w:eastAsia="仿宋_GB2312"/>
          <w:sz w:val="32"/>
          <w:szCs w:val="32"/>
        </w:rPr>
        <w:t>小凉山</w:t>
      </w:r>
      <w:r>
        <w:rPr>
          <w:rFonts w:hint="eastAsia" w:ascii="仿宋_GB2312" w:eastAsia="仿宋_GB2312"/>
          <w:sz w:val="32"/>
          <w:szCs w:val="32"/>
        </w:rPr>
        <w:fldChar w:fldCharType="end"/>
      </w:r>
      <w:r>
        <w:rPr>
          <w:rFonts w:hint="eastAsia" w:ascii="仿宋_GB2312" w:eastAsia="仿宋_GB2312"/>
          <w:sz w:val="32"/>
          <w:szCs w:val="32"/>
        </w:rPr>
        <w:t>区，西邻甘洛县、南接美姑县、马边县、东靠沐川县、沙湾区，北与佛教圣地</w:t>
      </w:r>
      <w:r>
        <w:fldChar w:fldCharType="begin"/>
      </w:r>
      <w:r>
        <w:instrText xml:space="preserve"> HYPERLINK "http://baike.baidu.com/item/%E5%B3%A8%E7%9C%89%E5%B1%B1/2676" \t "_blank" </w:instrText>
      </w:r>
      <w:r>
        <w:fldChar w:fldCharType="separate"/>
      </w:r>
      <w:r>
        <w:rPr>
          <w:rFonts w:hint="eastAsia" w:ascii="仿宋_GB2312" w:eastAsia="仿宋_GB2312"/>
          <w:sz w:val="32"/>
          <w:szCs w:val="32"/>
        </w:rPr>
        <w:t>峨眉山</w:t>
      </w:r>
      <w:r>
        <w:rPr>
          <w:rFonts w:hint="eastAsia" w:ascii="仿宋_GB2312" w:eastAsia="仿宋_GB2312"/>
          <w:sz w:val="32"/>
          <w:szCs w:val="32"/>
        </w:rPr>
        <w:fldChar w:fldCharType="end"/>
      </w:r>
      <w:r>
        <w:rPr>
          <w:rFonts w:hint="eastAsia" w:ascii="仿宋_GB2312" w:eastAsia="仿宋_GB2312"/>
          <w:sz w:val="32"/>
          <w:szCs w:val="32"/>
        </w:rPr>
        <w:t>毗邻，地理坐标介于东经102°54′27″至103°35′24″，北纬28°39′59″至29°19′59″之间。东西宽56千米，南北长73千米，境内地貌多为山地和峡谷。成昆铁路及在建成昆复线横越县城，国道G245线穿过县境，在建的乐汉高速即将通车，是通往大凉山的门户。</w:t>
      </w:r>
    </w:p>
    <w:p>
      <w:pPr>
        <w:ind w:firstLine="640"/>
        <w:rPr>
          <w:rFonts w:eastAsia="仿宋_GB2312"/>
          <w:sz w:val="28"/>
          <w:szCs w:val="28"/>
        </w:rPr>
      </w:pPr>
      <w:r>
        <w:rPr>
          <w:rFonts w:hint="eastAsia" w:ascii="仿宋_GB2312" w:eastAsia="仿宋_GB2312"/>
          <w:sz w:val="32"/>
          <w:szCs w:val="32"/>
        </w:rPr>
        <w:t>全县幅员面积2382平方千米，辖 “七镇六乡”。全县人口15.3万人，其中彝族占36.6％，城镇化率46％。2020年。全县地区生产总值完成57.6亿元，是2015年的1.63倍，年均增长6.8％。全县</w:t>
      </w:r>
      <w:r>
        <w:rPr>
          <w:rFonts w:hint="eastAsia" w:ascii="仿宋_GB2312" w:hAnsi="Calibri" w:eastAsia="仿宋_GB2312" w:cs="仿宋_GB2312"/>
          <w:sz w:val="32"/>
          <w:szCs w:val="32"/>
        </w:rPr>
        <w:t>规模以上</w:t>
      </w:r>
      <w:r>
        <w:rPr>
          <w:rFonts w:hint="eastAsia" w:ascii="仿宋_GB2312" w:eastAsia="仿宋_GB2312"/>
          <w:sz w:val="32"/>
          <w:szCs w:val="32"/>
        </w:rPr>
        <w:t>矿产工业总产值达到4.6亿元，矿业工业产值在全县生产总值中占比约8%，是2015年的近5倍。矿业经济形势逐渐好转，经济实力明显增强，发展潜力总体较好。</w:t>
      </w:r>
    </w:p>
    <w:p>
      <w:pPr>
        <w:pStyle w:val="3"/>
        <w:spacing w:before="156" w:after="156"/>
      </w:pPr>
      <w:bookmarkStart w:id="6" w:name="_Toc62744911"/>
      <w:bookmarkStart w:id="7" w:name="_Toc124293455"/>
      <w:r>
        <w:t>第</w:t>
      </w:r>
      <w:r>
        <w:rPr>
          <w:rFonts w:hint="eastAsia"/>
        </w:rPr>
        <w:t>二</w:t>
      </w:r>
      <w:r>
        <w:t>节  矿产资源</w:t>
      </w:r>
      <w:bookmarkEnd w:id="6"/>
      <w:r>
        <w:rPr>
          <w:rFonts w:hint="eastAsia"/>
        </w:rPr>
        <w:t>概况</w:t>
      </w:r>
      <w:bookmarkEnd w:id="7"/>
    </w:p>
    <w:p>
      <w:pPr>
        <w:ind w:firstLine="640"/>
        <w:rPr>
          <w:rFonts w:ascii="仿宋_GB2312" w:eastAsia="仿宋_GB2312"/>
          <w:sz w:val="32"/>
          <w:szCs w:val="32"/>
          <w:lang w:val="zh-CN"/>
        </w:rPr>
      </w:pPr>
      <w:r>
        <w:rPr>
          <w:rFonts w:hint="eastAsia" w:ascii="仿宋_GB2312" w:eastAsia="仿宋_GB2312"/>
          <w:sz w:val="32"/>
          <w:szCs w:val="32"/>
        </w:rPr>
        <w:t>峨边县位于四川盆地西南部，地层除缺失志留系中、上统、泥盆系、石炭系、老第三系外，其余各系均有不同程度的分布，地质构造相对较复杂，成矿条件较好，形成了以磷、石灰岩、白云岩、玄武岩、长石、粘土等为主的非金属矿产，还形成了少量铅锌矿、铜矿等金属矿产，其中石灰岩、玄武岩等建筑原料矿产为我县具有相对优势的矿产。</w:t>
      </w:r>
    </w:p>
    <w:p>
      <w:pPr>
        <w:widowControl/>
        <w:shd w:val="clear" w:color="auto" w:fill="FFFFFF"/>
        <w:spacing w:line="640" w:lineRule="exact"/>
        <w:ind w:firstLine="643"/>
        <w:rPr>
          <w:rFonts w:eastAsia="仿宋_GB2312"/>
          <w:bCs/>
          <w:snapToGrid w:val="0"/>
          <w:kern w:val="0"/>
          <w:sz w:val="32"/>
          <w:szCs w:val="32"/>
        </w:rPr>
      </w:pPr>
      <w:r>
        <w:rPr>
          <w:rFonts w:hint="eastAsia" w:ascii="仿宋_GB2312" w:hAnsi="Calibri" w:eastAsia="仿宋_GB2312"/>
          <w:b/>
          <w:sz w:val="32"/>
          <w:szCs w:val="32"/>
        </w:rPr>
        <w:t>矿产资源种类较多。</w:t>
      </w:r>
      <w:r>
        <w:rPr>
          <w:rFonts w:hint="eastAsia" w:ascii="仿宋_GB2312" w:hAnsi="Calibri" w:eastAsia="仿宋_GB2312"/>
          <w:sz w:val="32"/>
          <w:szCs w:val="32"/>
        </w:rPr>
        <w:t>我县矿产资源主要以非金属矿产为主，金属矿产较少。截至2020年底，</w:t>
      </w:r>
      <w:r>
        <w:rPr>
          <w:rFonts w:eastAsia="仿宋_GB2312"/>
          <w:bCs/>
          <w:snapToGrid w:val="0"/>
          <w:kern w:val="0"/>
          <w:sz w:val="32"/>
          <w:szCs w:val="32"/>
        </w:rPr>
        <w:t>已发现的矿产种类有1</w:t>
      </w:r>
      <w:r>
        <w:rPr>
          <w:rFonts w:hint="eastAsia" w:eastAsia="仿宋_GB2312"/>
          <w:bCs/>
          <w:snapToGrid w:val="0"/>
          <w:kern w:val="0"/>
          <w:sz w:val="32"/>
          <w:szCs w:val="32"/>
        </w:rPr>
        <w:t>1种，</w:t>
      </w:r>
      <w:r>
        <w:rPr>
          <w:rFonts w:eastAsia="仿宋_GB2312"/>
          <w:bCs/>
          <w:snapToGrid w:val="0"/>
          <w:kern w:val="0"/>
          <w:sz w:val="32"/>
          <w:szCs w:val="32"/>
        </w:rPr>
        <w:t>主要</w:t>
      </w:r>
      <w:r>
        <w:rPr>
          <w:rFonts w:hint="eastAsia" w:eastAsia="仿宋_GB2312"/>
          <w:bCs/>
          <w:snapToGrid w:val="0"/>
          <w:kern w:val="0"/>
          <w:sz w:val="32"/>
          <w:szCs w:val="32"/>
        </w:rPr>
        <w:t>为</w:t>
      </w:r>
      <w:r>
        <w:rPr>
          <w:rFonts w:eastAsia="仿宋_GB2312"/>
          <w:bCs/>
          <w:snapToGrid w:val="0"/>
          <w:kern w:val="0"/>
          <w:sz w:val="32"/>
          <w:szCs w:val="32"/>
        </w:rPr>
        <w:t>：铜、铅锌</w:t>
      </w:r>
      <w:r>
        <w:rPr>
          <w:rFonts w:hint="eastAsia" w:eastAsia="仿宋_GB2312"/>
          <w:bCs/>
          <w:snapToGrid w:val="0"/>
          <w:kern w:val="0"/>
          <w:sz w:val="32"/>
          <w:szCs w:val="32"/>
        </w:rPr>
        <w:t>、</w:t>
      </w:r>
      <w:r>
        <w:rPr>
          <w:rFonts w:eastAsia="仿宋_GB2312"/>
          <w:bCs/>
          <w:snapToGrid w:val="0"/>
          <w:kern w:val="0"/>
          <w:sz w:val="32"/>
          <w:szCs w:val="32"/>
        </w:rPr>
        <w:t>磷、石灰岩、玄武岩</w:t>
      </w:r>
      <w:r>
        <w:rPr>
          <w:rFonts w:hint="eastAsia" w:eastAsia="仿宋_GB2312"/>
          <w:bCs/>
          <w:snapToGrid w:val="0"/>
          <w:kern w:val="0"/>
          <w:sz w:val="32"/>
          <w:szCs w:val="32"/>
        </w:rPr>
        <w:t>、</w:t>
      </w:r>
      <w:r>
        <w:rPr>
          <w:rFonts w:eastAsia="仿宋_GB2312"/>
          <w:bCs/>
          <w:snapToGrid w:val="0"/>
          <w:kern w:val="0"/>
          <w:sz w:val="32"/>
          <w:szCs w:val="32"/>
        </w:rPr>
        <w:t>长石、粘土、白云岩</w:t>
      </w:r>
      <w:r>
        <w:rPr>
          <w:rFonts w:hint="eastAsia" w:eastAsia="仿宋_GB2312"/>
          <w:bCs/>
          <w:snapToGrid w:val="0"/>
          <w:kern w:val="0"/>
          <w:sz w:val="32"/>
          <w:szCs w:val="32"/>
        </w:rPr>
        <w:t>、</w:t>
      </w:r>
      <w:r>
        <w:rPr>
          <w:rFonts w:eastAsia="仿宋_GB2312"/>
          <w:bCs/>
          <w:snapToGrid w:val="0"/>
          <w:kern w:val="0"/>
          <w:sz w:val="32"/>
          <w:szCs w:val="32"/>
        </w:rPr>
        <w:t>地热</w:t>
      </w:r>
      <w:r>
        <w:rPr>
          <w:rFonts w:hint="eastAsia" w:eastAsia="仿宋_GB2312"/>
          <w:bCs/>
          <w:snapToGrid w:val="0"/>
          <w:kern w:val="0"/>
          <w:sz w:val="32"/>
          <w:szCs w:val="32"/>
        </w:rPr>
        <w:t>、</w:t>
      </w:r>
      <w:r>
        <w:rPr>
          <w:rFonts w:eastAsia="仿宋_GB2312"/>
          <w:bCs/>
          <w:snapToGrid w:val="0"/>
          <w:kern w:val="0"/>
          <w:sz w:val="32"/>
          <w:szCs w:val="32"/>
        </w:rPr>
        <w:t>页岩</w:t>
      </w:r>
      <w:r>
        <w:rPr>
          <w:rFonts w:hint="eastAsia" w:eastAsia="仿宋_GB2312"/>
          <w:bCs/>
          <w:snapToGrid w:val="0"/>
          <w:kern w:val="0"/>
          <w:sz w:val="32"/>
          <w:szCs w:val="32"/>
        </w:rPr>
        <w:t>、</w:t>
      </w:r>
      <w:r>
        <w:rPr>
          <w:rFonts w:eastAsia="仿宋_GB2312"/>
          <w:bCs/>
          <w:snapToGrid w:val="0"/>
          <w:kern w:val="0"/>
          <w:sz w:val="32"/>
          <w:szCs w:val="32"/>
        </w:rPr>
        <w:t>陶瓷土等</w:t>
      </w:r>
      <w:r>
        <w:rPr>
          <w:rFonts w:hint="eastAsia" w:eastAsia="仿宋_GB2312"/>
          <w:bCs/>
          <w:snapToGrid w:val="0"/>
          <w:kern w:val="0"/>
          <w:sz w:val="32"/>
          <w:szCs w:val="32"/>
        </w:rPr>
        <w:t>，</w:t>
      </w:r>
      <w:r>
        <w:rPr>
          <w:rFonts w:eastAsia="仿宋_GB2312"/>
          <w:bCs/>
          <w:snapToGrid w:val="0"/>
          <w:kern w:val="0"/>
          <w:sz w:val="32"/>
          <w:szCs w:val="32"/>
        </w:rPr>
        <w:t>矿产地</w:t>
      </w:r>
      <w:r>
        <w:rPr>
          <w:rFonts w:hint="eastAsia" w:eastAsia="仿宋_GB2312"/>
          <w:bCs/>
          <w:snapToGrid w:val="0"/>
          <w:kern w:val="0"/>
          <w:sz w:val="32"/>
          <w:szCs w:val="32"/>
        </w:rPr>
        <w:t>59</w:t>
      </w:r>
      <w:r>
        <w:rPr>
          <w:rFonts w:eastAsia="仿宋_GB2312"/>
          <w:bCs/>
          <w:snapToGrid w:val="0"/>
          <w:kern w:val="0"/>
          <w:sz w:val="32"/>
          <w:szCs w:val="32"/>
        </w:rPr>
        <w:t>余处。</w:t>
      </w:r>
    </w:p>
    <w:tbl>
      <w:tblPr>
        <w:tblStyle w:val="23"/>
        <w:tblW w:w="5000" w:type="pct"/>
        <w:tblInd w:w="0" w:type="dxa"/>
        <w:tblLayout w:type="autofit"/>
        <w:tblCellMar>
          <w:top w:w="0" w:type="dxa"/>
          <w:left w:w="108" w:type="dxa"/>
          <w:bottom w:w="0" w:type="dxa"/>
          <w:right w:w="108" w:type="dxa"/>
        </w:tblCellMar>
      </w:tblPr>
      <w:tblGrid>
        <w:gridCol w:w="1864"/>
        <w:gridCol w:w="943"/>
        <w:gridCol w:w="1904"/>
        <w:gridCol w:w="2771"/>
        <w:gridCol w:w="1040"/>
      </w:tblGrid>
      <w:tr>
        <w:tblPrEx>
          <w:tblCellMar>
            <w:top w:w="0" w:type="dxa"/>
            <w:left w:w="108" w:type="dxa"/>
            <w:bottom w:w="0" w:type="dxa"/>
            <w:right w:w="108" w:type="dxa"/>
          </w:tblCellMar>
        </w:tblPrEx>
        <w:trPr>
          <w:trHeight w:val="419"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color="auto" w:fill="FFFFFF"/>
              <w:ind w:firstLine="482"/>
              <w:jc w:val="center"/>
              <w:rPr>
                <w:rFonts w:eastAsia="仿宋_GB2312"/>
                <w:bCs/>
                <w:snapToGrid w:val="0"/>
                <w:kern w:val="0"/>
              </w:rPr>
            </w:pPr>
            <w:r>
              <w:rPr>
                <w:rFonts w:eastAsia="仿宋_GB2312"/>
                <w:b/>
                <w:bCs/>
                <w:kern w:val="0"/>
              </w:rPr>
              <w:t>专栏</w:t>
            </w:r>
            <w:r>
              <w:rPr>
                <w:rFonts w:hint="eastAsia" w:eastAsia="仿宋_GB2312"/>
                <w:b/>
                <w:bCs/>
                <w:kern w:val="0"/>
              </w:rPr>
              <w:t>1</w:t>
            </w:r>
            <w:r>
              <w:rPr>
                <w:rFonts w:eastAsia="仿宋_GB2312"/>
                <w:b/>
                <w:bCs/>
                <w:kern w:val="0"/>
              </w:rPr>
              <w:t xml:space="preserve"> </w:t>
            </w:r>
            <w:r>
              <w:rPr>
                <w:rFonts w:hint="eastAsia" w:eastAsia="仿宋_GB2312"/>
                <w:b/>
                <w:bCs/>
                <w:kern w:val="0"/>
              </w:rPr>
              <w:t>截止到2020年底全</w:t>
            </w:r>
            <w:r>
              <w:rPr>
                <w:rFonts w:eastAsia="仿宋_GB2312"/>
                <w:b/>
                <w:bCs/>
                <w:kern w:val="0"/>
              </w:rPr>
              <w:t>县矿产资源保有资源量统计表</w:t>
            </w:r>
          </w:p>
        </w:tc>
      </w:tr>
      <w:tr>
        <w:tblPrEx>
          <w:tblCellMar>
            <w:top w:w="0" w:type="dxa"/>
            <w:left w:w="108" w:type="dxa"/>
            <w:bottom w:w="0" w:type="dxa"/>
            <w:right w:w="108" w:type="dxa"/>
          </w:tblCellMar>
        </w:tblPrEx>
        <w:trPr>
          <w:trHeight w:val="419" w:hRule="atLeast"/>
        </w:trPr>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ascii="仿宋_GB2312" w:eastAsia="仿宋_GB2312"/>
                <w:b/>
                <w:bCs/>
                <w:kern w:val="0"/>
              </w:rPr>
            </w:pPr>
            <w:r>
              <w:rPr>
                <w:rFonts w:hint="eastAsia" w:ascii="仿宋_GB2312" w:eastAsia="仿宋_GB2312"/>
                <w:b/>
                <w:bCs/>
                <w:kern w:val="0"/>
              </w:rPr>
              <w:t>矿种</w:t>
            </w:r>
          </w:p>
        </w:tc>
        <w:tc>
          <w:tcPr>
            <w:tcW w:w="553" w:type="pct"/>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ascii="仿宋_GB2312" w:eastAsia="仿宋_GB2312"/>
                <w:b/>
                <w:bCs/>
                <w:kern w:val="0"/>
              </w:rPr>
            </w:pPr>
            <w:r>
              <w:rPr>
                <w:rFonts w:hint="eastAsia" w:ascii="仿宋_GB2312" w:eastAsia="仿宋_GB2312"/>
                <w:b/>
                <w:bCs/>
                <w:kern w:val="0"/>
              </w:rPr>
              <w:t>个数</w:t>
            </w:r>
          </w:p>
        </w:tc>
        <w:tc>
          <w:tcPr>
            <w:tcW w:w="1117" w:type="pct"/>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ascii="仿宋_GB2312" w:eastAsia="仿宋_GB2312"/>
                <w:b/>
                <w:bCs/>
                <w:kern w:val="0"/>
              </w:rPr>
            </w:pPr>
            <w:r>
              <w:rPr>
                <w:rFonts w:hint="eastAsia" w:ascii="仿宋_GB2312" w:eastAsia="仿宋_GB2312"/>
                <w:b/>
                <w:bCs/>
                <w:kern w:val="0"/>
              </w:rPr>
              <w:t>单位</w:t>
            </w:r>
          </w:p>
        </w:tc>
        <w:tc>
          <w:tcPr>
            <w:tcW w:w="1626" w:type="pct"/>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ascii="仿宋_GB2312" w:eastAsia="仿宋_GB2312"/>
                <w:b/>
                <w:bCs/>
                <w:kern w:val="0"/>
              </w:rPr>
            </w:pPr>
            <w:r>
              <w:rPr>
                <w:rFonts w:hint="eastAsia" w:ascii="仿宋_GB2312" w:eastAsia="仿宋_GB2312"/>
                <w:b/>
                <w:bCs/>
                <w:kern w:val="0"/>
              </w:rPr>
              <w:t>保有资源量</w:t>
            </w:r>
          </w:p>
        </w:tc>
        <w:tc>
          <w:tcPr>
            <w:tcW w:w="610" w:type="pct"/>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ascii="仿宋_GB2312" w:eastAsia="仿宋_GB2312"/>
                <w:b/>
                <w:bCs/>
                <w:kern w:val="0"/>
              </w:rPr>
            </w:pPr>
            <w:r>
              <w:rPr>
                <w:rFonts w:hint="eastAsia" w:ascii="仿宋_GB2312" w:eastAsia="仿宋_GB2312"/>
                <w:b/>
                <w:bCs/>
                <w:kern w:val="0"/>
              </w:rPr>
              <w:t>备注</w:t>
            </w:r>
          </w:p>
        </w:tc>
      </w:tr>
      <w:tr>
        <w:tblPrEx>
          <w:tblCellMar>
            <w:top w:w="0" w:type="dxa"/>
            <w:left w:w="108" w:type="dxa"/>
            <w:bottom w:w="0" w:type="dxa"/>
            <w:right w:w="108" w:type="dxa"/>
          </w:tblCellMar>
        </w:tblPrEx>
        <w:trPr>
          <w:trHeight w:val="397" w:hRule="atLeast"/>
        </w:trPr>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铜</w:t>
            </w:r>
          </w:p>
        </w:tc>
        <w:tc>
          <w:tcPr>
            <w:tcW w:w="553"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w:t>
            </w:r>
          </w:p>
        </w:tc>
        <w:tc>
          <w:tcPr>
            <w:tcW w:w="1117"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238.70</w:t>
            </w:r>
          </w:p>
        </w:tc>
        <w:tc>
          <w:tcPr>
            <w:tcW w:w="610" w:type="pct"/>
            <w:vMerge w:val="restart"/>
            <w:tcBorders>
              <w:top w:val="single" w:color="auto" w:sz="4" w:space="0"/>
              <w:left w:val="nil"/>
              <w:bottom w:val="single" w:color="auto" w:sz="4" w:space="0"/>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铅锌</w:t>
            </w:r>
          </w:p>
        </w:tc>
        <w:tc>
          <w:tcPr>
            <w:tcW w:w="553"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2</w:t>
            </w:r>
          </w:p>
        </w:tc>
        <w:tc>
          <w:tcPr>
            <w:tcW w:w="1117"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single" w:color="auto" w:sz="4" w:space="0"/>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75.90</w:t>
            </w:r>
          </w:p>
        </w:tc>
        <w:tc>
          <w:tcPr>
            <w:tcW w:w="610" w:type="pct"/>
            <w:vMerge w:val="continue"/>
            <w:tcBorders>
              <w:top w:val="single" w:color="auto" w:sz="4" w:space="0"/>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磷</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4</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5289.61</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石灰岩</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10</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2209.25</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玄武岩</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14</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1438.46</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地热</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万立方米/年</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15.00</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白云岩</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6</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256.8</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长石</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8</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1082.23</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页岩</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2</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121.60</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陶瓷土</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3</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124.36</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粘土</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8</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矿石 万吨</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547.52</w:t>
            </w:r>
          </w:p>
        </w:tc>
        <w:tc>
          <w:tcPr>
            <w:tcW w:w="610" w:type="pct"/>
            <w:vMerge w:val="continue"/>
            <w:tcBorders>
              <w:left w:val="nil"/>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r>
        <w:tblPrEx>
          <w:tblCellMar>
            <w:top w:w="0" w:type="dxa"/>
            <w:left w:w="108" w:type="dxa"/>
            <w:bottom w:w="0" w:type="dxa"/>
            <w:right w:w="108" w:type="dxa"/>
          </w:tblCellMar>
        </w:tblPrEx>
        <w:trPr>
          <w:trHeight w:val="285" w:hRule="atLeast"/>
        </w:trPr>
        <w:tc>
          <w:tcPr>
            <w:tcW w:w="1094" w:type="pct"/>
            <w:tcBorders>
              <w:top w:val="nil"/>
              <w:left w:val="single" w:color="auto" w:sz="4" w:space="0"/>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合计</w:t>
            </w:r>
          </w:p>
        </w:tc>
        <w:tc>
          <w:tcPr>
            <w:tcW w:w="553"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59</w:t>
            </w:r>
          </w:p>
        </w:tc>
        <w:tc>
          <w:tcPr>
            <w:tcW w:w="1117"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　</w:t>
            </w:r>
          </w:p>
        </w:tc>
        <w:tc>
          <w:tcPr>
            <w:tcW w:w="1626" w:type="pct"/>
            <w:tcBorders>
              <w:top w:val="nil"/>
              <w:left w:val="nil"/>
              <w:bottom w:val="single" w:color="auto" w:sz="4" w:space="0"/>
              <w:right w:val="single" w:color="auto" w:sz="4" w:space="0"/>
            </w:tcBorders>
            <w:shd w:val="clear" w:color="auto" w:fill="auto"/>
            <w:noWrap/>
            <w:vAlign w:val="center"/>
          </w:tcPr>
          <w:p>
            <w:pPr>
              <w:pStyle w:val="42"/>
              <w:adjustRightInd w:val="0"/>
              <w:snapToGrid w:val="0"/>
              <w:rPr>
                <w:rFonts w:ascii="仿宋_GB2312" w:hAnsi="Times New Roman" w:eastAsia="仿宋_GB2312" w:cs="Times New Roman"/>
                <w:bCs/>
                <w:color w:val="auto"/>
              </w:rPr>
            </w:pPr>
            <w:r>
              <w:rPr>
                <w:rFonts w:hint="eastAsia" w:ascii="仿宋_GB2312" w:hAnsi="Times New Roman" w:eastAsia="仿宋_GB2312" w:cs="Times New Roman"/>
                <w:bCs/>
                <w:color w:val="auto"/>
              </w:rPr>
              <w:t>　</w:t>
            </w:r>
          </w:p>
        </w:tc>
        <w:tc>
          <w:tcPr>
            <w:tcW w:w="610" w:type="pct"/>
            <w:vMerge w:val="continue"/>
            <w:tcBorders>
              <w:left w:val="nil"/>
              <w:bottom w:val="single" w:color="auto" w:sz="4" w:space="0"/>
              <w:right w:val="single" w:color="auto" w:sz="4" w:space="0"/>
            </w:tcBorders>
            <w:shd w:val="clear" w:color="auto" w:fill="auto"/>
            <w:noWrap/>
            <w:vAlign w:val="center"/>
          </w:tcPr>
          <w:p>
            <w:pPr>
              <w:pStyle w:val="42"/>
              <w:rPr>
                <w:rFonts w:ascii="仿宋_GB2312" w:hAnsi="Times New Roman" w:eastAsia="仿宋_GB2312" w:cs="Times New Roman"/>
                <w:bCs/>
                <w:color w:val="auto"/>
              </w:rPr>
            </w:pPr>
          </w:p>
        </w:tc>
      </w:tr>
    </w:tbl>
    <w:p>
      <w:pPr>
        <w:widowControl/>
        <w:shd w:val="clear" w:color="auto" w:fill="FFFFFF"/>
        <w:ind w:firstLine="643"/>
        <w:rPr>
          <w:rFonts w:eastAsia="仿宋_GB2312"/>
          <w:bCs/>
          <w:snapToGrid w:val="0"/>
          <w:kern w:val="0"/>
          <w:sz w:val="32"/>
          <w:szCs w:val="32"/>
        </w:rPr>
      </w:pPr>
      <w:r>
        <w:rPr>
          <w:rFonts w:hint="eastAsia" w:ascii="仿宋_GB2312" w:hAnsi="仿宋" w:eastAsia="仿宋_GB2312"/>
          <w:b/>
          <w:sz w:val="32"/>
          <w:szCs w:val="32"/>
        </w:rPr>
        <w:t>优势矿产资源量较大。</w:t>
      </w:r>
      <w:r>
        <w:rPr>
          <w:rFonts w:hint="eastAsia" w:ascii="仿宋_GB2312" w:hAnsi="Calibri" w:eastAsia="仿宋_GB2312"/>
          <w:sz w:val="32"/>
          <w:szCs w:val="32"/>
        </w:rPr>
        <w:t>我县主要优势矿产有磷、石灰岩、玄武岩、长石等矿产。截至2020年底，</w:t>
      </w:r>
      <w:r>
        <w:rPr>
          <w:rFonts w:eastAsia="仿宋_GB2312"/>
          <w:bCs/>
          <w:snapToGrid w:val="0"/>
          <w:kern w:val="0"/>
          <w:sz w:val="32"/>
          <w:szCs w:val="32"/>
        </w:rPr>
        <w:t>磷矿已查明储量约</w:t>
      </w:r>
      <w:r>
        <w:rPr>
          <w:rFonts w:hint="eastAsia" w:eastAsia="仿宋_GB2312"/>
          <w:bCs/>
          <w:snapToGrid w:val="0"/>
          <w:kern w:val="0"/>
          <w:sz w:val="32"/>
          <w:szCs w:val="32"/>
        </w:rPr>
        <w:t>0.5亿</w:t>
      </w:r>
      <w:r>
        <w:rPr>
          <w:rFonts w:eastAsia="仿宋_GB2312"/>
          <w:bCs/>
          <w:snapToGrid w:val="0"/>
          <w:kern w:val="0"/>
          <w:sz w:val="32"/>
          <w:szCs w:val="32"/>
        </w:rPr>
        <w:t>吨</w:t>
      </w:r>
      <w:r>
        <w:rPr>
          <w:rFonts w:hint="eastAsia" w:eastAsia="仿宋_GB2312"/>
          <w:bCs/>
          <w:snapToGrid w:val="0"/>
          <w:kern w:val="0"/>
          <w:sz w:val="32"/>
          <w:szCs w:val="32"/>
        </w:rPr>
        <w:t>，</w:t>
      </w:r>
      <w:r>
        <w:rPr>
          <w:rFonts w:eastAsia="仿宋_GB2312"/>
          <w:bCs/>
          <w:snapToGrid w:val="0"/>
          <w:kern w:val="0"/>
          <w:sz w:val="32"/>
          <w:szCs w:val="32"/>
        </w:rPr>
        <w:t>石灰岩已查明资源储量约5.7亿吨，玄武岩已查明资源储量约10</w:t>
      </w:r>
      <w:r>
        <w:rPr>
          <w:rFonts w:hint="eastAsia" w:eastAsia="仿宋_GB2312"/>
          <w:bCs/>
          <w:snapToGrid w:val="0"/>
          <w:kern w:val="0"/>
          <w:sz w:val="32"/>
          <w:szCs w:val="32"/>
        </w:rPr>
        <w:t>.5</w:t>
      </w:r>
      <w:r>
        <w:rPr>
          <w:rFonts w:eastAsia="仿宋_GB2312"/>
          <w:bCs/>
          <w:snapToGrid w:val="0"/>
          <w:kern w:val="0"/>
          <w:sz w:val="32"/>
          <w:szCs w:val="32"/>
        </w:rPr>
        <w:t>亿吨</w:t>
      </w:r>
      <w:r>
        <w:rPr>
          <w:rFonts w:hint="eastAsia" w:eastAsia="仿宋_GB2312"/>
          <w:bCs/>
          <w:snapToGrid w:val="0"/>
          <w:kern w:val="0"/>
          <w:sz w:val="32"/>
          <w:szCs w:val="32"/>
        </w:rPr>
        <w:t>，</w:t>
      </w:r>
      <w:r>
        <w:rPr>
          <w:rFonts w:eastAsia="仿宋_GB2312"/>
          <w:bCs/>
          <w:snapToGrid w:val="0"/>
          <w:kern w:val="0"/>
          <w:sz w:val="32"/>
          <w:szCs w:val="32"/>
        </w:rPr>
        <w:t>长石已查明资源储量约3400万吨。</w:t>
      </w:r>
    </w:p>
    <w:p>
      <w:pPr>
        <w:widowControl/>
        <w:ind w:firstLine="643"/>
        <w:rPr>
          <w:rFonts w:eastAsia="仿宋_GB2312"/>
          <w:bCs/>
          <w:snapToGrid w:val="0"/>
          <w:kern w:val="0"/>
          <w:sz w:val="32"/>
          <w:szCs w:val="32"/>
        </w:rPr>
      </w:pPr>
      <w:r>
        <w:rPr>
          <w:rFonts w:hint="eastAsia" w:ascii="仿宋_GB2312" w:hAnsi="仿宋" w:eastAsia="仿宋_GB2312"/>
          <w:b/>
          <w:sz w:val="32"/>
          <w:szCs w:val="32"/>
        </w:rPr>
        <w:t>资源分布相对集中。</w:t>
      </w:r>
      <w:r>
        <w:rPr>
          <w:rFonts w:eastAsia="仿宋_GB2312"/>
          <w:bCs/>
          <w:snapToGrid w:val="0"/>
          <w:kern w:val="0"/>
          <w:sz w:val="32"/>
          <w:szCs w:val="32"/>
        </w:rPr>
        <w:t>磷矿</w:t>
      </w:r>
      <w:r>
        <w:rPr>
          <w:rFonts w:hint="eastAsia" w:eastAsia="仿宋_GB2312"/>
          <w:bCs/>
          <w:snapToGrid w:val="0"/>
          <w:kern w:val="0"/>
          <w:sz w:val="32"/>
          <w:szCs w:val="32"/>
        </w:rPr>
        <w:t>赋存于寒武系下统麦地坪组地层中，</w:t>
      </w:r>
      <w:r>
        <w:rPr>
          <w:rFonts w:eastAsia="仿宋_GB2312"/>
          <w:bCs/>
          <w:snapToGrid w:val="0"/>
          <w:kern w:val="0"/>
          <w:sz w:val="32"/>
          <w:szCs w:val="32"/>
        </w:rPr>
        <w:t>主要分布在平等乡-新林镇一带，以锣鼓坪磷矿、华竹沟磷矿和青山磷矿为主要矿产地，远景储量达</w:t>
      </w:r>
      <w:r>
        <w:rPr>
          <w:rFonts w:hint="eastAsia" w:eastAsia="仿宋_GB2312"/>
          <w:bCs/>
          <w:snapToGrid w:val="0"/>
          <w:kern w:val="0"/>
          <w:sz w:val="32"/>
          <w:szCs w:val="32"/>
        </w:rPr>
        <w:t>1亿</w:t>
      </w:r>
      <w:r>
        <w:rPr>
          <w:rFonts w:eastAsia="仿宋_GB2312"/>
          <w:bCs/>
          <w:snapToGrid w:val="0"/>
          <w:kern w:val="0"/>
          <w:sz w:val="32"/>
          <w:szCs w:val="32"/>
        </w:rPr>
        <w:t>吨左右</w:t>
      </w:r>
      <w:r>
        <w:rPr>
          <w:rFonts w:hint="eastAsia" w:eastAsia="仿宋_GB2312"/>
          <w:bCs/>
          <w:snapToGrid w:val="0"/>
          <w:kern w:val="0"/>
          <w:sz w:val="32"/>
          <w:szCs w:val="32"/>
        </w:rPr>
        <w:t>；</w:t>
      </w:r>
      <w:r>
        <w:rPr>
          <w:rFonts w:eastAsia="仿宋_GB2312"/>
          <w:bCs/>
          <w:snapToGrid w:val="0"/>
          <w:kern w:val="0"/>
          <w:sz w:val="32"/>
          <w:szCs w:val="32"/>
        </w:rPr>
        <w:t>长石矿</w:t>
      </w:r>
      <w:r>
        <w:rPr>
          <w:rFonts w:hint="eastAsia" w:eastAsia="仿宋_GB2312"/>
          <w:bCs/>
          <w:snapToGrid w:val="0"/>
          <w:kern w:val="0"/>
          <w:sz w:val="32"/>
          <w:szCs w:val="32"/>
        </w:rPr>
        <w:t>赋存于前震旦系花岗斑岩浅表风化带中，</w:t>
      </w:r>
      <w:r>
        <w:rPr>
          <w:rFonts w:eastAsia="仿宋_GB2312"/>
          <w:bCs/>
          <w:snapToGrid w:val="0"/>
          <w:kern w:val="0"/>
          <w:sz w:val="32"/>
          <w:szCs w:val="32"/>
        </w:rPr>
        <w:t>集中分布于五渡镇内，是目前四川省内钾长石主要原料基地</w:t>
      </w:r>
      <w:r>
        <w:rPr>
          <w:rFonts w:hint="eastAsia" w:eastAsia="仿宋_GB2312"/>
          <w:bCs/>
          <w:snapToGrid w:val="0"/>
          <w:kern w:val="0"/>
          <w:sz w:val="32"/>
          <w:szCs w:val="32"/>
        </w:rPr>
        <w:t>；</w:t>
      </w:r>
      <w:r>
        <w:rPr>
          <w:rFonts w:eastAsia="仿宋_GB2312"/>
          <w:bCs/>
          <w:snapToGrid w:val="0"/>
          <w:kern w:val="0"/>
          <w:sz w:val="32"/>
          <w:szCs w:val="32"/>
        </w:rPr>
        <w:t>石灰岩</w:t>
      </w:r>
      <w:r>
        <w:rPr>
          <w:rFonts w:hint="eastAsia" w:eastAsia="仿宋_GB2312"/>
          <w:bCs/>
          <w:snapToGrid w:val="0"/>
          <w:kern w:val="0"/>
          <w:sz w:val="32"/>
          <w:szCs w:val="32"/>
        </w:rPr>
        <w:t>赋存于二叠系中统茅口组地层中，玄武</w:t>
      </w:r>
      <w:r>
        <w:rPr>
          <w:rFonts w:eastAsia="仿宋_GB2312"/>
          <w:bCs/>
          <w:snapToGrid w:val="0"/>
          <w:kern w:val="0"/>
          <w:sz w:val="32"/>
          <w:szCs w:val="32"/>
        </w:rPr>
        <w:t>岩</w:t>
      </w:r>
      <w:r>
        <w:rPr>
          <w:rFonts w:hint="eastAsia" w:eastAsia="仿宋_GB2312"/>
          <w:bCs/>
          <w:snapToGrid w:val="0"/>
          <w:kern w:val="0"/>
          <w:sz w:val="32"/>
          <w:szCs w:val="32"/>
        </w:rPr>
        <w:t>赋存于二叠系峨眉山玄武岩组地层中，石灰岩和玄武岩主要集中分布在</w:t>
      </w:r>
      <w:r>
        <w:rPr>
          <w:rFonts w:eastAsia="仿宋_GB2312"/>
          <w:bCs/>
          <w:snapToGrid w:val="0"/>
          <w:kern w:val="0"/>
          <w:sz w:val="32"/>
          <w:szCs w:val="32"/>
        </w:rPr>
        <w:t>毛坪镇、沙坪镇一带</w:t>
      </w:r>
      <w:r>
        <w:rPr>
          <w:rFonts w:hint="eastAsia" w:eastAsia="仿宋_GB2312"/>
          <w:bCs/>
          <w:snapToGrid w:val="0"/>
          <w:kern w:val="0"/>
          <w:sz w:val="32"/>
          <w:szCs w:val="32"/>
        </w:rPr>
        <w:t>；</w:t>
      </w:r>
      <w:r>
        <w:rPr>
          <w:rFonts w:eastAsia="仿宋_GB2312"/>
          <w:bCs/>
          <w:snapToGrid w:val="0"/>
          <w:kern w:val="0"/>
          <w:sz w:val="32"/>
          <w:szCs w:val="32"/>
        </w:rPr>
        <w:t>粘土岩</w:t>
      </w:r>
      <w:r>
        <w:rPr>
          <w:rFonts w:hint="eastAsia" w:eastAsia="仿宋_GB2312"/>
          <w:bCs/>
          <w:snapToGrid w:val="0"/>
          <w:kern w:val="0"/>
          <w:sz w:val="32"/>
          <w:szCs w:val="32"/>
        </w:rPr>
        <w:t>赋存于三叠系中统雷口坡和二叠系上统宣威组地层中，</w:t>
      </w:r>
      <w:r>
        <w:rPr>
          <w:rFonts w:eastAsia="仿宋_GB2312"/>
          <w:bCs/>
          <w:snapToGrid w:val="0"/>
          <w:kern w:val="0"/>
          <w:sz w:val="32"/>
          <w:szCs w:val="32"/>
        </w:rPr>
        <w:t>主要集中分布于新场乡、共和乡一带</w:t>
      </w:r>
      <w:r>
        <w:rPr>
          <w:rFonts w:hint="eastAsia" w:eastAsia="仿宋_GB2312"/>
          <w:bCs/>
          <w:snapToGrid w:val="0"/>
          <w:kern w:val="0"/>
          <w:sz w:val="32"/>
          <w:szCs w:val="32"/>
        </w:rPr>
        <w:t>。</w:t>
      </w:r>
    </w:p>
    <w:p>
      <w:pPr>
        <w:pStyle w:val="3"/>
        <w:spacing w:before="156" w:after="156"/>
      </w:pPr>
      <w:bookmarkStart w:id="8" w:name="_Toc62744912"/>
      <w:bookmarkStart w:id="9" w:name="_Toc124293456"/>
      <w:r>
        <w:t>第</w:t>
      </w:r>
      <w:r>
        <w:rPr>
          <w:rFonts w:hint="eastAsia"/>
        </w:rPr>
        <w:t>三</w:t>
      </w:r>
      <w:r>
        <w:t>节  矿产资源勘查开发利用现状</w:t>
      </w:r>
      <w:bookmarkEnd w:id="8"/>
      <w:bookmarkEnd w:id="9"/>
    </w:p>
    <w:p>
      <w:pPr>
        <w:ind w:firstLine="643"/>
        <w:rPr>
          <w:rFonts w:eastAsia="仿宋_GB2312"/>
          <w:sz w:val="32"/>
          <w:szCs w:val="21"/>
        </w:rPr>
      </w:pPr>
      <w:r>
        <w:rPr>
          <w:rFonts w:hint="eastAsia" w:eastAsia="仿宋_GB2312"/>
          <w:b/>
          <w:sz w:val="32"/>
          <w:szCs w:val="21"/>
        </w:rPr>
        <w:t>探矿权现状</w:t>
      </w:r>
      <w:r>
        <w:rPr>
          <w:rFonts w:hint="eastAsia" w:eastAsia="仿宋_GB2312"/>
          <w:sz w:val="32"/>
          <w:szCs w:val="21"/>
        </w:rPr>
        <w:t>。</w:t>
      </w:r>
      <w:r>
        <w:rPr>
          <w:rFonts w:eastAsia="仿宋_GB2312"/>
          <w:sz w:val="32"/>
          <w:szCs w:val="21"/>
        </w:rPr>
        <w:t>截止2020年底，我县现有有效探矿权数量共有12个，主要为铜多金属矿、磷铅锌矿、长石等矿种；其中1个探矿权目前已完成野外地质工作，已提交勘探报告</w:t>
      </w:r>
      <w:r>
        <w:rPr>
          <w:rFonts w:hint="eastAsia" w:eastAsia="仿宋_GB2312"/>
          <w:sz w:val="32"/>
          <w:szCs w:val="21"/>
        </w:rPr>
        <w:t>，</w:t>
      </w:r>
      <w:r>
        <w:rPr>
          <w:rFonts w:eastAsia="仿宋_GB2312"/>
          <w:sz w:val="32"/>
          <w:szCs w:val="21"/>
        </w:rPr>
        <w:t>正在按程序办理探转采。</w:t>
      </w:r>
    </w:p>
    <w:p>
      <w:pPr>
        <w:ind w:firstLine="643"/>
        <w:rPr>
          <w:rFonts w:eastAsia="仿宋_GB2312"/>
          <w:b/>
          <w:sz w:val="32"/>
          <w:szCs w:val="21"/>
        </w:rPr>
      </w:pPr>
      <w:r>
        <w:rPr>
          <w:rFonts w:hint="eastAsia" w:eastAsia="仿宋_GB2312"/>
          <w:b/>
          <w:sz w:val="32"/>
          <w:szCs w:val="21"/>
        </w:rPr>
        <w:t>采矿权现状。</w:t>
      </w:r>
      <w:r>
        <w:rPr>
          <w:rFonts w:eastAsia="仿宋_GB2312"/>
          <w:sz w:val="32"/>
          <w:szCs w:val="21"/>
        </w:rPr>
        <w:t>截止至2020年底，我</w:t>
      </w:r>
      <w:r>
        <w:rPr>
          <w:rFonts w:hint="eastAsia" w:eastAsia="仿宋_GB2312"/>
          <w:sz w:val="32"/>
          <w:szCs w:val="21"/>
        </w:rPr>
        <w:t>县</w:t>
      </w:r>
      <w:r>
        <w:rPr>
          <w:rFonts w:eastAsia="仿宋_GB2312"/>
          <w:sz w:val="32"/>
          <w:szCs w:val="21"/>
        </w:rPr>
        <w:t>有效采矿权5</w:t>
      </w:r>
      <w:r>
        <w:rPr>
          <w:rFonts w:hint="eastAsia" w:eastAsia="仿宋_GB2312"/>
          <w:sz w:val="32"/>
          <w:szCs w:val="21"/>
        </w:rPr>
        <w:t>9</w:t>
      </w:r>
      <w:r>
        <w:rPr>
          <w:rFonts w:eastAsia="仿宋_GB2312"/>
          <w:sz w:val="32"/>
          <w:szCs w:val="21"/>
        </w:rPr>
        <w:t>个，其中省级颁证7个，市级颁证3</w:t>
      </w:r>
      <w:r>
        <w:rPr>
          <w:rFonts w:hint="eastAsia" w:eastAsia="仿宋_GB2312"/>
          <w:sz w:val="32"/>
          <w:szCs w:val="21"/>
        </w:rPr>
        <w:t>9</w:t>
      </w:r>
      <w:r>
        <w:rPr>
          <w:rFonts w:eastAsia="仿宋_GB2312"/>
          <w:sz w:val="32"/>
          <w:szCs w:val="21"/>
        </w:rPr>
        <w:t>个，县级颁证1</w:t>
      </w:r>
      <w:r>
        <w:rPr>
          <w:rFonts w:hint="eastAsia" w:eastAsia="仿宋_GB2312"/>
          <w:sz w:val="32"/>
          <w:szCs w:val="21"/>
        </w:rPr>
        <w:t>3</w:t>
      </w:r>
      <w:r>
        <w:rPr>
          <w:rFonts w:eastAsia="仿宋_GB2312"/>
          <w:sz w:val="32"/>
          <w:szCs w:val="21"/>
        </w:rPr>
        <w:t>个。主要矿种有：铜、铅锌、磷、</w:t>
      </w:r>
      <w:r>
        <w:rPr>
          <w:rFonts w:eastAsia="仿宋_GB2312"/>
          <w:sz w:val="32"/>
          <w:szCs w:val="28"/>
        </w:rPr>
        <w:t>地热（理疗热矿水）</w:t>
      </w:r>
      <w:r>
        <w:rPr>
          <w:rFonts w:eastAsia="仿宋_GB2312"/>
          <w:sz w:val="32"/>
          <w:szCs w:val="21"/>
        </w:rPr>
        <w:t>、石灰岩、玄武岩、白云岩、长石、页岩、粘土等。</w:t>
      </w:r>
    </w:p>
    <w:p>
      <w:pPr>
        <w:pStyle w:val="3"/>
        <w:spacing w:before="156" w:after="156"/>
      </w:pPr>
      <w:bookmarkStart w:id="10" w:name="_Toc62744913"/>
      <w:bookmarkStart w:id="11" w:name="_Toc124293457"/>
      <w:r>
        <w:t>第</w:t>
      </w:r>
      <w:r>
        <w:rPr>
          <w:rFonts w:hint="eastAsia"/>
        </w:rPr>
        <w:t>四</w:t>
      </w:r>
      <w:r>
        <w:t>节  上轮矿产资源规划实施成效</w:t>
      </w:r>
      <w:bookmarkEnd w:id="10"/>
      <w:bookmarkEnd w:id="11"/>
    </w:p>
    <w:p>
      <w:pPr>
        <w:ind w:firstLine="640"/>
        <w:rPr>
          <w:rFonts w:eastAsia="仿宋_GB2312"/>
          <w:color w:val="000000"/>
          <w:sz w:val="32"/>
          <w:szCs w:val="32"/>
        </w:rPr>
      </w:pPr>
      <w:r>
        <w:rPr>
          <w:rFonts w:eastAsia="仿宋_GB2312"/>
          <w:color w:val="000000"/>
          <w:sz w:val="32"/>
          <w:szCs w:val="32"/>
        </w:rPr>
        <w:t>经过</w:t>
      </w:r>
      <w:r>
        <w:rPr>
          <w:rFonts w:hint="eastAsia" w:eastAsia="仿宋_GB2312"/>
          <w:color w:val="000000"/>
          <w:sz w:val="32"/>
          <w:szCs w:val="32"/>
        </w:rPr>
        <w:t>上</w:t>
      </w:r>
      <w:r>
        <w:rPr>
          <w:rFonts w:eastAsia="仿宋_GB2312"/>
          <w:color w:val="000000"/>
          <w:sz w:val="32"/>
          <w:szCs w:val="32"/>
        </w:rPr>
        <w:t>轮矿产资源规划在矿产资源勘查开发、矿山地质环境治理恢复与保护等方面起到了调控与指导性作用，使全县矿产资源活动合理有序地进行，为全县矿产资源经济发展提供了有力保障，加快了</w:t>
      </w:r>
      <w:r>
        <w:rPr>
          <w:rFonts w:hint="eastAsia" w:eastAsia="仿宋_GB2312"/>
          <w:color w:val="000000"/>
          <w:sz w:val="32"/>
          <w:szCs w:val="32"/>
        </w:rPr>
        <w:t>我</w:t>
      </w:r>
      <w:r>
        <w:rPr>
          <w:rFonts w:eastAsia="仿宋_GB2312"/>
          <w:color w:val="000000"/>
          <w:sz w:val="32"/>
          <w:szCs w:val="32"/>
        </w:rPr>
        <w:t>县经济社会可持续发展的前进步伐。</w:t>
      </w:r>
    </w:p>
    <w:p>
      <w:pPr>
        <w:ind w:firstLine="643"/>
        <w:rPr>
          <w:rFonts w:eastAsia="仿宋_GB2312"/>
          <w:sz w:val="32"/>
          <w:szCs w:val="32"/>
        </w:rPr>
      </w:pPr>
      <w:r>
        <w:rPr>
          <w:rFonts w:eastAsia="仿宋_GB2312"/>
          <w:b/>
          <w:bCs/>
          <w:color w:val="000000"/>
          <w:sz w:val="32"/>
          <w:szCs w:val="32"/>
        </w:rPr>
        <w:t>矿产资源保障程度稳步上升</w:t>
      </w:r>
      <w:r>
        <w:rPr>
          <w:rFonts w:hint="eastAsia" w:eastAsia="仿宋_GB2312"/>
          <w:b/>
          <w:bCs/>
          <w:color w:val="000000"/>
          <w:sz w:val="32"/>
          <w:szCs w:val="32"/>
        </w:rPr>
        <w:t>。</w:t>
      </w:r>
      <w:r>
        <w:rPr>
          <w:rFonts w:eastAsia="仿宋_GB2312"/>
          <w:sz w:val="32"/>
          <w:szCs w:val="32"/>
        </w:rPr>
        <w:t>“十三五”期间，</w:t>
      </w:r>
      <w:r>
        <w:rPr>
          <w:rFonts w:hint="eastAsia" w:eastAsia="仿宋_GB2312"/>
          <w:sz w:val="32"/>
          <w:szCs w:val="32"/>
        </w:rPr>
        <w:t>我</w:t>
      </w:r>
      <w:r>
        <w:rPr>
          <w:rFonts w:eastAsia="仿宋_GB2312"/>
          <w:sz w:val="32"/>
          <w:szCs w:val="32"/>
        </w:rPr>
        <w:t>县范围内完成了石灰岩、长石矿</w:t>
      </w:r>
      <w:r>
        <w:rPr>
          <w:rFonts w:hint="eastAsia" w:eastAsia="仿宋_GB2312"/>
          <w:sz w:val="32"/>
          <w:szCs w:val="32"/>
        </w:rPr>
        <w:t>、</w:t>
      </w:r>
      <w:r>
        <w:rPr>
          <w:rFonts w:eastAsia="仿宋_GB2312"/>
          <w:sz w:val="32"/>
          <w:szCs w:val="32"/>
        </w:rPr>
        <w:t>磷矿等的勘查工作</w:t>
      </w:r>
      <w:r>
        <w:rPr>
          <w:rFonts w:hint="eastAsia" w:eastAsia="仿宋_GB2312"/>
          <w:sz w:val="32"/>
          <w:szCs w:val="32"/>
        </w:rPr>
        <w:t>。</w:t>
      </w:r>
      <w:r>
        <w:rPr>
          <w:rFonts w:eastAsia="仿宋_GB2312"/>
          <w:sz w:val="32"/>
          <w:szCs w:val="32"/>
        </w:rPr>
        <w:t>新增水泥用灰岩1476.6万吨</w:t>
      </w:r>
      <w:r>
        <w:rPr>
          <w:rFonts w:hint="eastAsia" w:eastAsia="仿宋_GB2312"/>
          <w:sz w:val="32"/>
          <w:szCs w:val="32"/>
        </w:rPr>
        <w:t>、</w:t>
      </w:r>
      <w:r>
        <w:rPr>
          <w:rFonts w:eastAsia="仿宋_GB2312"/>
          <w:sz w:val="32"/>
          <w:szCs w:val="32"/>
        </w:rPr>
        <w:t>长石矿石量2284.7万吨、磷矿石量</w:t>
      </w:r>
      <w:r>
        <w:rPr>
          <w:rFonts w:hint="eastAsia" w:eastAsia="仿宋_GB2312"/>
          <w:sz w:val="32"/>
          <w:szCs w:val="32"/>
        </w:rPr>
        <w:t>4400万吨，</w:t>
      </w:r>
      <w:r>
        <w:rPr>
          <w:rFonts w:eastAsia="仿宋_GB2312"/>
          <w:sz w:val="32"/>
          <w:szCs w:val="32"/>
        </w:rPr>
        <w:t>为</w:t>
      </w:r>
      <w:r>
        <w:rPr>
          <w:rFonts w:hint="eastAsia" w:eastAsia="仿宋_GB2312"/>
          <w:sz w:val="32"/>
          <w:szCs w:val="32"/>
        </w:rPr>
        <w:t>我</w:t>
      </w:r>
      <w:r>
        <w:rPr>
          <w:rFonts w:eastAsia="仿宋_GB2312"/>
          <w:sz w:val="32"/>
          <w:szCs w:val="32"/>
        </w:rPr>
        <w:t>县矿业经济可持续发展提供了可靠资源保障。</w:t>
      </w:r>
    </w:p>
    <w:p>
      <w:pPr>
        <w:ind w:firstLine="643"/>
        <w:rPr>
          <w:rFonts w:eastAsia="仿宋_GB2312"/>
          <w:sz w:val="32"/>
          <w:szCs w:val="32"/>
        </w:rPr>
      </w:pPr>
      <w:r>
        <w:rPr>
          <w:rFonts w:hint="eastAsia" w:ascii="仿宋_GB2312" w:hAnsi="Calibri" w:eastAsia="仿宋_GB2312"/>
          <w:b/>
          <w:sz w:val="32"/>
          <w:szCs w:val="32"/>
        </w:rPr>
        <w:t>矿产资源开发布局和规模结构优化。</w:t>
      </w:r>
      <w:r>
        <w:rPr>
          <w:rFonts w:hint="eastAsia" w:eastAsia="仿宋_GB2312"/>
          <w:bCs/>
          <w:color w:val="000000"/>
          <w:sz w:val="32"/>
          <w:szCs w:val="32"/>
        </w:rPr>
        <w:t>“十三五”期间，我县全面贯彻新发展理念，依法关闭或整合了一批浪费资源、污染环境、布局不合理以及不符合产业政策的小矿山</w:t>
      </w:r>
      <w:r>
        <w:rPr>
          <w:rFonts w:eastAsia="仿宋_GB2312"/>
          <w:color w:val="000000"/>
          <w:sz w:val="32"/>
          <w:szCs w:val="32"/>
        </w:rPr>
        <w:t>。矿山总数由上一轮规划的</w:t>
      </w:r>
      <w:r>
        <w:rPr>
          <w:rFonts w:eastAsia="仿宋_GB2312"/>
          <w:sz w:val="32"/>
          <w:szCs w:val="32"/>
        </w:rPr>
        <w:t>72个减少至5</w:t>
      </w:r>
      <w:r>
        <w:rPr>
          <w:rFonts w:hint="eastAsia" w:eastAsia="仿宋_GB2312"/>
          <w:sz w:val="32"/>
          <w:szCs w:val="32"/>
        </w:rPr>
        <w:t>9</w:t>
      </w:r>
      <w:r>
        <w:rPr>
          <w:rFonts w:eastAsia="仿宋_GB2312"/>
          <w:color w:val="000000"/>
          <w:sz w:val="32"/>
          <w:szCs w:val="32"/>
        </w:rPr>
        <w:t>个，生产规模为</w:t>
      </w:r>
      <w:r>
        <w:rPr>
          <w:rFonts w:eastAsia="仿宋_GB2312"/>
          <w:sz w:val="32"/>
          <w:szCs w:val="32"/>
        </w:rPr>
        <w:t>大中型矿山占比提升至</w:t>
      </w:r>
      <w:r>
        <w:rPr>
          <w:rFonts w:hint="eastAsia" w:eastAsia="仿宋_GB2312"/>
          <w:sz w:val="32"/>
          <w:szCs w:val="32"/>
        </w:rPr>
        <w:t>49</w:t>
      </w:r>
      <w:r>
        <w:rPr>
          <w:rFonts w:eastAsia="仿宋_GB2312"/>
          <w:sz w:val="32"/>
          <w:szCs w:val="32"/>
        </w:rPr>
        <w:t>%。</w:t>
      </w:r>
      <w:r>
        <w:rPr>
          <w:rFonts w:hint="eastAsia" w:eastAsia="仿宋_GB2312"/>
          <w:sz w:val="32"/>
          <w:szCs w:val="32"/>
        </w:rPr>
        <w:t>矿业集中度有序提升，开发利用结构不断优化，矿山布局逐渐趋于合理，矿产资源开发秩序好转。</w:t>
      </w:r>
    </w:p>
    <w:p>
      <w:pPr>
        <w:ind w:firstLine="643"/>
        <w:rPr>
          <w:rFonts w:ascii="仿宋_GB2312" w:hAnsi="Calibri" w:eastAsia="仿宋_GB2312" w:cs="仿宋_GB2312"/>
          <w:sz w:val="32"/>
          <w:szCs w:val="32"/>
        </w:rPr>
      </w:pPr>
      <w:r>
        <w:rPr>
          <w:rFonts w:hint="eastAsia" w:ascii="仿宋_GB2312" w:hAnsi="Calibri" w:eastAsia="仿宋_GB2312" w:cs="仿宋_GB2312"/>
          <w:b/>
          <w:sz w:val="32"/>
          <w:szCs w:val="32"/>
        </w:rPr>
        <w:t>矿产资源节约集约利用显著提高。</w:t>
      </w:r>
      <w:r>
        <w:rPr>
          <w:rFonts w:hint="eastAsia" w:ascii="仿宋_GB2312" w:hAnsi="Calibri" w:eastAsia="仿宋_GB2312" w:cs="仿宋_GB2312"/>
          <w:sz w:val="32"/>
          <w:szCs w:val="32"/>
        </w:rPr>
        <w:t>“十三五”期间，我县积极推进矿产资源节约与综合利用专项工作，对“三率”未达标矿山进行了责令停产、限期整改等措施，鼓励和支持矿山企业提高矿产资源采选和综合利用水平，生产矿山“三率”水平达标率为90%以上。</w:t>
      </w:r>
    </w:p>
    <w:p>
      <w:pPr>
        <w:ind w:firstLine="643"/>
        <w:rPr>
          <w:rFonts w:eastAsia="仿宋_GB2312"/>
          <w:b/>
          <w:bCs/>
          <w:sz w:val="32"/>
          <w:szCs w:val="32"/>
        </w:rPr>
      </w:pPr>
      <w:r>
        <w:rPr>
          <w:rFonts w:eastAsia="仿宋_GB2312"/>
          <w:b/>
          <w:bCs/>
          <w:color w:val="000000"/>
          <w:sz w:val="32"/>
          <w:szCs w:val="32"/>
        </w:rPr>
        <w:t>矿山</w:t>
      </w:r>
      <w:r>
        <w:rPr>
          <w:rFonts w:hint="eastAsia" w:eastAsia="仿宋_GB2312"/>
          <w:b/>
          <w:bCs/>
          <w:color w:val="000000"/>
          <w:sz w:val="32"/>
          <w:szCs w:val="32"/>
        </w:rPr>
        <w:t>地质环境保护与土地复垦</w:t>
      </w:r>
      <w:r>
        <w:rPr>
          <w:rFonts w:eastAsia="仿宋_GB2312"/>
          <w:b/>
          <w:bCs/>
          <w:color w:val="000000"/>
          <w:sz w:val="32"/>
          <w:szCs w:val="32"/>
        </w:rPr>
        <w:t>工作</w:t>
      </w:r>
      <w:r>
        <w:rPr>
          <w:rFonts w:eastAsia="仿宋_GB2312"/>
          <w:b/>
          <w:bCs/>
          <w:sz w:val="32"/>
          <w:szCs w:val="32"/>
        </w:rPr>
        <w:t>稳步推进</w:t>
      </w:r>
      <w:r>
        <w:rPr>
          <w:rFonts w:hint="eastAsia" w:eastAsia="仿宋_GB2312"/>
          <w:b/>
          <w:bCs/>
          <w:sz w:val="32"/>
          <w:szCs w:val="32"/>
        </w:rPr>
        <w:t>。</w:t>
      </w:r>
      <w:r>
        <w:rPr>
          <w:rFonts w:hint="eastAsia" w:eastAsia="仿宋_GB2312"/>
          <w:color w:val="000000"/>
          <w:sz w:val="32"/>
          <w:szCs w:val="32"/>
        </w:rPr>
        <w:t>“十三五”期间，认真贯彻落实了《矿山地质环境保护规定》，</w:t>
      </w:r>
      <w:r>
        <w:rPr>
          <w:rFonts w:hint="eastAsia" w:ascii="仿宋_GB2312" w:hAnsi="仿宋" w:eastAsia="仿宋_GB2312"/>
          <w:sz w:val="32"/>
          <w:szCs w:val="32"/>
        </w:rPr>
        <w:t>实施了《矿山地质环境恢复治理专项资金管理办法》，为矿山地质环境保护与土地复垦提供了制度保障。加大矿山环境保护的监管力度，实行了矿山地质环境监测、预报、预警报告制度，建立了全县矿山地质环境监测体系和矿山地质环境管理系统。</w:t>
      </w:r>
      <w:r>
        <w:rPr>
          <w:rFonts w:hint="eastAsia" w:eastAsia="仿宋_GB2312"/>
          <w:color w:val="000000"/>
          <w:sz w:val="32"/>
          <w:szCs w:val="32"/>
        </w:rPr>
        <w:t>加强了在建与生产矿山地质环境保护的监管力度，</w:t>
      </w:r>
      <w:r>
        <w:rPr>
          <w:rFonts w:eastAsia="仿宋_GB2312"/>
          <w:sz w:val="32"/>
          <w:szCs w:val="32"/>
        </w:rPr>
        <w:t>初步形成了矿山生态环境保护的长效机制，土地复垦面积和矿山生态环境恢复治理面积逐年增加，治理恢复面积达到</w:t>
      </w:r>
      <w:r>
        <w:rPr>
          <w:rFonts w:hint="eastAsia" w:eastAsia="仿宋_GB2312"/>
          <w:sz w:val="32"/>
          <w:szCs w:val="32"/>
        </w:rPr>
        <w:t>30公顷，</w:t>
      </w:r>
      <w:r>
        <w:rPr>
          <w:rFonts w:eastAsia="仿宋_GB2312"/>
          <w:sz w:val="32"/>
          <w:szCs w:val="32"/>
        </w:rPr>
        <w:t>有效地改善了矿山环境。</w:t>
      </w:r>
    </w:p>
    <w:p>
      <w:pPr>
        <w:ind w:firstLine="643"/>
        <w:rPr>
          <w:rFonts w:ascii="仿宋_GB2312" w:hAnsi="仿宋" w:eastAsia="仿宋_GB2312"/>
          <w:sz w:val="32"/>
          <w:szCs w:val="32"/>
        </w:rPr>
        <w:sectPr>
          <w:footerReference r:id="rId13" w:type="default"/>
          <w:pgSz w:w="11906" w:h="16838"/>
          <w:pgMar w:top="1440" w:right="1800" w:bottom="1440" w:left="1800" w:header="851" w:footer="992" w:gutter="0"/>
          <w:cols w:space="425" w:num="1"/>
          <w:docGrid w:type="lines" w:linePitch="312" w:charSpace="0"/>
        </w:sectPr>
      </w:pPr>
      <w:r>
        <w:rPr>
          <w:rFonts w:hint="eastAsia" w:ascii="仿宋_GB2312" w:eastAsia="仿宋_GB2312"/>
          <w:b/>
          <w:color w:val="000000"/>
          <w:sz w:val="32"/>
          <w:szCs w:val="32"/>
        </w:rPr>
        <w:t>矿产资源管理水平进一步提高。</w:t>
      </w:r>
      <w:r>
        <w:rPr>
          <w:rFonts w:hint="eastAsia" w:ascii="仿宋_GB2312" w:eastAsia="仿宋_GB2312"/>
          <w:sz w:val="32"/>
          <w:szCs w:val="32"/>
        </w:rPr>
        <w:t>“十三五”期间，严格落实政府和上级自然资源部门的各项矿政管理措施，改革实施矿业权审批制度、交易流程、公示程序，促进了矿业权人诚信自律，强化了矿业权人主体责任和信用约束。积极贯彻《自然资源部关于推进矿产资源管理改革若干事项的意见》（自然资规〔2019〕7号），</w:t>
      </w:r>
      <w:r>
        <w:rPr>
          <w:rFonts w:hint="eastAsia" w:ascii="仿宋_GB2312" w:hAnsi="仿宋" w:eastAsia="仿宋_GB2312"/>
          <w:sz w:val="32"/>
          <w:szCs w:val="32"/>
        </w:rPr>
        <w:t>有序推进了“一张图”管理模式，基本形成调控有效、投放有序、监管有力、开发有责的矿产资源管理新局面，基本实现矿产资源利用方式和管理方式的根本转变。</w:t>
      </w:r>
    </w:p>
    <w:p>
      <w:pPr>
        <w:pStyle w:val="3"/>
        <w:spacing w:before="156" w:after="156"/>
      </w:pPr>
      <w:bookmarkStart w:id="12" w:name="_Toc62744914"/>
      <w:bookmarkStart w:id="13" w:name="_Toc124293458"/>
      <w:r>
        <w:t>第</w:t>
      </w:r>
      <w:r>
        <w:rPr>
          <w:rFonts w:hint="eastAsia"/>
        </w:rPr>
        <w:t>五</w:t>
      </w:r>
      <w:r>
        <w:t>节  存在问题</w:t>
      </w:r>
      <w:bookmarkEnd w:id="12"/>
      <w:bookmarkEnd w:id="13"/>
    </w:p>
    <w:p>
      <w:pPr>
        <w:ind w:firstLine="643"/>
        <w:rPr>
          <w:rFonts w:ascii="仿宋_GB2312" w:hAnsi="仿宋" w:eastAsia="仿宋_GB2312"/>
          <w:b/>
          <w:kern w:val="0"/>
          <w:sz w:val="32"/>
          <w:szCs w:val="32"/>
        </w:rPr>
      </w:pPr>
      <w:r>
        <w:rPr>
          <w:rFonts w:hint="eastAsia" w:ascii="仿宋_GB2312" w:hAnsi="仿宋" w:eastAsia="仿宋_GB2312"/>
          <w:b/>
          <w:kern w:val="0"/>
          <w:sz w:val="32"/>
          <w:szCs w:val="32"/>
        </w:rPr>
        <w:t>部分矿产资源供需矛盾突出。</w:t>
      </w:r>
      <w:r>
        <w:rPr>
          <w:rFonts w:hint="eastAsia" w:ascii="仿宋_GB2312" w:hAnsi="仿宋" w:eastAsia="仿宋_GB2312"/>
          <w:sz w:val="32"/>
          <w:szCs w:val="32"/>
        </w:rPr>
        <w:t>近年来，由于</w:t>
      </w:r>
      <w:r>
        <w:rPr>
          <w:rFonts w:hint="eastAsia" w:ascii="仿宋_GB2312" w:hAnsi="Calibri" w:eastAsia="仿宋_GB2312"/>
          <w:sz w:val="32"/>
          <w:szCs w:val="32"/>
        </w:rPr>
        <w:t>成渝双城经济圈建设、重大工程、乡村振兴等重大战略的部署实施，</w:t>
      </w:r>
      <w:r>
        <w:rPr>
          <w:rFonts w:hint="eastAsia" w:ascii="仿宋_GB2312" w:hAnsi="仿宋" w:eastAsia="仿宋_GB2312"/>
          <w:sz w:val="32"/>
          <w:szCs w:val="32"/>
        </w:rPr>
        <w:t>我县及周边城市基础设施建设发展，建筑砂石需求量加大，资源供应乏力，供需矛盾突出；结合“十四五”要求，做强白云岩深加工，重点围绕玻璃用、冶金用白云岩产业发展，创新产业下游产品线</w:t>
      </w:r>
      <w:r>
        <w:rPr>
          <w:rFonts w:hint="eastAsia" w:ascii="仿宋_GB2312" w:hAnsi="Calibri" w:eastAsia="仿宋_GB2312"/>
          <w:sz w:val="32"/>
          <w:szCs w:val="32"/>
        </w:rPr>
        <w:t>，</w:t>
      </w:r>
      <w:r>
        <w:rPr>
          <w:rFonts w:hint="eastAsia" w:ascii="仿宋_GB2312" w:hAnsi="仿宋" w:eastAsia="仿宋_GB2312"/>
          <w:sz w:val="32"/>
          <w:szCs w:val="32"/>
        </w:rPr>
        <w:t>原料的供应短板亟需解决。</w:t>
      </w:r>
    </w:p>
    <w:p>
      <w:pPr>
        <w:ind w:firstLine="643"/>
        <w:rPr>
          <w:rFonts w:eastAsia="仿宋_GB2312"/>
          <w:sz w:val="32"/>
          <w:szCs w:val="32"/>
        </w:rPr>
      </w:pPr>
      <w:r>
        <w:rPr>
          <w:rFonts w:hint="eastAsia" w:ascii="仿宋_GB2312" w:hAnsi="仿宋" w:eastAsia="仿宋_GB2312"/>
          <w:b/>
          <w:kern w:val="0"/>
          <w:sz w:val="32"/>
          <w:szCs w:val="32"/>
        </w:rPr>
        <w:t>部分矿产勘查有待加强。</w:t>
      </w:r>
      <w:r>
        <w:rPr>
          <w:rFonts w:hint="eastAsia" w:eastAsia="仿宋_GB2312"/>
          <w:sz w:val="32"/>
          <w:szCs w:val="32"/>
        </w:rPr>
        <w:t>部分矿产因地质勘查资金短缺，总体勘查工作基本处于停滞状态，亟需加大矿产资源的勘查力度和资金投入，加快地质找矿开发步伐。</w:t>
      </w:r>
    </w:p>
    <w:p>
      <w:pPr>
        <w:ind w:firstLine="643"/>
        <w:rPr>
          <w:rFonts w:ascii="仿宋_GB2312" w:hAnsi="Calibri" w:eastAsia="仿宋_GB2312"/>
          <w:sz w:val="32"/>
          <w:szCs w:val="32"/>
        </w:rPr>
      </w:pPr>
      <w:r>
        <w:rPr>
          <w:rFonts w:hint="eastAsia" w:ascii="仿宋_GB2312" w:hAnsi="仿宋" w:eastAsia="仿宋_GB2312"/>
          <w:b/>
          <w:sz w:val="32"/>
          <w:szCs w:val="32"/>
        </w:rPr>
        <w:t>磷矿资源开发利用滞后。</w:t>
      </w:r>
      <w:r>
        <w:rPr>
          <w:rFonts w:hint="eastAsia" w:ascii="仿宋_GB2312" w:hAnsi="仿宋" w:eastAsia="仿宋_GB2312"/>
          <w:sz w:val="32"/>
          <w:szCs w:val="32"/>
        </w:rPr>
        <w:t>十三五期间，我县磷矿资源尚未进行开发利用。</w:t>
      </w:r>
      <w:r>
        <w:rPr>
          <w:rFonts w:hint="eastAsia" w:ascii="仿宋_GB2312" w:hAnsi="Calibri" w:eastAsia="仿宋_GB2312"/>
          <w:bCs/>
          <w:sz w:val="32"/>
          <w:szCs w:val="32"/>
        </w:rPr>
        <w:t>由于交通不便，运输距离远，选矿成本较高。矿山企业投资大，矿产品市场经济价值低，利润空间小</w:t>
      </w:r>
      <w:r>
        <w:rPr>
          <w:rFonts w:hint="eastAsia" w:ascii="仿宋_GB2312" w:hAnsi="Calibri" w:eastAsia="仿宋_GB2312"/>
          <w:sz w:val="32"/>
          <w:szCs w:val="32"/>
        </w:rPr>
        <w:t>。</w:t>
      </w:r>
    </w:p>
    <w:p>
      <w:pPr>
        <w:ind w:firstLine="643"/>
        <w:rPr>
          <w:rFonts w:ascii="仿宋_GB2312" w:hAnsi="仿宋" w:eastAsia="仿宋_GB2312"/>
          <w:sz w:val="32"/>
          <w:szCs w:val="32"/>
        </w:rPr>
      </w:pPr>
      <w:r>
        <w:rPr>
          <w:rFonts w:hint="eastAsia" w:ascii="仿宋_GB2312" w:hAnsi="仿宋" w:eastAsia="仿宋_GB2312"/>
          <w:b/>
          <w:sz w:val="32"/>
          <w:szCs w:val="32"/>
        </w:rPr>
        <w:t>矿山生态修复任务艰巨、</w:t>
      </w:r>
      <w:r>
        <w:rPr>
          <w:rFonts w:hint="eastAsia" w:ascii="仿宋_GB2312" w:hAnsi="仿宋" w:eastAsia="仿宋_GB2312"/>
          <w:b/>
          <w:bCs/>
          <w:kern w:val="0"/>
          <w:sz w:val="32"/>
          <w:szCs w:val="32"/>
        </w:rPr>
        <w:t>绿色矿山建设较为滞后。</w:t>
      </w:r>
      <w:r>
        <w:rPr>
          <w:rFonts w:hint="eastAsia" w:ascii="仿宋_GB2312" w:hAnsi="仿宋" w:eastAsia="仿宋_GB2312"/>
          <w:sz w:val="32"/>
          <w:szCs w:val="32"/>
        </w:rPr>
        <w:t>历史遗留矿山地质环境恢复治理与土地复垦工作尚未全面完成。</w:t>
      </w:r>
      <w:r>
        <w:rPr>
          <w:rFonts w:hint="eastAsia" w:ascii="仿宋_GB2312" w:hAnsi="仿宋" w:eastAsia="仿宋_GB2312"/>
          <w:kern w:val="0"/>
          <w:sz w:val="32"/>
          <w:szCs w:val="32"/>
        </w:rPr>
        <w:t>矿业权人对矿山地质环境保护意识不足，在建与生产矿山尚未全面形成“边开采、边治理、边修复”的开采机制。五渡长石矿区地质环境地质问题较为突出，</w:t>
      </w:r>
      <w:r>
        <w:rPr>
          <w:rFonts w:hint="eastAsia" w:ascii="仿宋_GB2312" w:hAnsi="仿宋" w:eastAsia="仿宋_GB2312"/>
          <w:sz w:val="32"/>
          <w:szCs w:val="32"/>
        </w:rPr>
        <w:t>解决矿山环境问题有待加强</w:t>
      </w:r>
      <w:r>
        <w:rPr>
          <w:rFonts w:hint="eastAsia" w:ascii="仿宋_GB2312" w:hAnsi="仿宋" w:eastAsia="仿宋_GB2312"/>
          <w:kern w:val="0"/>
          <w:sz w:val="32"/>
          <w:szCs w:val="32"/>
        </w:rPr>
        <w:t>。绿色矿山建设工作推进缓慢，</w:t>
      </w:r>
      <w:r>
        <w:rPr>
          <w:rFonts w:hint="eastAsia" w:ascii="仿宋_GB2312" w:hAnsi="仿宋" w:eastAsia="仿宋_GB2312"/>
          <w:sz w:val="32"/>
          <w:szCs w:val="32"/>
        </w:rPr>
        <w:t>截止2020年年底，全县尚无1家绿色矿山。</w:t>
      </w:r>
    </w:p>
    <w:p>
      <w:pPr>
        <w:widowControl/>
        <w:spacing w:line="240" w:lineRule="auto"/>
        <w:ind w:firstLine="643"/>
        <w:rPr>
          <w:rFonts w:ascii="仿宋_GB2312" w:hAnsi="仿宋" w:eastAsia="仿宋_GB2312"/>
          <w:sz w:val="32"/>
          <w:szCs w:val="32"/>
        </w:rPr>
      </w:pPr>
      <w:r>
        <w:rPr>
          <w:rFonts w:hint="eastAsia" w:ascii="仿宋_GB2312" w:hAnsi="仿宋" w:eastAsia="仿宋_GB2312"/>
          <w:b/>
          <w:sz w:val="32"/>
          <w:szCs w:val="32"/>
        </w:rPr>
        <w:t>产业结构布局尚需优化。</w:t>
      </w:r>
      <w:r>
        <w:rPr>
          <w:rFonts w:hint="eastAsia" w:ascii="仿宋_GB2312" w:hAnsi="仿宋" w:eastAsia="仿宋_GB2312"/>
          <w:sz w:val="32"/>
          <w:szCs w:val="32"/>
        </w:rPr>
        <w:t>我县矿山企业大部分以销售原矿石为主，矿产品深加工基础相对薄弱，还需进一步加大中下游的产品研发力度，延伸相关产业链，将资源优势转化为经济发展优势。</w:t>
      </w:r>
    </w:p>
    <w:p>
      <w:pPr>
        <w:pStyle w:val="3"/>
        <w:spacing w:before="156" w:after="156"/>
      </w:pPr>
      <w:bookmarkStart w:id="14" w:name="_Toc124293459"/>
      <w:r>
        <w:t>第</w:t>
      </w:r>
      <w:r>
        <w:rPr>
          <w:rFonts w:hint="eastAsia"/>
        </w:rPr>
        <w:t>六</w:t>
      </w:r>
      <w:r>
        <w:t>节  面临形势</w:t>
      </w:r>
      <w:bookmarkEnd w:id="14"/>
    </w:p>
    <w:p>
      <w:pPr>
        <w:ind w:firstLine="560"/>
        <w:rPr>
          <w:rFonts w:ascii="仿宋_GB2312" w:hAnsi="Calibri" w:eastAsia="仿宋_GB2312"/>
          <w:sz w:val="32"/>
          <w:szCs w:val="32"/>
        </w:rPr>
      </w:pPr>
      <w:r>
        <w:rPr>
          <w:rFonts w:hint="eastAsia" w:ascii="仿宋_GB2312" w:eastAsia="仿宋_GB2312"/>
          <w:color w:val="000000"/>
          <w:sz w:val="28"/>
          <w:szCs w:val="28"/>
        </w:rPr>
        <w:t xml:space="preserve"> </w:t>
      </w:r>
      <w:r>
        <w:rPr>
          <w:rFonts w:hint="eastAsia" w:ascii="仿宋_GB2312" w:eastAsia="仿宋_GB2312"/>
          <w:color w:val="000000"/>
          <w:sz w:val="32"/>
          <w:szCs w:val="32"/>
        </w:rPr>
        <w:t>“十四五”时期是我国全面建成小康社会、实现第一个百年奋斗目标之后，乘势而上开启全面建设社会主义现代化国家新征程、向第二个百年奋斗目标进军的第一个五年。</w:t>
      </w:r>
      <w:r>
        <w:rPr>
          <w:rFonts w:hint="eastAsia" w:ascii="仿宋_GB2312" w:eastAsia="仿宋_GB2312"/>
          <w:sz w:val="32"/>
          <w:szCs w:val="32"/>
        </w:rPr>
        <w:t>在此期间，矿产资源形势发生着深刻变化，资源安全保障、资源合理利用与保护、矿业转型升级与绿色发展等发展目标，对矿产资源的充足性、稳定性、可持续性供应等路径与举措提出了更高要求。</w:t>
      </w:r>
    </w:p>
    <w:p>
      <w:pPr>
        <w:ind w:firstLine="643"/>
        <w:rPr>
          <w:rFonts w:ascii="仿宋_GB2312" w:eastAsia="仿宋_GB2312"/>
          <w:sz w:val="32"/>
          <w:szCs w:val="32"/>
        </w:rPr>
      </w:pPr>
      <w:r>
        <w:rPr>
          <w:rFonts w:hint="eastAsia" w:ascii="仿宋_GB2312" w:eastAsia="仿宋_GB2312"/>
          <w:b/>
          <w:sz w:val="32"/>
          <w:szCs w:val="32"/>
        </w:rPr>
        <w:t>新形势下，既是挑战，也是机遇。</w:t>
      </w:r>
      <w:r>
        <w:rPr>
          <w:rFonts w:hint="eastAsia" w:ascii="仿宋_GB2312" w:hAnsi="Calibri" w:eastAsia="仿宋_GB2312"/>
          <w:sz w:val="32"/>
          <w:szCs w:val="32"/>
        </w:rPr>
        <w:t>成渝地区双城经济圈建设、乡村振兴等战略部署为矿业发展提供了良好的机遇。严控河道采砂，基础设施建设对砂石资源需求剧增，砂石基地的建设及投产为当前首要目标。“绿色化工”已经成为全球化工产业发展的潮流，对矿产品提出了更高的要求。</w:t>
      </w:r>
    </w:p>
    <w:p>
      <w:pPr>
        <w:ind w:firstLine="643"/>
        <w:rPr>
          <w:rFonts w:ascii="仿宋_GB2312" w:eastAsia="仿宋_GB2312"/>
          <w:sz w:val="32"/>
          <w:szCs w:val="32"/>
        </w:rPr>
      </w:pPr>
      <w:r>
        <w:rPr>
          <w:rFonts w:hint="eastAsia" w:ascii="仿宋_GB2312" w:eastAsia="仿宋_GB2312"/>
          <w:b/>
          <w:sz w:val="32"/>
          <w:szCs w:val="32"/>
        </w:rPr>
        <w:t>矿产资源勘查开发布局约束力度加大。</w:t>
      </w:r>
      <w:r>
        <w:rPr>
          <w:rFonts w:hint="eastAsia" w:ascii="仿宋_GB2312" w:eastAsia="仿宋_GB2312"/>
          <w:sz w:val="32"/>
          <w:szCs w:val="32"/>
        </w:rPr>
        <w:t>当前资源开发利用与环境保护矛盾依然凸出，生态保护红线、永久基本农田、自然保护区等保护空间不断调整优化，</w:t>
      </w:r>
      <w:r>
        <w:rPr>
          <w:rFonts w:ascii="仿宋_GB2312" w:eastAsia="仿宋_GB2312"/>
          <w:sz w:val="32"/>
          <w:szCs w:val="32"/>
        </w:rPr>
        <w:t>矿产资源勘查开发利用空间逐步压缩，对矿产资源规模化、集约化利用提出了更高的要求。</w:t>
      </w:r>
    </w:p>
    <w:p>
      <w:pPr>
        <w:ind w:firstLine="643"/>
        <w:rPr>
          <w:rFonts w:ascii="仿宋_GB2312" w:eastAsia="仿宋_GB2312"/>
          <w:color w:val="000000"/>
          <w:sz w:val="32"/>
          <w:szCs w:val="32"/>
        </w:rPr>
      </w:pPr>
      <w:r>
        <w:rPr>
          <w:rFonts w:hint="eastAsia" w:ascii="仿宋_GB2312" w:eastAsia="仿宋_GB2312"/>
          <w:b/>
          <w:color w:val="000000"/>
          <w:sz w:val="32"/>
          <w:szCs w:val="32"/>
        </w:rPr>
        <w:t>绿色矿业发展是大势所趋。</w:t>
      </w:r>
      <w:r>
        <w:rPr>
          <w:rFonts w:hint="eastAsia" w:ascii="仿宋_GB2312" w:eastAsia="仿宋_GB2312"/>
          <w:color w:val="000000"/>
          <w:sz w:val="32"/>
          <w:szCs w:val="32"/>
        </w:rPr>
        <w:t>“绿水青山就是金山银山”的新发展理念和“碳达峰、碳中和”战略目标对矿产资源开发利用提出了新要求，推动矿业产业转型升级，构建绿色矿业发展长效机制，引导全县矿山企业自觉投入绿色矿山建设，促进矿业绿色发展已刻不容缓。</w:t>
      </w:r>
    </w:p>
    <w:p>
      <w:pPr>
        <w:ind w:firstLine="643"/>
        <w:rPr>
          <w:rFonts w:ascii="仿宋_GB2312" w:eastAsia="仿宋_GB2312"/>
          <w:color w:val="000000"/>
          <w:sz w:val="32"/>
          <w:szCs w:val="32"/>
        </w:rPr>
        <w:sectPr>
          <w:pgSz w:w="11906" w:h="16838"/>
          <w:pgMar w:top="1440" w:right="1800" w:bottom="1440" w:left="1800" w:header="851" w:footer="992" w:gutter="0"/>
          <w:cols w:space="425" w:num="1"/>
          <w:docGrid w:type="lines" w:linePitch="312" w:charSpace="0"/>
        </w:sectPr>
      </w:pPr>
      <w:r>
        <w:rPr>
          <w:rFonts w:hint="eastAsia" w:ascii="仿宋_GB2312" w:eastAsia="仿宋_GB2312"/>
          <w:b/>
          <w:color w:val="000000"/>
          <w:sz w:val="32"/>
          <w:szCs w:val="32"/>
        </w:rPr>
        <w:t>矿政管理还需创新。</w:t>
      </w:r>
      <w:r>
        <w:rPr>
          <w:rFonts w:hint="eastAsia" w:ascii="仿宋_GB2312" w:eastAsia="仿宋_GB2312"/>
          <w:color w:val="000000"/>
          <w:sz w:val="32"/>
          <w:szCs w:val="32"/>
        </w:rPr>
        <w:t>随着矿政管理制度改革不断深化，贯彻落实《自然资源部关于推进矿产资源管理改革若干事项的意见（试行）》（自然资规[20</w:t>
      </w:r>
      <w:r>
        <w:rPr>
          <w:rFonts w:ascii="仿宋_GB2312" w:eastAsia="仿宋_GB2312"/>
          <w:color w:val="000000"/>
          <w:sz w:val="32"/>
          <w:szCs w:val="32"/>
        </w:rPr>
        <w:t>19</w:t>
      </w:r>
      <w:r>
        <w:rPr>
          <w:rFonts w:hint="eastAsia" w:ascii="仿宋_GB2312" w:eastAsia="仿宋_GB2312"/>
          <w:color w:val="000000"/>
          <w:sz w:val="32"/>
          <w:szCs w:val="32"/>
        </w:rPr>
        <w:t>]</w:t>
      </w:r>
      <w:r>
        <w:rPr>
          <w:rFonts w:ascii="仿宋_GB2312" w:eastAsia="仿宋_GB2312"/>
          <w:color w:val="000000"/>
          <w:sz w:val="32"/>
          <w:szCs w:val="32"/>
        </w:rPr>
        <w:t>7</w:t>
      </w:r>
      <w:r>
        <w:rPr>
          <w:rFonts w:hint="eastAsia" w:ascii="仿宋_GB2312" w:eastAsia="仿宋_GB2312"/>
          <w:color w:val="000000"/>
          <w:sz w:val="32"/>
          <w:szCs w:val="32"/>
        </w:rPr>
        <w:t>号），明确矿业权出让登记权限，落实生态文明建设的理念，矿业形势剧烈变化，对矿政管理提出了新的要求。</w:t>
      </w:r>
    </w:p>
    <w:p>
      <w:pPr>
        <w:pStyle w:val="2"/>
      </w:pPr>
      <w:bookmarkStart w:id="15" w:name="_Toc62744915"/>
      <w:bookmarkStart w:id="16" w:name="_Toc124293460"/>
      <w:r>
        <w:t>第二章  指导原则与规划目标</w:t>
      </w:r>
      <w:bookmarkEnd w:id="15"/>
      <w:bookmarkEnd w:id="16"/>
    </w:p>
    <w:p>
      <w:pPr>
        <w:pStyle w:val="3"/>
        <w:spacing w:before="156" w:after="156"/>
      </w:pPr>
      <w:bookmarkStart w:id="17" w:name="_Toc62744916"/>
      <w:bookmarkStart w:id="18" w:name="_Toc124293461"/>
      <w:r>
        <w:t>第一节  指导思想</w:t>
      </w:r>
      <w:bookmarkEnd w:id="17"/>
      <w:bookmarkEnd w:id="18"/>
    </w:p>
    <w:p>
      <w:pPr>
        <w:ind w:firstLine="640"/>
        <w:rPr>
          <w:rFonts w:ascii="仿宋_GB2312" w:eastAsia="仿宋_GB2312"/>
          <w:sz w:val="32"/>
          <w:szCs w:val="32"/>
        </w:rPr>
      </w:pPr>
      <w:bookmarkStart w:id="19" w:name="_Toc62744917"/>
      <w:r>
        <w:rPr>
          <w:rFonts w:hint="eastAsia" w:ascii="仿宋_GB2312" w:eastAsia="仿宋_GB2312"/>
          <w:sz w:val="32"/>
          <w:szCs w:val="32"/>
        </w:rPr>
        <w:t>以习近平新时代中国特色社会主义思想为指导，坚持习近平生态文明思想和新发展理念，紧密围绕统筹推进“五位一体”总体布局和协调推进“四个全面”战略布局，从服务生态安全和资源安全两个大局出发，全面贯彻习近平总书记对自然资源管理和四川工作的系列重要指示精神，以提高我县矿产资源保障能力为目标，以推进资源合理利用与保护为主线，以四川省和乐山市矿产资源总体规划为导向，坚持“文旅兴县、产业强县”战略不动摇，以“规模开采、集约化利用矿产资源”为定位，紧密围绕我县经济社会发展大局，以推动砂石基地建设，大力发展绿色矿业经济，为实现高质量发展和</w:t>
      </w:r>
      <w:r>
        <w:fldChar w:fldCharType="begin"/>
      </w:r>
      <w:r>
        <w:instrText xml:space="preserve"> HYPERLINK "http://www.todayae.com/finance/" \h </w:instrText>
      </w:r>
      <w:r>
        <w:fldChar w:fldCharType="separate"/>
      </w:r>
      <w:r>
        <w:rPr>
          <w:rFonts w:hint="eastAsia" w:ascii="仿宋_GB2312" w:eastAsia="仿宋_GB2312"/>
          <w:sz w:val="32"/>
          <w:szCs w:val="32"/>
        </w:rPr>
        <w:t>经济</w:t>
      </w:r>
      <w:r>
        <w:rPr>
          <w:rFonts w:hint="eastAsia" w:ascii="仿宋_GB2312" w:eastAsia="仿宋_GB2312"/>
          <w:sz w:val="32"/>
          <w:szCs w:val="32"/>
        </w:rPr>
        <w:fldChar w:fldCharType="end"/>
      </w:r>
      <w:r>
        <w:rPr>
          <w:rFonts w:hint="eastAsia" w:ascii="仿宋_GB2312" w:eastAsia="仿宋_GB2312"/>
          <w:sz w:val="32"/>
          <w:szCs w:val="32"/>
        </w:rPr>
        <w:t>强县建设提供可靠的资源保障，促进矿业开发和经济社会持续健康发展。</w:t>
      </w:r>
    </w:p>
    <w:p>
      <w:pPr>
        <w:pStyle w:val="3"/>
        <w:spacing w:before="156" w:after="156"/>
      </w:pPr>
      <w:bookmarkStart w:id="20" w:name="_Toc124293462"/>
      <w:r>
        <w:t>第二节  基本原则</w:t>
      </w:r>
      <w:bookmarkEnd w:id="19"/>
      <w:bookmarkEnd w:id="20"/>
    </w:p>
    <w:p>
      <w:pPr>
        <w:ind w:firstLine="643"/>
        <w:rPr>
          <w:rFonts w:ascii="仿宋_GB2312" w:hAnsi="Calibri" w:eastAsia="仿宋_GB2312"/>
          <w:sz w:val="32"/>
          <w:szCs w:val="32"/>
        </w:rPr>
      </w:pPr>
      <w:r>
        <w:rPr>
          <w:rFonts w:hint="eastAsia" w:ascii="仿宋_GB2312" w:hAnsi="Calibri" w:eastAsia="仿宋_GB2312"/>
          <w:b/>
          <w:sz w:val="32"/>
          <w:szCs w:val="32"/>
        </w:rPr>
        <w:t>生态优先，绿色发展。</w:t>
      </w:r>
      <w:r>
        <w:rPr>
          <w:rFonts w:hint="eastAsia" w:ascii="仿宋_GB2312" w:hAnsi="Calibri" w:eastAsia="仿宋_GB2312"/>
          <w:sz w:val="32"/>
          <w:szCs w:val="32"/>
        </w:rPr>
        <w:t>充分贯彻《长江保护法》精神，坚持生态优先、绿色低碳发展、共抓大保护、不搞大开发的总体要求，充分体现生态文明建设要求，强化绿色矿山建设理念，大力推动矿业产业转型升级，构建绿色矿业发展长效机制。加强矿区生态保护，推动资源开发利用与生态保护有机衔接，健全矿区生态保护责任追究机制，引导矿山企业落实主体责任。</w:t>
      </w:r>
    </w:p>
    <w:p>
      <w:pPr>
        <w:ind w:firstLine="643"/>
        <w:rPr>
          <w:rFonts w:ascii="仿宋_GB2312" w:hAnsi="Calibri" w:eastAsia="仿宋_GB2312"/>
          <w:b/>
          <w:sz w:val="32"/>
          <w:szCs w:val="32"/>
        </w:rPr>
      </w:pPr>
      <w:r>
        <w:rPr>
          <w:rFonts w:eastAsia="仿宋_GB2312"/>
          <w:b/>
          <w:sz w:val="32"/>
          <w:szCs w:val="32"/>
        </w:rPr>
        <w:t>服务大局，提高保障</w:t>
      </w:r>
      <w:r>
        <w:rPr>
          <w:rFonts w:hint="eastAsia" w:eastAsia="仿宋_GB2312"/>
          <w:b/>
          <w:sz w:val="32"/>
          <w:szCs w:val="32"/>
        </w:rPr>
        <w:t>。</w:t>
      </w:r>
      <w:r>
        <w:rPr>
          <w:rFonts w:eastAsia="仿宋_GB2312"/>
          <w:sz w:val="32"/>
          <w:szCs w:val="32"/>
        </w:rPr>
        <w:t>根据市县社会经济发展的需要，推进找矿突破，加强重要矿产资源储备，系统谋划工作布局，激发找矿活力，促进找矿突破，建设矿产资源勘查开发基地，提高矿产资源持续保障能力，为加快成渝双城经济圈建设提供可靠的资源保障。</w:t>
      </w:r>
    </w:p>
    <w:p>
      <w:pPr>
        <w:ind w:firstLine="643"/>
        <w:rPr>
          <w:rFonts w:eastAsia="仿宋_GB2312"/>
          <w:b/>
          <w:sz w:val="32"/>
          <w:szCs w:val="32"/>
        </w:rPr>
      </w:pPr>
      <w:r>
        <w:rPr>
          <w:rFonts w:eastAsia="仿宋_GB2312"/>
          <w:b/>
          <w:sz w:val="32"/>
          <w:szCs w:val="32"/>
        </w:rPr>
        <w:t>优化布局，协调发展</w:t>
      </w:r>
      <w:r>
        <w:rPr>
          <w:rFonts w:hint="eastAsia" w:eastAsia="仿宋_GB2312"/>
          <w:b/>
          <w:sz w:val="32"/>
          <w:szCs w:val="32"/>
        </w:rPr>
        <w:t>。</w:t>
      </w:r>
      <w:r>
        <w:rPr>
          <w:rFonts w:eastAsia="仿宋_GB2312"/>
          <w:sz w:val="32"/>
          <w:szCs w:val="32"/>
        </w:rPr>
        <w:t>按照“突出特色、强化优势、集中布局、产业升级”的发展思路，优化全县矿业经济发展布局，加快砂石资源基地产业集群建设，着力推进峨边县矿产资源开发与经济发展、矿业产业转型升级、环境保护相协调，实行矿种差别化、区域差别化管理，明确发展定位、优化发展布局、突出发展重点，统筹安排矿产开发布局与投放时序，形成协调有序的资源开发保护格局。</w:t>
      </w:r>
    </w:p>
    <w:p>
      <w:pPr>
        <w:ind w:firstLine="643"/>
        <w:rPr>
          <w:rFonts w:eastAsia="仿宋_GB2312"/>
          <w:sz w:val="32"/>
          <w:szCs w:val="32"/>
        </w:rPr>
      </w:pPr>
      <w:r>
        <w:rPr>
          <w:rFonts w:eastAsia="仿宋_GB2312"/>
          <w:b/>
          <w:sz w:val="32"/>
          <w:szCs w:val="32"/>
        </w:rPr>
        <w:t>资源惠民，改善民生</w:t>
      </w:r>
      <w:r>
        <w:rPr>
          <w:rFonts w:hint="eastAsia" w:eastAsia="仿宋_GB2312"/>
          <w:b/>
          <w:sz w:val="32"/>
          <w:szCs w:val="32"/>
        </w:rPr>
        <w:t>。</w:t>
      </w:r>
      <w:r>
        <w:rPr>
          <w:rFonts w:eastAsia="仿宋_GB2312"/>
          <w:sz w:val="32"/>
          <w:szCs w:val="32"/>
        </w:rPr>
        <w:t>统筹资源开发、区域发展和民生改善之间的关系，立足资源服务社会和改善民生。完善资源开发利益分配机制，推动矿产资源科学开发、共赢开发、和谐开发，实现政府、企业、矿区群众共享资源开发效益和发展成果。</w:t>
      </w:r>
    </w:p>
    <w:p>
      <w:pPr>
        <w:ind w:firstLine="643"/>
        <w:rPr>
          <w:rFonts w:ascii="仿宋_GB2312" w:hAnsi="Calibri" w:eastAsia="仿宋_GB2312"/>
          <w:sz w:val="32"/>
          <w:szCs w:val="32"/>
        </w:rPr>
      </w:pPr>
      <w:r>
        <w:rPr>
          <w:rFonts w:eastAsia="仿宋_GB2312"/>
          <w:b/>
          <w:sz w:val="32"/>
          <w:szCs w:val="32"/>
        </w:rPr>
        <w:t>资源保护，合理利用</w:t>
      </w:r>
      <w:r>
        <w:rPr>
          <w:rFonts w:hint="eastAsia" w:eastAsia="仿宋_GB2312"/>
          <w:b/>
          <w:sz w:val="32"/>
          <w:szCs w:val="32"/>
        </w:rPr>
        <w:t>。</w:t>
      </w:r>
      <w:r>
        <w:rPr>
          <w:rFonts w:hint="eastAsia" w:eastAsia="仿宋_GB2312"/>
          <w:bCs/>
          <w:sz w:val="32"/>
          <w:szCs w:val="32"/>
        </w:rPr>
        <w:t>合理布局矿产资源勘查开发，优化调整矿产资源勘查开发结构，</w:t>
      </w:r>
      <w:r>
        <w:rPr>
          <w:rFonts w:hint="eastAsia" w:ascii="仿宋_GB2312" w:hAnsi="Calibri" w:eastAsia="仿宋_GB2312"/>
          <w:sz w:val="32"/>
          <w:szCs w:val="32"/>
        </w:rPr>
        <w:t>进一步提高矿山“三率”水平，坚持节约优先，推动资源利用方式转变，合理调控资源开发利用强度，严格矿山最低开采规模准入要求，提升矿业集中度，鼓励综合利用、循环利用资源。</w:t>
      </w:r>
    </w:p>
    <w:p>
      <w:pPr>
        <w:ind w:firstLine="643"/>
        <w:rPr>
          <w:rFonts w:ascii="仿宋_GB2312" w:hAnsi="Calibri" w:eastAsia="仿宋_GB2312"/>
          <w:sz w:val="32"/>
          <w:szCs w:val="32"/>
        </w:rPr>
      </w:pPr>
      <w:r>
        <w:rPr>
          <w:rFonts w:hint="eastAsia" w:ascii="仿宋_GB2312" w:eastAsia="仿宋_GB2312"/>
          <w:b/>
          <w:bCs/>
          <w:sz w:val="32"/>
          <w:szCs w:val="32"/>
        </w:rPr>
        <w:t>优化布局，协调发展</w:t>
      </w:r>
      <w:r>
        <w:rPr>
          <w:rFonts w:ascii="仿宋_GB2312" w:eastAsia="仿宋_GB2312"/>
          <w:b/>
          <w:bCs/>
          <w:sz w:val="32"/>
          <w:szCs w:val="32"/>
        </w:rPr>
        <w:t>。</w:t>
      </w:r>
      <w:r>
        <w:rPr>
          <w:rFonts w:hint="eastAsia" w:ascii="仿宋_GB2312" w:eastAsia="仿宋_GB2312"/>
          <w:sz w:val="32"/>
          <w:szCs w:val="32"/>
        </w:rPr>
        <w:t>按照“突出特色、强化优势、产业升级”的发展思路，优化全县矿业经济发展布局，</w:t>
      </w:r>
      <w:r>
        <w:rPr>
          <w:rFonts w:hint="eastAsia" w:ascii="仿宋_GB2312" w:hAnsi="Calibri" w:eastAsia="仿宋_GB2312"/>
          <w:sz w:val="32"/>
          <w:szCs w:val="32"/>
        </w:rPr>
        <w:t>加快砂石资源基地产业集群建设，</w:t>
      </w:r>
      <w:r>
        <w:rPr>
          <w:rFonts w:hint="eastAsia" w:ascii="仿宋_GB2312" w:eastAsia="仿宋_GB2312"/>
          <w:sz w:val="32"/>
          <w:szCs w:val="32"/>
        </w:rPr>
        <w:t>着力推进我县矿产资源开发与经济发展、矿业转型升级、环境保护相协调，实行矿种差别化、区域差别化管理，明确发展定位、优化发展布局、突出发展重点，统筹安排矿产开发布局与投放时序，形成协调有序的资源开发保护格局</w:t>
      </w:r>
      <w:r>
        <w:rPr>
          <w:rFonts w:ascii="仿宋_GB2312" w:eastAsia="仿宋_GB2312"/>
          <w:sz w:val="32"/>
          <w:szCs w:val="32"/>
        </w:rPr>
        <w:t>。</w:t>
      </w:r>
    </w:p>
    <w:p>
      <w:pPr>
        <w:ind w:firstLine="643"/>
        <w:rPr>
          <w:rFonts w:ascii="仿宋_GB2312" w:hAnsi="仿宋" w:eastAsia="仿宋_GB2312"/>
          <w:sz w:val="32"/>
          <w:szCs w:val="32"/>
        </w:rPr>
      </w:pPr>
      <w:r>
        <w:rPr>
          <w:rFonts w:hint="eastAsia" w:ascii="仿宋_GB2312" w:hAnsi="仿宋" w:eastAsia="仿宋_GB2312"/>
          <w:b/>
          <w:bCs/>
          <w:sz w:val="32"/>
          <w:szCs w:val="32"/>
        </w:rPr>
        <w:t>市场主导，优化配置。</w:t>
      </w:r>
      <w:r>
        <w:rPr>
          <w:rFonts w:hint="eastAsia" w:ascii="仿宋_GB2312" w:hAnsi="仿宋" w:eastAsia="仿宋_GB2312"/>
          <w:bCs/>
          <w:sz w:val="32"/>
          <w:szCs w:val="32"/>
        </w:rPr>
        <w:t>充分发挥市场在资源配置中的决定性作用，平等对待市场主体，激发市场主体活力，加快建成统一开发、竞争有序、制度完备、治理完善的高标准市场体系，更好发挥政府作用，加强政府引导，持续优化营商环境，积极营造良好政策环境</w:t>
      </w:r>
      <w:r>
        <w:rPr>
          <w:rFonts w:hint="eastAsia" w:ascii="仿宋_GB2312" w:hAnsi="仿宋" w:eastAsia="仿宋_GB2312"/>
          <w:sz w:val="32"/>
          <w:szCs w:val="32"/>
        </w:rPr>
        <w:t>。</w:t>
      </w:r>
    </w:p>
    <w:p>
      <w:pPr>
        <w:ind w:firstLine="643"/>
        <w:rPr>
          <w:rFonts w:ascii="仿宋_GB2312" w:hAnsi="Calibri" w:eastAsia="仿宋_GB2312"/>
          <w:sz w:val="32"/>
          <w:szCs w:val="32"/>
        </w:rPr>
      </w:pPr>
      <w:r>
        <w:rPr>
          <w:rFonts w:hint="eastAsia" w:ascii="仿宋_GB2312" w:hAnsi="Calibri" w:eastAsia="仿宋_GB2312"/>
          <w:b/>
          <w:sz w:val="32"/>
          <w:szCs w:val="32"/>
        </w:rPr>
        <w:t>科技创新，增强活力。</w:t>
      </w:r>
      <w:r>
        <w:rPr>
          <w:rFonts w:hint="eastAsia" w:ascii="仿宋_GB2312" w:hAnsi="Calibri" w:eastAsia="仿宋_GB2312"/>
          <w:sz w:val="32"/>
          <w:szCs w:val="32"/>
        </w:rPr>
        <w:t>推进地质找矿理论研究与创新，开展采、选新技术新方法的科技攻关，加强资源的勘查、开采和综合利用，加快矿业转型发展，推进新兴产业的发展。</w:t>
      </w:r>
    </w:p>
    <w:p>
      <w:pPr>
        <w:pStyle w:val="3"/>
        <w:spacing w:before="156" w:after="156"/>
      </w:pPr>
      <w:bookmarkStart w:id="21" w:name="_Toc62744918"/>
      <w:bookmarkStart w:id="22" w:name="_Toc124293463"/>
      <w:r>
        <w:t>第三节  规划目标</w:t>
      </w:r>
      <w:bookmarkEnd w:id="21"/>
      <w:bookmarkEnd w:id="22"/>
    </w:p>
    <w:p>
      <w:pPr>
        <w:ind w:firstLine="643"/>
        <w:rPr>
          <w:rFonts w:ascii="仿宋_GB2312" w:hAnsi="黑体" w:eastAsia="仿宋_GB2312"/>
          <w:b/>
          <w:sz w:val="32"/>
          <w:szCs w:val="32"/>
        </w:rPr>
      </w:pPr>
      <w:r>
        <w:rPr>
          <w:rFonts w:hint="eastAsia" w:ascii="仿宋_GB2312" w:hAnsi="黑体" w:eastAsia="仿宋_GB2312"/>
          <w:b/>
          <w:sz w:val="32"/>
          <w:szCs w:val="32"/>
        </w:rPr>
        <w:t>一、2025年目标</w:t>
      </w:r>
    </w:p>
    <w:p>
      <w:pPr>
        <w:pStyle w:val="10"/>
        <w:spacing w:line="389" w:lineRule="auto"/>
        <w:ind w:firstLine="641"/>
        <w:rPr>
          <w:rFonts w:ascii="仿宋_GB2312" w:hAnsi="仿宋" w:eastAsia="仿宋_GB2312"/>
          <w:sz w:val="32"/>
          <w:szCs w:val="32"/>
          <w:lang w:eastAsia="zh-CN"/>
        </w:rPr>
      </w:pPr>
      <w:r>
        <w:rPr>
          <w:rFonts w:hint="eastAsia" w:ascii="仿宋_GB2312" w:hAnsi="仿宋" w:eastAsia="仿宋_GB2312" w:cs="仿宋"/>
          <w:sz w:val="32"/>
          <w:szCs w:val="32"/>
          <w:lang w:eastAsia="zh-CN"/>
        </w:rPr>
        <w:t>围绕我县经济社会发展“十四五”总体目标和战略导向，结合矿产资源勘查开发与保护现状、资源供需形势和资源环境承载力，确定“十四五”期间规划总体目标。到2025年，矿产资源保障程度进一步提高，矿业结构进一步优化，资源节约集约和高效利用水平显著提升，</w:t>
      </w:r>
      <w:r>
        <w:rPr>
          <w:rFonts w:hint="eastAsia" w:ascii="仿宋_GB2312" w:hAnsi="仿宋" w:eastAsia="仿宋_GB2312"/>
          <w:bCs/>
          <w:sz w:val="32"/>
          <w:szCs w:val="32"/>
          <w:lang w:eastAsia="zh-CN"/>
        </w:rPr>
        <w:t>绿色矿山建设取得初步成效，矿山生态环境进一步改善</w:t>
      </w:r>
      <w:r>
        <w:rPr>
          <w:rFonts w:hint="eastAsia" w:ascii="仿宋_GB2312" w:hAnsi="仿宋" w:eastAsia="仿宋_GB2312" w:cs="仿宋"/>
          <w:sz w:val="32"/>
          <w:szCs w:val="32"/>
          <w:lang w:eastAsia="zh-CN"/>
        </w:rPr>
        <w:t>，矿政管理水平进一步提高，呈现矿产资源勘查开发与环境保护协调发展新格局</w:t>
      </w:r>
      <w:r>
        <w:rPr>
          <w:rFonts w:hint="eastAsia" w:ascii="仿宋_GB2312" w:hAnsi="仿宋" w:eastAsia="仿宋_GB2312"/>
          <w:sz w:val="32"/>
          <w:szCs w:val="32"/>
          <w:lang w:eastAsia="zh-CN"/>
        </w:rPr>
        <w:t>。</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2263"/>
        <w:gridCol w:w="1815"/>
        <w:gridCol w:w="1703"/>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00" w:type="pct"/>
            <w:gridSpan w:val="5"/>
            <w:shd w:val="clear" w:color="auto" w:fill="auto"/>
            <w:vAlign w:val="center"/>
          </w:tcPr>
          <w:p>
            <w:pPr>
              <w:pStyle w:val="10"/>
              <w:spacing w:line="389" w:lineRule="auto"/>
              <w:ind w:firstLine="641"/>
              <w:jc w:val="center"/>
              <w:rPr>
                <w:rFonts w:ascii="仿宋_GB2312" w:hAnsi="仿宋" w:eastAsia="仿宋_GB2312"/>
                <w:sz w:val="24"/>
                <w:szCs w:val="28"/>
                <w:lang w:eastAsia="zh-CN"/>
              </w:rPr>
            </w:pPr>
            <w:r>
              <w:rPr>
                <w:rFonts w:hint="eastAsia" w:ascii="仿宋_GB2312" w:hAnsi="黑体" w:eastAsia="仿宋_GB2312"/>
                <w:b/>
                <w:bCs/>
                <w:snapToGrid w:val="0"/>
                <w:sz w:val="24"/>
                <w:szCs w:val="28"/>
                <w:lang w:eastAsia="zh-CN"/>
              </w:rPr>
              <w:t>专栏2  矿产资源总体规划主要目标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222" w:type="pct"/>
            <w:gridSpan w:val="2"/>
            <w:shd w:val="clear" w:color="auto" w:fill="auto"/>
            <w:vAlign w:val="center"/>
          </w:tcPr>
          <w:p>
            <w:pPr>
              <w:widowControl/>
              <w:adjustRightInd w:val="0"/>
              <w:snapToGrid w:val="0"/>
              <w:spacing w:line="240" w:lineRule="auto"/>
              <w:ind w:firstLine="0" w:firstLineChars="0"/>
              <w:jc w:val="center"/>
              <w:rPr>
                <w:rFonts w:ascii="仿宋_GB2312" w:hAnsi="黑体" w:eastAsia="仿宋_GB2312" w:cs="宋体"/>
                <w:b/>
                <w:kern w:val="0"/>
              </w:rPr>
            </w:pPr>
            <w:r>
              <w:rPr>
                <w:rFonts w:hint="eastAsia" w:ascii="仿宋_GB2312" w:hAnsi="黑体" w:eastAsia="仿宋_GB2312" w:cs="宋体"/>
                <w:b/>
                <w:kern w:val="0"/>
              </w:rPr>
              <w:t>指标名称</w:t>
            </w:r>
          </w:p>
        </w:tc>
        <w:tc>
          <w:tcPr>
            <w:tcW w:w="1065" w:type="pct"/>
            <w:shd w:val="clear" w:color="auto" w:fill="auto"/>
            <w:vAlign w:val="center"/>
          </w:tcPr>
          <w:p>
            <w:pPr>
              <w:widowControl/>
              <w:adjustRightInd w:val="0"/>
              <w:snapToGrid w:val="0"/>
              <w:spacing w:line="240" w:lineRule="auto"/>
              <w:ind w:firstLine="0" w:firstLineChars="0"/>
              <w:jc w:val="center"/>
              <w:rPr>
                <w:rFonts w:ascii="仿宋_GB2312" w:hAnsi="黑体" w:eastAsia="仿宋_GB2312" w:cs="宋体"/>
                <w:b/>
                <w:kern w:val="0"/>
              </w:rPr>
            </w:pPr>
            <w:r>
              <w:rPr>
                <w:rFonts w:hint="eastAsia" w:ascii="仿宋_GB2312" w:hAnsi="黑体" w:eastAsia="仿宋_GB2312" w:cs="宋体"/>
                <w:b/>
                <w:kern w:val="0"/>
              </w:rPr>
              <w:t>单位</w:t>
            </w:r>
          </w:p>
        </w:tc>
        <w:tc>
          <w:tcPr>
            <w:tcW w:w="999" w:type="pct"/>
            <w:shd w:val="clear" w:color="auto" w:fill="auto"/>
            <w:vAlign w:val="center"/>
          </w:tcPr>
          <w:p>
            <w:pPr>
              <w:widowControl/>
              <w:adjustRightInd w:val="0"/>
              <w:snapToGrid w:val="0"/>
              <w:spacing w:line="240" w:lineRule="auto"/>
              <w:ind w:firstLine="0" w:firstLineChars="0"/>
              <w:jc w:val="center"/>
              <w:rPr>
                <w:rFonts w:ascii="仿宋_GB2312" w:hAnsi="黑体" w:eastAsia="仿宋_GB2312" w:cs="宋体"/>
                <w:b/>
                <w:kern w:val="0"/>
              </w:rPr>
            </w:pPr>
            <w:r>
              <w:rPr>
                <w:rFonts w:hint="eastAsia" w:ascii="仿宋_GB2312" w:hAnsi="黑体" w:eastAsia="仿宋_GB2312" w:cs="宋体"/>
                <w:b/>
                <w:kern w:val="0"/>
              </w:rPr>
              <w:t>2025年目标</w:t>
            </w:r>
          </w:p>
        </w:tc>
        <w:tc>
          <w:tcPr>
            <w:tcW w:w="714" w:type="pct"/>
            <w:shd w:val="clear" w:color="auto" w:fill="auto"/>
            <w:vAlign w:val="center"/>
          </w:tcPr>
          <w:p>
            <w:pPr>
              <w:widowControl/>
              <w:adjustRightInd w:val="0"/>
              <w:snapToGrid w:val="0"/>
              <w:spacing w:line="240" w:lineRule="auto"/>
              <w:ind w:firstLine="0" w:firstLineChars="0"/>
              <w:jc w:val="center"/>
              <w:rPr>
                <w:rFonts w:ascii="仿宋_GB2312" w:hAnsi="黑体" w:eastAsia="仿宋_GB2312" w:cs="宋体"/>
                <w:b/>
                <w:kern w:val="0"/>
              </w:rPr>
            </w:pPr>
            <w:r>
              <w:rPr>
                <w:rFonts w:hint="eastAsia" w:ascii="仿宋_GB2312" w:hAnsi="黑体" w:eastAsia="仿宋_GB2312" w:cs="宋体"/>
                <w:b/>
                <w:kern w:val="0"/>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94" w:type="pct"/>
            <w:vMerge w:val="restart"/>
            <w:shd w:val="clear" w:color="auto" w:fill="auto"/>
            <w:vAlign w:val="center"/>
          </w:tcPr>
          <w:p>
            <w:pPr>
              <w:adjustRightInd w:val="0"/>
              <w:snapToGrid w:val="0"/>
              <w:ind w:firstLine="0" w:firstLineChars="0"/>
              <w:jc w:val="center"/>
              <w:rPr>
                <w:rFonts w:ascii="仿宋_GB2312" w:hAnsi="宋体" w:eastAsia="仿宋_GB2312" w:cs="宋体"/>
                <w:kern w:val="0"/>
              </w:rPr>
            </w:pPr>
            <w:r>
              <w:rPr>
                <w:rFonts w:hint="eastAsia" w:ascii="仿宋_GB2312" w:hAnsi="宋体" w:eastAsia="仿宋_GB2312" w:cs="宋体"/>
                <w:kern w:val="0"/>
              </w:rPr>
              <w:t>新增资</w:t>
            </w:r>
          </w:p>
          <w:p>
            <w:pPr>
              <w:adjustRightInd w:val="0"/>
              <w:snapToGrid w:val="0"/>
              <w:ind w:firstLine="0" w:firstLineChars="0"/>
              <w:jc w:val="center"/>
              <w:rPr>
                <w:rFonts w:ascii="仿宋_GB2312" w:hAnsi="宋体" w:eastAsia="仿宋_GB2312" w:cs="宋体"/>
                <w:kern w:val="0"/>
              </w:rPr>
            </w:pPr>
            <w:r>
              <w:rPr>
                <w:rFonts w:hint="eastAsia" w:ascii="仿宋_GB2312" w:hAnsi="宋体" w:eastAsia="仿宋_GB2312" w:cs="宋体"/>
                <w:kern w:val="0"/>
              </w:rPr>
              <w:t>源量</w:t>
            </w: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磷</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矿石</w:t>
            </w:r>
            <w:r>
              <w:rPr>
                <w:rFonts w:hint="eastAsia" w:ascii="Times New Roman" w:hAnsi="Times New Roman" w:eastAsia="仿宋_GB2312" w:cs="Times New Roman"/>
                <w:bCs/>
              </w:rPr>
              <w:t xml:space="preserve"> </w:t>
            </w:r>
            <w:r>
              <w:rPr>
                <w:rFonts w:ascii="Times New Roman" w:hAnsi="Times New Roman" w:eastAsia="仿宋_GB2312" w:cs="Times New Roman"/>
                <w:bCs/>
              </w:rPr>
              <w:t>千吨</w:t>
            </w:r>
          </w:p>
        </w:tc>
        <w:tc>
          <w:tcPr>
            <w:tcW w:w="999" w:type="pct"/>
            <w:shd w:val="clear" w:color="auto" w:fill="auto"/>
            <w:vAlign w:val="center"/>
          </w:tcPr>
          <w:p>
            <w:pPr>
              <w:pStyle w:val="42"/>
              <w:adjustRightInd w:val="0"/>
              <w:snapToGrid w:val="0"/>
              <w:rPr>
                <w:rFonts w:ascii="Times New Roman" w:hAnsi="Times New Roman" w:eastAsia="仿宋_GB2312" w:cs="Times New Roman"/>
                <w:bCs/>
                <w:color w:val="auto"/>
              </w:rPr>
            </w:pPr>
            <w:r>
              <w:rPr>
                <w:rFonts w:hint="eastAsia" w:ascii="Times New Roman" w:hAnsi="Times New Roman" w:eastAsia="仿宋_GB2312" w:cs="Times New Roman"/>
                <w:color w:val="auto"/>
              </w:rPr>
              <w:t>≥</w:t>
            </w:r>
            <w:r>
              <w:rPr>
                <w:rFonts w:ascii="Times New Roman" w:hAnsi="Times New Roman" w:eastAsia="仿宋_GB2312" w:cs="Times New Roman"/>
                <w:bCs/>
                <w:color w:val="auto"/>
              </w:rPr>
              <w:t>4000</w:t>
            </w:r>
          </w:p>
        </w:tc>
        <w:tc>
          <w:tcPr>
            <w:tcW w:w="714" w:type="pct"/>
            <w:vMerge w:val="restart"/>
            <w:vAlign w:val="center"/>
          </w:tcPr>
          <w:p>
            <w:pPr>
              <w:adjustRightInd w:val="0"/>
              <w:snapToGrid w:val="0"/>
              <w:ind w:firstLine="0" w:firstLineChars="0"/>
              <w:jc w:val="center"/>
              <w:rPr>
                <w:rFonts w:ascii="仿宋_GB2312" w:hAnsi="宋体" w:eastAsia="仿宋_GB2312" w:cs="宋体"/>
                <w:kern w:val="0"/>
              </w:rPr>
            </w:pPr>
            <w:r>
              <w:rPr>
                <w:rFonts w:hint="eastAsia" w:ascii="仿宋_GB2312" w:hAnsi="宋体" w:eastAsia="仿宋_GB2312" w:cs="宋体"/>
                <w:kern w:val="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94" w:type="pct"/>
            <w:vMerge w:val="continue"/>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铜</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金属</w:t>
            </w:r>
            <w:r>
              <w:rPr>
                <w:rFonts w:hint="eastAsia" w:ascii="Times New Roman" w:hAnsi="Times New Roman" w:eastAsia="仿宋_GB2312" w:cs="Times New Roman"/>
                <w:bCs/>
              </w:rPr>
              <w:t xml:space="preserve"> </w:t>
            </w:r>
            <w:r>
              <w:rPr>
                <w:rFonts w:ascii="Times New Roman" w:hAnsi="Times New Roman" w:eastAsia="仿宋_GB2312" w:cs="Times New Roman"/>
                <w:bCs/>
              </w:rPr>
              <w:t>千吨</w:t>
            </w:r>
          </w:p>
        </w:tc>
        <w:tc>
          <w:tcPr>
            <w:tcW w:w="999" w:type="pct"/>
            <w:shd w:val="clear" w:color="auto" w:fill="auto"/>
            <w:vAlign w:val="center"/>
          </w:tcPr>
          <w:p>
            <w:pPr>
              <w:pStyle w:val="42"/>
              <w:adjustRightInd w:val="0"/>
              <w:snapToGrid w:val="0"/>
              <w:rPr>
                <w:rFonts w:ascii="Times New Roman" w:hAnsi="Times New Roman" w:eastAsia="仿宋_GB2312" w:cs="Times New Roman"/>
                <w:bCs/>
                <w:color w:val="auto"/>
              </w:rPr>
            </w:pPr>
            <w:r>
              <w:rPr>
                <w:rFonts w:hint="eastAsia" w:ascii="Times New Roman" w:hAnsi="Times New Roman" w:eastAsia="仿宋_GB2312" w:cs="Times New Roman"/>
                <w:color w:val="auto"/>
              </w:rPr>
              <w:t>≥</w:t>
            </w:r>
            <w:r>
              <w:rPr>
                <w:rFonts w:ascii="Times New Roman" w:hAnsi="Times New Roman" w:eastAsia="仿宋_GB2312" w:cs="Times New Roman"/>
                <w:bCs/>
                <w:color w:val="auto"/>
              </w:rPr>
              <w:t>20</w:t>
            </w:r>
          </w:p>
        </w:tc>
        <w:tc>
          <w:tcPr>
            <w:tcW w:w="714" w:type="pct"/>
            <w:vMerge w:val="continue"/>
            <w:vAlign w:val="center"/>
          </w:tcPr>
          <w:p>
            <w:pPr>
              <w:adjustRightInd w:val="0"/>
              <w:snapToGrid w:val="0"/>
              <w:ind w:firstLine="48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pStyle w:val="42"/>
              <w:adjustRightInd w:val="0"/>
              <w:snapToGrid w:val="0"/>
              <w:rPr>
                <w:rFonts w:ascii="Times New Roman" w:hAnsi="Times New Roman" w:eastAsia="仿宋_GB2312" w:cs="Times New Roman"/>
              </w:rPr>
            </w:pPr>
            <w:r>
              <w:rPr>
                <w:rFonts w:ascii="Times New Roman" w:hAnsi="Times New Roman" w:eastAsia="仿宋_GB2312" w:cs="Times New Roman"/>
              </w:rPr>
              <w:t>白云岩</w:t>
            </w:r>
          </w:p>
        </w:tc>
        <w:tc>
          <w:tcPr>
            <w:tcW w:w="1065" w:type="pct"/>
            <w:shd w:val="clear" w:color="auto" w:fill="auto"/>
            <w:vAlign w:val="center"/>
          </w:tcPr>
          <w:p>
            <w:pPr>
              <w:pStyle w:val="42"/>
              <w:adjustRightInd w:val="0"/>
              <w:snapToGrid w:val="0"/>
              <w:rPr>
                <w:rFonts w:ascii="Times New Roman" w:hAnsi="Times New Roman" w:eastAsia="仿宋_GB2312" w:cs="Times New Roman"/>
              </w:rPr>
            </w:pPr>
            <w:r>
              <w:rPr>
                <w:rFonts w:ascii="Times New Roman" w:hAnsi="Times New Roman" w:eastAsia="仿宋_GB2312" w:cs="Times New Roman"/>
              </w:rPr>
              <w:t>万吨</w:t>
            </w:r>
          </w:p>
        </w:tc>
        <w:tc>
          <w:tcPr>
            <w:tcW w:w="999" w:type="pct"/>
            <w:shd w:val="clear" w:color="auto" w:fill="auto"/>
            <w:vAlign w:val="center"/>
          </w:tcPr>
          <w:p>
            <w:pPr>
              <w:pStyle w:val="42"/>
              <w:adjustRightInd w:val="0"/>
              <w:snapToGrid w:val="0"/>
              <w:rPr>
                <w:rFonts w:ascii="Times New Roman" w:hAnsi="Times New Roman" w:eastAsia="仿宋_GB2312" w:cs="Times New Roman"/>
                <w:color w:val="auto"/>
              </w:rPr>
            </w:pPr>
            <w:r>
              <w:rPr>
                <w:rFonts w:hint="eastAsia" w:ascii="Times New Roman" w:hAnsi="Times New Roman" w:eastAsia="仿宋_GB2312" w:cs="Times New Roman"/>
                <w:color w:val="auto"/>
              </w:rPr>
              <w:t>≥</w:t>
            </w:r>
            <w:r>
              <w:rPr>
                <w:rFonts w:ascii="Times New Roman" w:hAnsi="Times New Roman" w:eastAsia="仿宋_GB2312" w:cs="Times New Roman"/>
                <w:color w:val="auto"/>
              </w:rPr>
              <w:t>5000</w:t>
            </w:r>
          </w:p>
        </w:tc>
        <w:tc>
          <w:tcPr>
            <w:tcW w:w="714" w:type="pct"/>
            <w:vMerge w:val="continue"/>
            <w:vAlign w:val="center"/>
          </w:tcPr>
          <w:p>
            <w:pPr>
              <w:adjustRightInd w:val="0"/>
              <w:snapToGrid w:val="0"/>
              <w:ind w:firstLine="48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94" w:type="pct"/>
            <w:vMerge w:val="restar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年开采</w:t>
            </w:r>
          </w:p>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总量</w:t>
            </w: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长石</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万吨/年</w:t>
            </w:r>
          </w:p>
        </w:tc>
        <w:tc>
          <w:tcPr>
            <w:tcW w:w="999" w:type="pct"/>
            <w:shd w:val="clear" w:color="auto" w:fill="auto"/>
            <w:vAlign w:val="center"/>
          </w:tcPr>
          <w:p>
            <w:pPr>
              <w:pStyle w:val="42"/>
              <w:adjustRightInd w:val="0"/>
              <w:snapToGrid w:val="0"/>
              <w:rPr>
                <w:rFonts w:ascii="Times New Roman" w:hAnsi="Times New Roman" w:eastAsia="仿宋_GB2312" w:cs="Times New Roman"/>
                <w:color w:val="auto"/>
              </w:rPr>
            </w:pPr>
            <w:r>
              <w:rPr>
                <w:rFonts w:hint="eastAsia" w:ascii="Times New Roman" w:hAnsi="Times New Roman" w:eastAsia="仿宋_GB2312" w:cs="Times New Roman"/>
                <w:color w:val="auto"/>
              </w:rPr>
              <w:t>≥160</w:t>
            </w:r>
          </w:p>
        </w:tc>
        <w:tc>
          <w:tcPr>
            <w:tcW w:w="714" w:type="pct"/>
            <w:vMerge w:val="continue"/>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白云岩</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万吨/年</w:t>
            </w:r>
          </w:p>
        </w:tc>
        <w:tc>
          <w:tcPr>
            <w:tcW w:w="999" w:type="pct"/>
            <w:shd w:val="clear" w:color="auto" w:fill="auto"/>
            <w:vAlign w:val="center"/>
          </w:tcPr>
          <w:p>
            <w:pPr>
              <w:pStyle w:val="42"/>
              <w:adjustRightInd w:val="0"/>
              <w:snapToGrid w:val="0"/>
              <w:rPr>
                <w:rFonts w:ascii="Times New Roman" w:hAnsi="Times New Roman" w:eastAsia="仿宋_GB2312" w:cs="Times New Roman"/>
                <w:color w:val="auto"/>
              </w:rPr>
            </w:pPr>
            <w:r>
              <w:rPr>
                <w:rFonts w:hint="eastAsia" w:ascii="Times New Roman" w:hAnsi="Times New Roman" w:eastAsia="仿宋_GB2312" w:cs="Times New Roman"/>
                <w:color w:val="auto"/>
              </w:rPr>
              <w:t>≥150</w:t>
            </w:r>
          </w:p>
        </w:tc>
        <w:tc>
          <w:tcPr>
            <w:tcW w:w="71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水泥用石灰岩</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万吨/年</w:t>
            </w:r>
          </w:p>
        </w:tc>
        <w:tc>
          <w:tcPr>
            <w:tcW w:w="999" w:type="pct"/>
            <w:shd w:val="clear" w:color="auto" w:fill="auto"/>
            <w:vAlign w:val="center"/>
          </w:tcPr>
          <w:p>
            <w:pPr>
              <w:pStyle w:val="42"/>
              <w:adjustRightInd w:val="0"/>
              <w:snapToGrid w:val="0"/>
              <w:rPr>
                <w:rFonts w:ascii="Times New Roman" w:hAnsi="Times New Roman" w:eastAsia="仿宋_GB2312" w:cs="Times New Roman"/>
                <w:color w:val="auto"/>
              </w:rPr>
            </w:pPr>
            <w:r>
              <w:rPr>
                <w:rFonts w:hint="eastAsia" w:ascii="Times New Roman" w:hAnsi="Times New Roman" w:eastAsia="仿宋_GB2312" w:cs="Times New Roman"/>
                <w:color w:val="auto"/>
              </w:rPr>
              <w:t>≤15</w:t>
            </w:r>
            <w:r>
              <w:rPr>
                <w:rFonts w:ascii="Times New Roman" w:hAnsi="Times New Roman" w:eastAsia="仿宋_GB2312" w:cs="Times New Roman"/>
                <w:color w:val="auto"/>
              </w:rPr>
              <w:t>0</w:t>
            </w:r>
          </w:p>
        </w:tc>
        <w:tc>
          <w:tcPr>
            <w:tcW w:w="714" w:type="pct"/>
            <w:vMerge w:val="restart"/>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color w:val="auto"/>
              </w:rPr>
              <w:t>建筑用砂石</w:t>
            </w:r>
          </w:p>
        </w:tc>
        <w:tc>
          <w:tcPr>
            <w:tcW w:w="1065" w:type="pct"/>
            <w:shd w:val="clear" w:color="auto" w:fill="auto"/>
            <w:vAlign w:val="center"/>
          </w:tcPr>
          <w:p>
            <w:pPr>
              <w:pStyle w:val="42"/>
              <w:adjustRightInd w:val="0"/>
              <w:snapToGrid w:val="0"/>
              <w:rPr>
                <w:rFonts w:ascii="Times New Roman" w:hAnsi="Times New Roman" w:eastAsia="仿宋_GB2312" w:cs="Times New Roman"/>
                <w:bCs/>
              </w:rPr>
            </w:pPr>
            <w:r>
              <w:rPr>
                <w:rFonts w:ascii="Times New Roman" w:hAnsi="Times New Roman" w:eastAsia="仿宋_GB2312" w:cs="Times New Roman"/>
                <w:bCs/>
              </w:rPr>
              <w:t>万吨/年</w:t>
            </w:r>
          </w:p>
        </w:tc>
        <w:tc>
          <w:tcPr>
            <w:tcW w:w="999" w:type="pct"/>
            <w:shd w:val="clear" w:color="auto" w:fill="auto"/>
            <w:vAlign w:val="center"/>
          </w:tcPr>
          <w:p>
            <w:pPr>
              <w:pStyle w:val="42"/>
              <w:adjustRightInd w:val="0"/>
              <w:snapToGrid w:val="0"/>
              <w:rPr>
                <w:rFonts w:ascii="Times New Roman" w:hAnsi="Times New Roman" w:eastAsia="仿宋_GB2312" w:cs="Times New Roman"/>
                <w:color w:val="auto"/>
              </w:rPr>
            </w:pPr>
            <w:r>
              <w:rPr>
                <w:rFonts w:hint="eastAsia" w:ascii="Times New Roman" w:hAnsi="Times New Roman" w:eastAsia="仿宋_GB2312" w:cs="Times New Roman"/>
                <w:color w:val="auto"/>
              </w:rPr>
              <w:t>≤</w:t>
            </w:r>
            <w:r>
              <w:rPr>
                <w:rFonts w:ascii="Times New Roman" w:hAnsi="Times New Roman" w:eastAsia="仿宋_GB2312" w:cs="Times New Roman"/>
                <w:color w:val="auto"/>
              </w:rPr>
              <w:t>4100</w:t>
            </w:r>
          </w:p>
        </w:tc>
        <w:tc>
          <w:tcPr>
            <w:tcW w:w="71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vMerge w:val="restar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矿山数量</w:t>
            </w:r>
          </w:p>
        </w:tc>
        <w:tc>
          <w:tcPr>
            <w:tcW w:w="1328"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矿山总数</w:t>
            </w:r>
          </w:p>
        </w:tc>
        <w:tc>
          <w:tcPr>
            <w:tcW w:w="1065"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个</w:t>
            </w:r>
          </w:p>
        </w:tc>
        <w:tc>
          <w:tcPr>
            <w:tcW w:w="999" w:type="pct"/>
            <w:shd w:val="clear" w:color="auto" w:fill="auto"/>
            <w:vAlign w:val="center"/>
          </w:tcPr>
          <w:p>
            <w:pPr>
              <w:widowControl/>
              <w:adjustRightInd w:val="0"/>
              <w:snapToGrid w:val="0"/>
              <w:spacing w:line="240" w:lineRule="auto"/>
              <w:ind w:firstLine="0" w:firstLineChars="0"/>
              <w:jc w:val="center"/>
              <w:rPr>
                <w:rFonts w:eastAsia="仿宋_GB2312"/>
                <w:kern w:val="0"/>
              </w:rPr>
            </w:pPr>
            <w:r>
              <w:rPr>
                <w:rFonts w:hint="eastAsia" w:eastAsia="仿宋_GB2312"/>
              </w:rPr>
              <w:t>≤</w:t>
            </w:r>
            <w:r>
              <w:rPr>
                <w:rFonts w:hint="eastAsia" w:eastAsia="仿宋_GB2312"/>
                <w:kern w:val="0"/>
              </w:rPr>
              <w:t>59</w:t>
            </w:r>
          </w:p>
        </w:tc>
        <w:tc>
          <w:tcPr>
            <w:tcW w:w="714" w:type="pct"/>
            <w:vMerge w:val="continue"/>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9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c>
          <w:tcPr>
            <w:tcW w:w="1328"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砂石类矿山数</w:t>
            </w:r>
          </w:p>
        </w:tc>
        <w:tc>
          <w:tcPr>
            <w:tcW w:w="1065"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个</w:t>
            </w:r>
          </w:p>
        </w:tc>
        <w:tc>
          <w:tcPr>
            <w:tcW w:w="999" w:type="pct"/>
            <w:shd w:val="clear" w:color="auto" w:fill="auto"/>
            <w:vAlign w:val="center"/>
          </w:tcPr>
          <w:p>
            <w:pPr>
              <w:widowControl/>
              <w:adjustRightInd w:val="0"/>
              <w:snapToGrid w:val="0"/>
              <w:spacing w:line="240" w:lineRule="auto"/>
              <w:ind w:firstLine="0" w:firstLineChars="0"/>
              <w:jc w:val="center"/>
              <w:rPr>
                <w:rFonts w:eastAsia="仿宋_GB2312"/>
                <w:kern w:val="0"/>
              </w:rPr>
            </w:pPr>
            <w:r>
              <w:rPr>
                <w:rFonts w:hint="eastAsia" w:eastAsia="仿宋_GB2312"/>
              </w:rPr>
              <w:t>≤</w:t>
            </w:r>
            <w:r>
              <w:rPr>
                <w:rFonts w:hint="eastAsia" w:eastAsia="仿宋_GB2312"/>
                <w:kern w:val="0"/>
              </w:rPr>
              <w:t>17</w:t>
            </w:r>
          </w:p>
        </w:tc>
        <w:tc>
          <w:tcPr>
            <w:tcW w:w="714" w:type="pct"/>
            <w:vMerge w:val="continue"/>
            <w:vAlign w:val="center"/>
          </w:tcPr>
          <w:p>
            <w:pPr>
              <w:widowControl/>
              <w:adjustRightInd w:val="0"/>
              <w:snapToGrid w:val="0"/>
              <w:spacing w:line="240" w:lineRule="auto"/>
              <w:ind w:firstLine="0" w:firstLineChars="0"/>
              <w:jc w:val="center"/>
              <w:rPr>
                <w:rFonts w:ascii="仿宋_GB2312" w:hAnsi="宋体" w:eastAsia="仿宋_GB2312"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4"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生产规模</w:t>
            </w:r>
          </w:p>
        </w:tc>
        <w:tc>
          <w:tcPr>
            <w:tcW w:w="1328"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大中型矿山比例</w:t>
            </w:r>
          </w:p>
        </w:tc>
        <w:tc>
          <w:tcPr>
            <w:tcW w:w="1065"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w:t>
            </w:r>
          </w:p>
        </w:tc>
        <w:tc>
          <w:tcPr>
            <w:tcW w:w="999" w:type="pct"/>
            <w:shd w:val="clear" w:color="auto" w:fill="auto"/>
            <w:vAlign w:val="center"/>
          </w:tcPr>
          <w:p>
            <w:pPr>
              <w:widowControl/>
              <w:adjustRightInd w:val="0"/>
              <w:snapToGrid w:val="0"/>
              <w:spacing w:line="240" w:lineRule="auto"/>
              <w:ind w:firstLine="0" w:firstLineChars="0"/>
              <w:jc w:val="center"/>
              <w:rPr>
                <w:rFonts w:eastAsia="仿宋_GB2312"/>
                <w:kern w:val="0"/>
              </w:rPr>
            </w:pPr>
            <w:r>
              <w:rPr>
                <w:rFonts w:hint="eastAsia" w:eastAsia="仿宋_GB2312"/>
              </w:rPr>
              <w:t>≥</w:t>
            </w:r>
            <w:r>
              <w:rPr>
                <w:rFonts w:eastAsia="仿宋_GB2312"/>
                <w:kern w:val="0"/>
              </w:rPr>
              <w:t>60</w:t>
            </w:r>
          </w:p>
        </w:tc>
        <w:tc>
          <w:tcPr>
            <w:tcW w:w="714" w:type="pct"/>
            <w:shd w:val="clear" w:color="auto" w:fill="auto"/>
            <w:vAlign w:val="center"/>
          </w:tcPr>
          <w:p>
            <w:pPr>
              <w:widowControl/>
              <w:adjustRightInd w:val="0"/>
              <w:snapToGrid w:val="0"/>
              <w:spacing w:line="240" w:lineRule="auto"/>
              <w:ind w:firstLine="0" w:firstLineChars="0"/>
              <w:jc w:val="center"/>
              <w:rPr>
                <w:rFonts w:ascii="仿宋_GB2312" w:hAnsi="宋体" w:eastAsia="仿宋_GB2312" w:cs="宋体"/>
                <w:kern w:val="0"/>
              </w:rPr>
            </w:pPr>
            <w:r>
              <w:rPr>
                <w:rFonts w:hint="eastAsia" w:ascii="仿宋_GB2312" w:hAnsi="宋体" w:eastAsia="仿宋_GB2312" w:cs="宋体"/>
                <w:kern w:val="0"/>
              </w:rPr>
              <w:t>预期性</w:t>
            </w:r>
          </w:p>
        </w:tc>
      </w:tr>
    </w:tbl>
    <w:p>
      <w:pPr>
        <w:ind w:firstLine="643"/>
        <w:rPr>
          <w:rFonts w:eastAsia="仿宋_GB2312"/>
          <w:sz w:val="28"/>
          <w:szCs w:val="28"/>
        </w:rPr>
      </w:pPr>
      <w:r>
        <w:rPr>
          <w:rFonts w:hint="eastAsia" w:ascii="仿宋_GB2312" w:hAnsi="Calibri" w:eastAsia="仿宋_GB2312"/>
          <w:b/>
          <w:sz w:val="32"/>
          <w:szCs w:val="32"/>
        </w:rPr>
        <w:t>矿产资源保障程度进一步提高。</w:t>
      </w:r>
      <w:r>
        <w:rPr>
          <w:rFonts w:hint="eastAsia" w:eastAsia="仿宋_GB2312"/>
          <w:sz w:val="32"/>
          <w:szCs w:val="32"/>
        </w:rPr>
        <w:t>充分发挥各级财政资金的引导作用，积极鼓励社会资金投入，加快推进</w:t>
      </w:r>
      <w:r>
        <w:rPr>
          <w:rFonts w:eastAsia="仿宋_GB2312"/>
          <w:sz w:val="32"/>
          <w:szCs w:val="32"/>
        </w:rPr>
        <w:t>查明区内磷、</w:t>
      </w:r>
      <w:r>
        <w:rPr>
          <w:rFonts w:hint="eastAsia" w:eastAsia="仿宋_GB2312"/>
          <w:sz w:val="32"/>
          <w:szCs w:val="32"/>
        </w:rPr>
        <w:t>铜、白云岩</w:t>
      </w:r>
      <w:r>
        <w:rPr>
          <w:rFonts w:eastAsia="仿宋_GB2312"/>
          <w:sz w:val="32"/>
          <w:szCs w:val="32"/>
        </w:rPr>
        <w:t>等矿产资源</w:t>
      </w:r>
      <w:r>
        <w:rPr>
          <w:rFonts w:hint="eastAsia" w:eastAsia="仿宋_GB2312"/>
          <w:sz w:val="32"/>
          <w:szCs w:val="32"/>
        </w:rPr>
        <w:t>勘查</w:t>
      </w:r>
      <w:r>
        <w:rPr>
          <w:rFonts w:eastAsia="仿宋_GB2312"/>
          <w:sz w:val="32"/>
          <w:szCs w:val="32"/>
        </w:rPr>
        <w:t>评价工作，为下一步矿业布局提供资源保障</w:t>
      </w:r>
      <w:r>
        <w:rPr>
          <w:rFonts w:hint="eastAsia" w:eastAsia="仿宋_GB2312"/>
          <w:sz w:val="32"/>
          <w:szCs w:val="32"/>
        </w:rPr>
        <w:t>，</w:t>
      </w:r>
      <w:r>
        <w:rPr>
          <w:rFonts w:hint="eastAsia" w:ascii="仿宋_GB2312" w:hAnsi="Calibri" w:eastAsia="仿宋_GB2312"/>
          <w:sz w:val="32"/>
          <w:szCs w:val="32"/>
        </w:rPr>
        <w:t>有序推进石灰岩、玄武岩等建材原料矿种的勘查开发利用，保障国家重点工程、乡村振兴建设及国民经济发展需要。</w:t>
      </w:r>
    </w:p>
    <w:p>
      <w:pPr>
        <w:ind w:firstLine="643"/>
        <w:rPr>
          <w:rFonts w:ascii="仿宋_GB2312" w:eastAsia="仿宋_GB2312"/>
          <w:sz w:val="32"/>
          <w:szCs w:val="32"/>
        </w:rPr>
      </w:pPr>
      <w:r>
        <w:rPr>
          <w:rFonts w:hint="eastAsia" w:ascii="仿宋_GB2312" w:hAnsi="Calibri" w:eastAsia="仿宋_GB2312"/>
          <w:b/>
          <w:sz w:val="32"/>
          <w:szCs w:val="32"/>
        </w:rPr>
        <w:t>产业规模结构布局进一步优化。</w:t>
      </w:r>
      <w:r>
        <w:rPr>
          <w:rFonts w:hint="eastAsia" w:ascii="仿宋_GB2312" w:hAnsi="Calibri" w:eastAsia="仿宋_GB2312"/>
          <w:sz w:val="32"/>
          <w:szCs w:val="32"/>
        </w:rPr>
        <w:t>进一步优化矿业规模结构，合理控制矿产资源开发利用强度和矿业权总数，提高矿山规模化集约化程度。</w:t>
      </w:r>
      <w:r>
        <w:rPr>
          <w:rFonts w:hint="eastAsia" w:ascii="仿宋_GB2312" w:eastAsia="仿宋_GB2312"/>
          <w:sz w:val="32"/>
          <w:szCs w:val="32"/>
        </w:rPr>
        <w:t>到2025年，大中型矿山的比例力争上升至60%，矿山总数稳定在59个以内。全面推广矿产开发的先进技术和装备，着力提高资源利用效率和水平，推动综合利用水平整体提升。</w:t>
      </w:r>
    </w:p>
    <w:p>
      <w:pPr>
        <w:ind w:firstLine="643"/>
        <w:rPr>
          <w:rFonts w:ascii="仿宋_GB2312" w:eastAsia="仿宋_GB2312"/>
          <w:sz w:val="32"/>
          <w:szCs w:val="32"/>
        </w:rPr>
      </w:pPr>
      <w:r>
        <w:rPr>
          <w:rFonts w:hint="eastAsia" w:ascii="仿宋_GB2312" w:hAnsi="仿宋" w:eastAsia="仿宋_GB2312"/>
          <w:b/>
          <w:bCs/>
          <w:sz w:val="32"/>
          <w:szCs w:val="32"/>
        </w:rPr>
        <w:t>资源节约集约和高效利用水平明显提升</w:t>
      </w:r>
      <w:r>
        <w:rPr>
          <w:rFonts w:ascii="仿宋_GB2312" w:eastAsia="仿宋_GB2312"/>
          <w:b/>
          <w:bCs/>
          <w:sz w:val="32"/>
          <w:szCs w:val="32"/>
        </w:rPr>
        <w:t>。</w:t>
      </w:r>
      <w:r>
        <w:rPr>
          <w:rFonts w:ascii="仿宋_GB2312" w:eastAsia="仿宋_GB2312"/>
          <w:sz w:val="32"/>
          <w:szCs w:val="32"/>
        </w:rPr>
        <w:t>全面推广矿产资源开发的先进技术，逐步提高矿产资源利用效率和水平，矿产资源综合利用水平</w:t>
      </w:r>
      <w:r>
        <w:rPr>
          <w:rFonts w:hint="eastAsia" w:ascii="仿宋_GB2312" w:eastAsia="仿宋_GB2312"/>
          <w:sz w:val="32"/>
          <w:szCs w:val="32"/>
        </w:rPr>
        <w:t>进一步</w:t>
      </w:r>
      <w:r>
        <w:rPr>
          <w:rFonts w:ascii="仿宋_GB2312" w:eastAsia="仿宋_GB2312"/>
          <w:sz w:val="32"/>
          <w:szCs w:val="32"/>
        </w:rPr>
        <w:t>提升。至2025年</w:t>
      </w:r>
      <w:r>
        <w:rPr>
          <w:rFonts w:hint="eastAsia" w:ascii="仿宋_GB2312" w:eastAsia="仿宋_GB2312"/>
          <w:sz w:val="32"/>
          <w:szCs w:val="32"/>
        </w:rPr>
        <w:t>，</w:t>
      </w:r>
      <w:r>
        <w:rPr>
          <w:rFonts w:ascii="仿宋_GB2312" w:eastAsia="仿宋_GB2312"/>
          <w:sz w:val="32"/>
          <w:szCs w:val="32"/>
        </w:rPr>
        <w:t>全</w:t>
      </w:r>
      <w:r>
        <w:rPr>
          <w:rFonts w:hint="eastAsia" w:ascii="仿宋_GB2312" w:eastAsia="仿宋_GB2312"/>
          <w:sz w:val="32"/>
          <w:szCs w:val="32"/>
        </w:rPr>
        <w:t>县生产</w:t>
      </w:r>
      <w:r>
        <w:rPr>
          <w:rFonts w:ascii="仿宋_GB2312" w:eastAsia="仿宋_GB2312"/>
          <w:sz w:val="32"/>
          <w:szCs w:val="32"/>
        </w:rPr>
        <w:t>矿山“三率”水平全部达到国家规定的“三率”要求。基本实现矿产资源规模化、集约化、科学开发利用新局面。</w:t>
      </w:r>
    </w:p>
    <w:p>
      <w:pPr>
        <w:pStyle w:val="10"/>
        <w:spacing w:line="360" w:lineRule="auto"/>
        <w:ind w:firstLine="643" w:firstLineChars="200"/>
        <w:rPr>
          <w:rFonts w:ascii="仿宋_GB2312" w:eastAsia="仿宋_GB2312"/>
          <w:sz w:val="32"/>
          <w:szCs w:val="32"/>
          <w:lang w:eastAsia="zh-CN"/>
        </w:rPr>
      </w:pPr>
      <w:r>
        <w:rPr>
          <w:rFonts w:hint="eastAsia" w:ascii="仿宋_GB2312" w:hAnsi="仿宋" w:eastAsia="仿宋_GB2312"/>
          <w:b/>
          <w:bCs/>
          <w:sz w:val="32"/>
          <w:szCs w:val="32"/>
          <w:lang w:eastAsia="zh-CN"/>
        </w:rPr>
        <w:t>绿色矿山建设取得初步成效，矿山生态环境进一步改善。</w:t>
      </w:r>
      <w:r>
        <w:rPr>
          <w:rFonts w:hint="eastAsia" w:ascii="仿宋_GB2312" w:hAnsi="Calibri" w:eastAsia="仿宋_GB2312"/>
          <w:bCs/>
          <w:sz w:val="32"/>
          <w:szCs w:val="32"/>
          <w:lang w:eastAsia="zh-CN"/>
        </w:rPr>
        <w:t>全面实施绿色勘查，</w:t>
      </w:r>
      <w:r>
        <w:rPr>
          <w:rFonts w:hint="eastAsia" w:ascii="仿宋_GB2312" w:hAnsi="Calibri" w:eastAsia="仿宋_GB2312"/>
          <w:sz w:val="32"/>
          <w:szCs w:val="32"/>
          <w:lang w:eastAsia="zh-CN"/>
        </w:rPr>
        <w:t>加强矿山企业的管理，引导企业按国家行业标准建设绿色矿山，扎实推进生产矿山绿色矿山建设见绩见效。构建在建、生产矿山生态修复监管体系，实现“边开采、边修复”目标，聚焦我县境内主干流域历史遗留废弃矿山生态修复，确保矿区生态环境进一步改善，到2</w:t>
      </w:r>
      <w:r>
        <w:rPr>
          <w:rFonts w:ascii="仿宋_GB2312" w:hAnsi="Calibri" w:eastAsia="仿宋_GB2312"/>
          <w:sz w:val="32"/>
          <w:szCs w:val="32"/>
          <w:lang w:eastAsia="zh-CN"/>
        </w:rPr>
        <w:t>025</w:t>
      </w:r>
      <w:r>
        <w:rPr>
          <w:rFonts w:hint="eastAsia" w:ascii="仿宋_GB2312" w:hAnsi="Calibri" w:eastAsia="仿宋_GB2312"/>
          <w:sz w:val="32"/>
          <w:szCs w:val="32"/>
          <w:lang w:eastAsia="zh-CN"/>
        </w:rPr>
        <w:t>年，全面完成区内历史遗留矿山的生态修复工作</w:t>
      </w:r>
      <w:r>
        <w:rPr>
          <w:rFonts w:ascii="仿宋_GB2312" w:eastAsia="仿宋_GB2312"/>
          <w:sz w:val="32"/>
          <w:szCs w:val="32"/>
          <w:lang w:eastAsia="zh-CN"/>
        </w:rPr>
        <w:t>。</w:t>
      </w:r>
    </w:p>
    <w:p>
      <w:pPr>
        <w:ind w:firstLine="643"/>
        <w:rPr>
          <w:rFonts w:ascii="仿宋_GB2312" w:hAnsi="Calibri" w:eastAsia="仿宋_GB2312"/>
          <w:sz w:val="28"/>
          <w:szCs w:val="21"/>
        </w:rPr>
      </w:pPr>
      <w:r>
        <w:rPr>
          <w:rFonts w:hint="eastAsia" w:ascii="仿宋_GB2312" w:hAnsi="仿宋" w:eastAsia="仿宋_GB2312" w:cs="仿宋"/>
          <w:b/>
          <w:sz w:val="32"/>
          <w:szCs w:val="32"/>
        </w:rPr>
        <w:t>矿政管理水平进一步提高</w:t>
      </w:r>
      <w:r>
        <w:rPr>
          <w:rFonts w:hint="eastAsia" w:ascii="仿宋_GB2312" w:hAnsi="Calibri" w:eastAsia="仿宋_GB2312"/>
          <w:b/>
          <w:sz w:val="28"/>
          <w:szCs w:val="21"/>
        </w:rPr>
        <w:t>。</w:t>
      </w:r>
      <w:r>
        <w:rPr>
          <w:rFonts w:ascii="仿宋_GB2312" w:eastAsia="仿宋_GB2312"/>
          <w:sz w:val="32"/>
          <w:szCs w:val="32"/>
        </w:rPr>
        <w:t>健全对矿产资源勘查开发的监督管理体系，</w:t>
      </w:r>
      <w:r>
        <w:rPr>
          <w:rFonts w:hint="eastAsia" w:ascii="仿宋_GB2312" w:eastAsia="仿宋_GB2312"/>
          <w:sz w:val="32"/>
          <w:szCs w:val="32"/>
        </w:rPr>
        <w:t>全面推进“一张图”管理模式，</w:t>
      </w:r>
      <w:r>
        <w:rPr>
          <w:rFonts w:ascii="仿宋_GB2312" w:eastAsia="仿宋_GB2312"/>
          <w:sz w:val="32"/>
          <w:szCs w:val="32"/>
        </w:rPr>
        <w:t>基本形成管理有规、市场有序、开发有责、调控有效、监督有力的矿产资源管理新局面</w:t>
      </w:r>
      <w:r>
        <w:rPr>
          <w:rFonts w:hint="eastAsia" w:ascii="仿宋_GB2312" w:eastAsia="仿宋_GB2312"/>
          <w:sz w:val="32"/>
          <w:szCs w:val="32"/>
        </w:rPr>
        <w:t>。矿产资源储量管理工作更加精细，资源家底更加清楚。“净矿”出让取得显著成效，出让收益征收、分配机制更趋合理。基本完成矿业权市场和公共服务的现代化建设，矿产资源管理水平明显提高。</w:t>
      </w:r>
    </w:p>
    <w:p>
      <w:pPr>
        <w:ind w:firstLine="562"/>
        <w:rPr>
          <w:rFonts w:ascii="黑体" w:hAnsi="黑体" w:eastAsia="黑体"/>
          <w:b/>
          <w:sz w:val="28"/>
          <w:szCs w:val="28"/>
        </w:rPr>
        <w:sectPr>
          <w:pgSz w:w="11906" w:h="16838"/>
          <w:pgMar w:top="1440" w:right="1800" w:bottom="1440" w:left="1800" w:header="851" w:footer="992" w:gutter="0"/>
          <w:cols w:space="425" w:num="1"/>
          <w:docGrid w:type="lines" w:linePitch="312" w:charSpace="0"/>
        </w:sectPr>
      </w:pPr>
    </w:p>
    <w:p>
      <w:pPr>
        <w:ind w:firstLine="643"/>
        <w:rPr>
          <w:rFonts w:ascii="仿宋_GB2312" w:hAnsi="黑体" w:eastAsia="仿宋_GB2312"/>
          <w:b/>
          <w:sz w:val="32"/>
          <w:szCs w:val="28"/>
        </w:rPr>
      </w:pPr>
      <w:r>
        <w:rPr>
          <w:rFonts w:hint="eastAsia" w:ascii="仿宋_GB2312" w:hAnsi="黑体" w:eastAsia="仿宋_GB2312"/>
          <w:b/>
          <w:sz w:val="32"/>
          <w:szCs w:val="28"/>
        </w:rPr>
        <w:t>二、2035年展望目标</w:t>
      </w:r>
    </w:p>
    <w:p>
      <w:pPr>
        <w:ind w:firstLine="640"/>
        <w:rPr>
          <w:rFonts w:ascii="仿宋_GB2312" w:eastAsia="仿宋_GB2312"/>
          <w:sz w:val="32"/>
          <w:szCs w:val="28"/>
        </w:rPr>
      </w:pPr>
      <w:r>
        <w:rPr>
          <w:rFonts w:hint="eastAsia" w:ascii="仿宋_GB2312" w:eastAsia="仿宋_GB2312"/>
          <w:sz w:val="32"/>
          <w:szCs w:val="28"/>
        </w:rPr>
        <w:t>到2035年，基本淘汰小型矿山，确保磷、长石、玄武岩、石灰岩等优势矿产资源有效供给能力得到进一步提高，矿产资源综合利用水平明显提升，矿产资源开发利用与环境保护协调发展，矿政管理与服务更加完善，生态保护、资源开发与民生改善协调发展，矿业走上集约型、节约化、绿色高质量发展新道路。</w:t>
      </w:r>
    </w:p>
    <w:p>
      <w:pPr>
        <w:ind w:firstLine="560"/>
        <w:rPr>
          <w:rFonts w:eastAsia="仿宋_GB2312"/>
          <w:sz w:val="28"/>
          <w:szCs w:val="28"/>
        </w:rPr>
      </w:pPr>
    </w:p>
    <w:p>
      <w:pPr>
        <w:ind w:firstLine="640"/>
        <w:rPr>
          <w:rFonts w:eastAsia="仿宋_GB2312"/>
          <w:sz w:val="32"/>
          <w:szCs w:val="32"/>
        </w:rPr>
        <w:sectPr>
          <w:pgSz w:w="11906" w:h="16838"/>
          <w:pgMar w:top="1440" w:right="1800" w:bottom="1440" w:left="1800" w:header="851" w:footer="992" w:gutter="0"/>
          <w:cols w:space="425" w:num="1"/>
          <w:docGrid w:type="lines" w:linePitch="312" w:charSpace="0"/>
        </w:sectPr>
      </w:pPr>
    </w:p>
    <w:p>
      <w:pPr>
        <w:pStyle w:val="2"/>
      </w:pPr>
      <w:bookmarkStart w:id="23" w:name="_Toc62744921"/>
      <w:bookmarkStart w:id="24" w:name="_Toc124293464"/>
      <w:r>
        <w:t>第三章  矿产勘查开发与保护布局</w:t>
      </w:r>
      <w:bookmarkEnd w:id="23"/>
      <w:bookmarkEnd w:id="24"/>
    </w:p>
    <w:p>
      <w:pPr>
        <w:pStyle w:val="3"/>
        <w:spacing w:before="156" w:after="156"/>
      </w:pPr>
      <w:bookmarkStart w:id="25" w:name="_Toc62744922"/>
      <w:bookmarkStart w:id="26" w:name="_Toc124293465"/>
      <w:r>
        <w:t xml:space="preserve">第一节  </w:t>
      </w:r>
      <w:bookmarkEnd w:id="25"/>
      <w:r>
        <w:rPr>
          <w:rFonts w:hint="eastAsia" w:ascii="黑体" w:hAnsi="黑体"/>
          <w:bCs w:val="0"/>
        </w:rPr>
        <w:t>明确</w:t>
      </w:r>
      <w:r>
        <w:rPr>
          <w:rFonts w:hint="eastAsia" w:ascii="黑体" w:hAnsi="黑体"/>
          <w:szCs w:val="32"/>
        </w:rPr>
        <w:t>矿产资源勘查开发方向</w:t>
      </w:r>
      <w:bookmarkEnd w:id="26"/>
    </w:p>
    <w:p>
      <w:pPr>
        <w:ind w:firstLine="640"/>
        <w:rPr>
          <w:rFonts w:ascii="仿宋_GB2312" w:eastAsia="仿宋_GB2312"/>
          <w:sz w:val="32"/>
          <w:szCs w:val="32"/>
        </w:rPr>
      </w:pPr>
      <w:bookmarkStart w:id="27" w:name="_Toc62744925"/>
      <w:r>
        <w:rPr>
          <w:rFonts w:hint="eastAsia" w:ascii="仿宋_GB2312" w:hAnsi="仿宋" w:eastAsia="仿宋_GB2312"/>
          <w:sz w:val="32"/>
          <w:szCs w:val="32"/>
        </w:rPr>
        <w:t>大力支持天然气等国家战略矿产在我县的勘查工作，</w:t>
      </w:r>
      <w:r>
        <w:rPr>
          <w:rFonts w:hint="eastAsia" w:ascii="仿宋_GB2312" w:eastAsia="仿宋_GB2312"/>
          <w:sz w:val="32"/>
          <w:szCs w:val="32"/>
        </w:rPr>
        <w:t>加强磷矿、白云岩勘查开发利用，有序推进建材原料矿产勘查开发利用，保障我县经济社会发展、重大工程及民生工程建设所需资源。</w:t>
      </w:r>
    </w:p>
    <w:p>
      <w:pPr>
        <w:ind w:firstLine="643"/>
        <w:rPr>
          <w:rFonts w:eastAsia="仿宋_GB2312"/>
          <w:bCs/>
          <w:sz w:val="32"/>
          <w:szCs w:val="32"/>
        </w:rPr>
      </w:pPr>
      <w:r>
        <w:rPr>
          <w:rFonts w:eastAsia="仿宋_GB2312"/>
          <w:b/>
          <w:bCs/>
          <w:snapToGrid w:val="0"/>
          <w:kern w:val="0"/>
          <w:sz w:val="32"/>
          <w:szCs w:val="32"/>
        </w:rPr>
        <w:t>重点勘查矿种：</w:t>
      </w:r>
      <w:r>
        <w:rPr>
          <w:rFonts w:eastAsia="仿宋_GB2312"/>
          <w:sz w:val="32"/>
          <w:szCs w:val="32"/>
        </w:rPr>
        <w:t>重点勘查</w:t>
      </w:r>
      <w:r>
        <w:rPr>
          <w:rFonts w:hint="eastAsia" w:eastAsia="仿宋_GB2312"/>
          <w:sz w:val="32"/>
          <w:szCs w:val="32"/>
        </w:rPr>
        <w:t>天然气</w:t>
      </w:r>
      <w:r>
        <w:rPr>
          <w:rFonts w:eastAsia="仿宋_GB2312"/>
          <w:sz w:val="32"/>
          <w:szCs w:val="32"/>
        </w:rPr>
        <w:t>、铜</w:t>
      </w:r>
      <w:r>
        <w:rPr>
          <w:rFonts w:hint="eastAsia" w:eastAsia="仿宋_GB2312"/>
          <w:sz w:val="32"/>
          <w:szCs w:val="32"/>
        </w:rPr>
        <w:t>、</w:t>
      </w:r>
      <w:r>
        <w:rPr>
          <w:rFonts w:eastAsia="仿宋_GB2312"/>
          <w:sz w:val="32"/>
          <w:szCs w:val="32"/>
        </w:rPr>
        <w:t>磷</w:t>
      </w:r>
      <w:r>
        <w:rPr>
          <w:rFonts w:hint="eastAsia" w:eastAsia="仿宋_GB2312"/>
          <w:sz w:val="32"/>
          <w:szCs w:val="32"/>
        </w:rPr>
        <w:t>、</w:t>
      </w:r>
      <w:r>
        <w:rPr>
          <w:rFonts w:eastAsia="仿宋_GB2312"/>
          <w:bCs/>
          <w:snapToGrid w:val="0"/>
          <w:kern w:val="0"/>
          <w:sz w:val="32"/>
          <w:szCs w:val="32"/>
        </w:rPr>
        <w:t>长石、白云岩</w:t>
      </w:r>
      <w:r>
        <w:rPr>
          <w:rFonts w:hint="eastAsia" w:eastAsia="仿宋_GB2312"/>
          <w:bCs/>
          <w:snapToGrid w:val="0"/>
          <w:kern w:val="0"/>
          <w:sz w:val="32"/>
          <w:szCs w:val="32"/>
        </w:rPr>
        <w:t>、</w:t>
      </w:r>
      <w:r>
        <w:rPr>
          <w:rFonts w:eastAsia="仿宋_GB2312"/>
          <w:bCs/>
          <w:snapToGrid w:val="0"/>
          <w:kern w:val="0"/>
          <w:sz w:val="32"/>
          <w:szCs w:val="32"/>
        </w:rPr>
        <w:t>玄武岩</w:t>
      </w:r>
      <w:r>
        <w:rPr>
          <w:rFonts w:hint="eastAsia" w:eastAsia="仿宋_GB2312"/>
          <w:bCs/>
          <w:snapToGrid w:val="0"/>
          <w:kern w:val="0"/>
          <w:sz w:val="32"/>
          <w:szCs w:val="32"/>
        </w:rPr>
        <w:t>、石</w:t>
      </w:r>
      <w:r>
        <w:rPr>
          <w:rFonts w:eastAsia="仿宋_GB2312"/>
          <w:bCs/>
          <w:snapToGrid w:val="0"/>
          <w:kern w:val="0"/>
          <w:sz w:val="32"/>
          <w:szCs w:val="32"/>
        </w:rPr>
        <w:t>灰岩</w:t>
      </w:r>
      <w:r>
        <w:rPr>
          <w:rFonts w:eastAsia="仿宋_GB2312"/>
          <w:sz w:val="32"/>
          <w:szCs w:val="32"/>
        </w:rPr>
        <w:t>等矿产</w:t>
      </w:r>
      <w:r>
        <w:rPr>
          <w:rFonts w:eastAsia="仿宋_GB2312"/>
          <w:bCs/>
          <w:snapToGrid w:val="0"/>
          <w:kern w:val="0"/>
          <w:sz w:val="32"/>
          <w:szCs w:val="32"/>
        </w:rPr>
        <w:t>。</w:t>
      </w:r>
    </w:p>
    <w:p>
      <w:pPr>
        <w:ind w:firstLine="643"/>
        <w:rPr>
          <w:rFonts w:eastAsia="仿宋_GB2312"/>
          <w:sz w:val="32"/>
          <w:szCs w:val="32"/>
        </w:rPr>
      </w:pPr>
      <w:r>
        <w:rPr>
          <w:rFonts w:eastAsia="仿宋_GB2312"/>
          <w:b/>
          <w:bCs/>
          <w:snapToGrid w:val="0"/>
          <w:kern w:val="0"/>
          <w:sz w:val="32"/>
          <w:szCs w:val="32"/>
        </w:rPr>
        <w:t>重点开采矿种：</w:t>
      </w:r>
      <w:r>
        <w:rPr>
          <w:rFonts w:eastAsia="仿宋_GB2312"/>
          <w:sz w:val="32"/>
          <w:szCs w:val="32"/>
        </w:rPr>
        <w:t>重点开采</w:t>
      </w:r>
      <w:r>
        <w:rPr>
          <w:rFonts w:eastAsia="仿宋_GB2312"/>
          <w:bCs/>
          <w:snapToGrid w:val="0"/>
          <w:kern w:val="0"/>
          <w:sz w:val="32"/>
          <w:szCs w:val="32"/>
        </w:rPr>
        <w:t>县内优势矿种磷、长石、白云岩</w:t>
      </w:r>
      <w:r>
        <w:rPr>
          <w:rFonts w:hint="eastAsia" w:eastAsia="仿宋_GB2312"/>
          <w:bCs/>
          <w:snapToGrid w:val="0"/>
          <w:kern w:val="0"/>
          <w:sz w:val="32"/>
          <w:szCs w:val="32"/>
        </w:rPr>
        <w:t>、</w:t>
      </w:r>
      <w:r>
        <w:rPr>
          <w:rFonts w:eastAsia="仿宋_GB2312"/>
          <w:bCs/>
          <w:snapToGrid w:val="0"/>
          <w:kern w:val="0"/>
          <w:sz w:val="32"/>
          <w:szCs w:val="32"/>
        </w:rPr>
        <w:t>水泥用石灰岩</w:t>
      </w:r>
      <w:r>
        <w:rPr>
          <w:rFonts w:hint="eastAsia" w:eastAsia="仿宋_GB2312"/>
          <w:bCs/>
          <w:snapToGrid w:val="0"/>
          <w:kern w:val="0"/>
          <w:sz w:val="32"/>
          <w:szCs w:val="32"/>
        </w:rPr>
        <w:t>、建筑用砂石等城镇化和重大基础设施建设急需矿产。</w:t>
      </w:r>
      <w:r>
        <w:rPr>
          <w:rFonts w:eastAsia="仿宋_GB2312"/>
          <w:sz w:val="32"/>
          <w:szCs w:val="32"/>
        </w:rPr>
        <w:t>重点开采矿种在符合准入条件下，优先设置采矿权，适度扩大开发规模，提高资源供应能力。</w:t>
      </w:r>
    </w:p>
    <w:p>
      <w:pPr>
        <w:ind w:firstLine="643"/>
        <w:rPr>
          <w:rFonts w:ascii="仿宋_GB2312" w:hAnsi="仿宋" w:eastAsia="仿宋_GB2312"/>
          <w:sz w:val="32"/>
          <w:szCs w:val="32"/>
        </w:rPr>
      </w:pPr>
      <w:r>
        <w:rPr>
          <w:rFonts w:hint="eastAsia" w:ascii="仿宋_GB2312" w:hAnsi="仿宋" w:eastAsia="仿宋_GB2312"/>
          <w:b/>
          <w:sz w:val="32"/>
          <w:szCs w:val="32"/>
        </w:rPr>
        <w:t>限制开采矿种：</w:t>
      </w:r>
      <w:r>
        <w:rPr>
          <w:rFonts w:hint="eastAsia" w:ascii="仿宋_GB2312" w:hAnsi="仿宋" w:eastAsia="仿宋_GB2312"/>
          <w:bCs/>
          <w:sz w:val="32"/>
          <w:szCs w:val="32"/>
        </w:rPr>
        <w:t>限制开采</w:t>
      </w:r>
      <w:r>
        <w:rPr>
          <w:rFonts w:hint="eastAsia" w:ascii="仿宋_GB2312" w:hAnsi="仿宋" w:eastAsia="仿宋_GB2312"/>
          <w:sz w:val="32"/>
          <w:szCs w:val="32"/>
        </w:rPr>
        <w:t>与铌、稀土共伴生的粘土资源。限制开采矿种应严格控制采矿权数量，在产能未优化前实行限采保护，确需新设的必须严格规划审查，进行专门的规划论证。</w:t>
      </w:r>
    </w:p>
    <w:p>
      <w:pPr>
        <w:ind w:firstLine="643"/>
        <w:rPr>
          <w:rFonts w:eastAsia="仿宋_GB2312"/>
          <w:sz w:val="32"/>
          <w:szCs w:val="32"/>
        </w:rPr>
      </w:pPr>
      <w:r>
        <w:rPr>
          <w:rFonts w:eastAsia="仿宋_GB2312"/>
          <w:b/>
          <w:bCs/>
          <w:snapToGrid w:val="0"/>
          <w:kern w:val="0"/>
          <w:sz w:val="32"/>
          <w:szCs w:val="32"/>
        </w:rPr>
        <w:t>禁止开采矿种：</w:t>
      </w:r>
      <w:r>
        <w:rPr>
          <w:rFonts w:eastAsia="仿宋_GB2312"/>
          <w:sz w:val="32"/>
          <w:szCs w:val="32"/>
        </w:rPr>
        <w:t>禁止开采可耕地砖瓦用粘土。禁止开采矿种原则上不新设采矿权。</w:t>
      </w:r>
    </w:p>
    <w:p>
      <w:pPr>
        <w:pStyle w:val="3"/>
        <w:spacing w:before="156" w:after="156"/>
      </w:pPr>
      <w:bookmarkStart w:id="28" w:name="_Toc124293466"/>
      <w:r>
        <w:t xml:space="preserve">第二节  </w:t>
      </w:r>
      <w:r>
        <w:rPr>
          <w:rFonts w:hint="eastAsia"/>
        </w:rPr>
        <w:t>合理布局</w:t>
      </w:r>
      <w:r>
        <w:t>产业重点发展区域</w:t>
      </w:r>
      <w:bookmarkEnd w:id="27"/>
      <w:bookmarkEnd w:id="28"/>
    </w:p>
    <w:p>
      <w:pPr>
        <w:ind w:firstLine="640"/>
        <w:rPr>
          <w:rFonts w:eastAsia="仿宋_GB2312"/>
          <w:sz w:val="32"/>
          <w:szCs w:val="32"/>
        </w:rPr>
      </w:pPr>
      <w:r>
        <w:rPr>
          <w:rFonts w:hint="eastAsia" w:eastAsia="仿宋_GB2312"/>
          <w:sz w:val="32"/>
          <w:szCs w:val="32"/>
        </w:rPr>
        <w:t>全面落实我县区域协调发展战略、主体功能区战略定位，为促进资源节约集约化开发，以矿产资源优势带动区域经济发展，综合考虑我县经济社会发展、资源禀赋、开发现状、产业转型和资源环境承载力等特点，在全县范围内合理布局矿产资源产业重点发展区域。</w:t>
      </w:r>
    </w:p>
    <w:p>
      <w:pPr>
        <w:ind w:firstLine="643"/>
        <w:rPr>
          <w:rFonts w:eastAsia="仿宋_GB2312"/>
          <w:sz w:val="32"/>
          <w:szCs w:val="32"/>
        </w:rPr>
      </w:pPr>
      <w:r>
        <w:rPr>
          <w:rFonts w:hint="eastAsia" w:ascii="仿宋_GB2312" w:eastAsia="仿宋_GB2312"/>
          <w:b/>
          <w:sz w:val="32"/>
          <w:szCs w:val="32"/>
        </w:rPr>
        <w:t>新林磷矿资源</w:t>
      </w:r>
      <w:r>
        <w:rPr>
          <w:rFonts w:hint="eastAsia" w:ascii="仿宋_GB2312" w:eastAsia="仿宋_GB2312"/>
          <w:b/>
          <w:bCs/>
          <w:sz w:val="32"/>
          <w:szCs w:val="32"/>
        </w:rPr>
        <w:t>产业重点发展区</w:t>
      </w:r>
      <w:r>
        <w:rPr>
          <w:rFonts w:hint="eastAsia" w:eastAsia="仿宋_GB2312"/>
          <w:sz w:val="32"/>
          <w:szCs w:val="32"/>
        </w:rPr>
        <w:t>。</w:t>
      </w:r>
      <w:r>
        <w:rPr>
          <w:rFonts w:eastAsia="仿宋_GB2312"/>
          <w:sz w:val="32"/>
          <w:szCs w:val="32"/>
        </w:rPr>
        <w:t>为落实细化的国家级能源资源基地。鼓励矿山企业加大对采矿权范围以外的探矿权的地质工作投入，进一步查明新的矿产资源量，推动矿山企业的可持续发展，形成良好的循环模式。</w:t>
      </w:r>
    </w:p>
    <w:p>
      <w:pPr>
        <w:ind w:firstLine="643"/>
        <w:rPr>
          <w:rFonts w:eastAsia="仿宋_GB2312"/>
          <w:sz w:val="32"/>
          <w:szCs w:val="32"/>
        </w:rPr>
      </w:pPr>
      <w:r>
        <w:rPr>
          <w:rFonts w:ascii="仿宋_GB2312" w:eastAsia="仿宋_GB2312"/>
          <w:b/>
          <w:sz w:val="32"/>
          <w:szCs w:val="32"/>
        </w:rPr>
        <w:t>五渡长石矿资源</w:t>
      </w:r>
      <w:r>
        <w:rPr>
          <w:rFonts w:hint="eastAsia" w:ascii="仿宋_GB2312" w:eastAsia="仿宋_GB2312"/>
          <w:b/>
          <w:bCs/>
          <w:sz w:val="32"/>
          <w:szCs w:val="32"/>
        </w:rPr>
        <w:t>产业重点发展区。</w:t>
      </w:r>
      <w:r>
        <w:rPr>
          <w:rFonts w:eastAsia="仿宋_GB2312"/>
          <w:sz w:val="32"/>
          <w:szCs w:val="32"/>
        </w:rPr>
        <w:t>为</w:t>
      </w:r>
      <w:r>
        <w:rPr>
          <w:rFonts w:eastAsia="仿宋_GB2312"/>
          <w:bCs/>
          <w:snapToGrid w:val="0"/>
          <w:kern w:val="0"/>
          <w:sz w:val="32"/>
          <w:szCs w:val="32"/>
        </w:rPr>
        <w:t>四川省内钾长石主要原料基地，主要用于陶瓷、玻璃等行业，积极鼓励矿山企业通过矿产资源产业结构调整和矿业转型升级，稳定保障长石资源供应，充分发挥我县矿产资源优势</w:t>
      </w:r>
      <w:r>
        <w:rPr>
          <w:rFonts w:eastAsia="仿宋_GB2312"/>
          <w:sz w:val="32"/>
          <w:szCs w:val="32"/>
        </w:rPr>
        <w:t>。</w:t>
      </w:r>
    </w:p>
    <w:p>
      <w:pPr>
        <w:ind w:firstLine="643"/>
        <w:rPr>
          <w:rFonts w:eastAsia="仿宋_GB2312"/>
          <w:sz w:val="32"/>
          <w:szCs w:val="32"/>
        </w:rPr>
      </w:pPr>
      <w:r>
        <w:rPr>
          <w:rFonts w:hint="eastAsia" w:ascii="仿宋_GB2312" w:eastAsia="仿宋_GB2312"/>
          <w:b/>
          <w:sz w:val="32"/>
          <w:szCs w:val="32"/>
        </w:rPr>
        <w:t>毛坪砂石资源</w:t>
      </w:r>
      <w:r>
        <w:rPr>
          <w:rFonts w:hint="eastAsia" w:ascii="仿宋_GB2312" w:eastAsia="仿宋_GB2312"/>
          <w:b/>
          <w:bCs/>
          <w:sz w:val="32"/>
          <w:szCs w:val="32"/>
        </w:rPr>
        <w:t>产业重点发展区</w:t>
      </w:r>
      <w:r>
        <w:rPr>
          <w:rFonts w:hint="eastAsia" w:eastAsia="仿宋_GB2312"/>
          <w:sz w:val="32"/>
          <w:szCs w:val="32"/>
        </w:rPr>
        <w:t>。</w:t>
      </w:r>
      <w:r>
        <w:rPr>
          <w:rFonts w:eastAsia="仿宋_GB2312"/>
          <w:sz w:val="32"/>
          <w:szCs w:val="32"/>
        </w:rPr>
        <w:t>为落实细化省市级规划的砂石资源保障基地，充分考虑我县域内资源分布情况、交通运输条件、开发利用条件等因素划定的范围。主要为周边重大工程、市县基础设施项目建设和民生工程建设提供砂石资源保障。</w:t>
      </w:r>
    </w:p>
    <w:p>
      <w:pPr>
        <w:ind w:firstLine="643"/>
        <w:rPr>
          <w:rFonts w:ascii="仿宋_GB2312" w:eastAsia="仿宋_GB2312"/>
          <w:b/>
          <w:sz w:val="32"/>
          <w:szCs w:val="32"/>
        </w:rPr>
      </w:pPr>
      <w:r>
        <w:rPr>
          <w:rFonts w:hint="eastAsia" w:ascii="仿宋_GB2312" w:eastAsia="仿宋_GB2312"/>
          <w:b/>
          <w:sz w:val="32"/>
          <w:szCs w:val="32"/>
        </w:rPr>
        <w:t>五渡平等白云岩产业重点发展区。</w:t>
      </w:r>
      <w:r>
        <w:rPr>
          <w:rFonts w:eastAsia="仿宋_GB2312"/>
          <w:sz w:val="32"/>
          <w:szCs w:val="32"/>
        </w:rPr>
        <w:t>为落实细化市级规划勘查开采区块</w:t>
      </w:r>
      <w:r>
        <w:rPr>
          <w:rFonts w:hint="eastAsia" w:ascii="仿宋_GB2312" w:eastAsia="仿宋_GB2312"/>
          <w:b/>
          <w:sz w:val="32"/>
          <w:szCs w:val="32"/>
        </w:rPr>
        <w:t>，</w:t>
      </w:r>
      <w:r>
        <w:rPr>
          <w:rFonts w:hint="eastAsia" w:ascii="仿宋_GB2312" w:eastAsia="仿宋_GB2312"/>
          <w:sz w:val="32"/>
          <w:szCs w:val="32"/>
        </w:rPr>
        <w:t>加强五渡、平等白云岩的勘查开采利用，</w:t>
      </w:r>
      <w:r>
        <w:rPr>
          <w:rFonts w:hint="eastAsia" w:ascii="仿宋_GB2312" w:hAnsi="Calibri" w:eastAsia="仿宋_GB2312"/>
          <w:sz w:val="32"/>
          <w:szCs w:val="32"/>
        </w:rPr>
        <w:t>形成以白云岩为产业链，“上-中-下游”开发的新模式，</w:t>
      </w:r>
      <w:r>
        <w:rPr>
          <w:rFonts w:hint="eastAsia" w:ascii="仿宋_GB2312" w:hAnsi="仿宋" w:eastAsia="仿宋_GB2312"/>
          <w:sz w:val="32"/>
          <w:szCs w:val="32"/>
        </w:rPr>
        <w:t>充分发挥我县白云岩资源禀赋特点与开发优势。</w:t>
      </w:r>
    </w:p>
    <w:p>
      <w:pPr>
        <w:ind w:firstLine="562"/>
        <w:rPr>
          <w:rFonts w:eastAsia="仿宋_GB2312"/>
          <w:b/>
          <w:sz w:val="28"/>
          <w:szCs w:val="28"/>
        </w:rPr>
      </w:pPr>
    </w:p>
    <w:p>
      <w:pPr>
        <w:pStyle w:val="3"/>
        <w:spacing w:before="156" w:after="156"/>
      </w:pPr>
      <w:bookmarkStart w:id="29" w:name="_Toc124293467"/>
      <w:bookmarkStart w:id="30" w:name="_Toc109555739"/>
      <w:bookmarkStart w:id="31" w:name="_Toc113372496"/>
      <w:bookmarkStart w:id="32" w:name="_Toc62744926"/>
      <w:r>
        <w:rPr>
          <w:rFonts w:hint="eastAsia"/>
        </w:rPr>
        <w:t>第三节  勘查开采与保护布局</w:t>
      </w:r>
      <w:bookmarkEnd w:id="29"/>
      <w:bookmarkEnd w:id="30"/>
      <w:bookmarkEnd w:id="31"/>
    </w:p>
    <w:p>
      <w:pPr>
        <w:pStyle w:val="10"/>
        <w:spacing w:line="360" w:lineRule="auto"/>
        <w:ind w:firstLine="643" w:firstLineChars="200"/>
        <w:jc w:val="both"/>
        <w:rPr>
          <w:rFonts w:ascii="仿宋_GB2312" w:hAnsi="仿宋" w:eastAsia="仿宋_GB2312" w:cs="仿宋"/>
          <w:sz w:val="32"/>
          <w:szCs w:val="32"/>
          <w:lang w:val="zh-CN" w:eastAsia="zh-CN" w:bidi="zh-CN"/>
        </w:rPr>
      </w:pPr>
      <w:bookmarkStart w:id="33" w:name="_Toc62744927"/>
      <w:r>
        <w:rPr>
          <w:rFonts w:hint="eastAsia" w:ascii="仿宋_GB2312" w:hAnsi="仿宋" w:eastAsia="仿宋_GB2312" w:cs="仿宋"/>
          <w:b/>
          <w:sz w:val="32"/>
          <w:szCs w:val="32"/>
          <w:lang w:val="zh-CN" w:eastAsia="zh-CN" w:bidi="zh-CN"/>
        </w:rPr>
        <w:t>加强与国土空间规划的协调和衔接。</w:t>
      </w:r>
      <w:r>
        <w:rPr>
          <w:rFonts w:hint="eastAsia" w:ascii="仿宋_GB2312" w:eastAsia="仿宋_GB2312"/>
          <w:sz w:val="32"/>
          <w:szCs w:val="32"/>
          <w:lang w:eastAsia="zh-CN"/>
        </w:rPr>
        <w:t>严格落实国土空间“三区三线”和自然保护地管控要求。生态保护红线、城镇开发边界调整时，自然资源部门要统筹矿产资源资源勘查开发活动，经过严格论证，为战略性和对经济社会发展具有重要价值的矿产资源勘查开发留出落地空间。国家公园、自然保护区、自然公园和饮用水源地设置和调整时，相关主管部门应征求自然资源管理部门意见，统筹考虑战略性矿产资源禀赋与生态环境保护的关系，合理设置和调整相关保护地范围。</w:t>
      </w:r>
    </w:p>
    <w:p>
      <w:pPr>
        <w:pStyle w:val="10"/>
        <w:adjustRightInd w:val="0"/>
        <w:snapToGrid w:val="0"/>
        <w:spacing w:line="360" w:lineRule="auto"/>
        <w:ind w:firstLine="643" w:firstLineChars="200"/>
        <w:jc w:val="both"/>
        <w:rPr>
          <w:rFonts w:ascii="仿宋_GB2312" w:eastAsia="仿宋_GB2312"/>
          <w:sz w:val="32"/>
          <w:szCs w:val="32"/>
          <w:lang w:eastAsia="zh-CN"/>
        </w:rPr>
      </w:pPr>
      <w:r>
        <w:rPr>
          <w:rFonts w:hint="eastAsia" w:ascii="仿宋_GB2312" w:hAnsi="仿宋" w:eastAsia="仿宋_GB2312" w:cs="仿宋"/>
          <w:b/>
          <w:sz w:val="32"/>
          <w:szCs w:val="32"/>
          <w:lang w:val="zh-CN" w:eastAsia="zh-CN" w:bidi="zh-CN"/>
        </w:rPr>
        <w:t>落实能源资源基地、国家规划矿区建设。</w:t>
      </w:r>
      <w:r>
        <w:rPr>
          <w:rFonts w:hint="eastAsia" w:ascii="仿宋_GB2312" w:eastAsia="仿宋_GB2312"/>
          <w:sz w:val="32"/>
          <w:szCs w:val="32"/>
          <w:lang w:eastAsia="zh-CN"/>
        </w:rPr>
        <w:t>按照国家级、省级及市级规划</w:t>
      </w:r>
      <w:r>
        <w:rPr>
          <w:rFonts w:ascii="仿宋_GB2312" w:eastAsia="仿宋_GB2312"/>
          <w:sz w:val="32"/>
          <w:szCs w:val="32"/>
          <w:lang w:eastAsia="zh-CN"/>
        </w:rPr>
        <w:t>部署要求</w:t>
      </w:r>
      <w:r>
        <w:rPr>
          <w:rFonts w:hint="eastAsia" w:ascii="仿宋_GB2312" w:eastAsia="仿宋_GB2312"/>
          <w:sz w:val="32"/>
          <w:szCs w:val="32"/>
          <w:lang w:eastAsia="zh-CN"/>
        </w:rPr>
        <w:t>，确保能源资源安全保障和稳定供给，落实“四川马边六股水</w:t>
      </w:r>
      <w:r>
        <w:rPr>
          <w:rFonts w:ascii="仿宋_GB2312" w:eastAsia="仿宋_GB2312"/>
          <w:sz w:val="32"/>
          <w:szCs w:val="32"/>
          <w:lang w:eastAsia="zh-CN"/>
        </w:rPr>
        <w:t>-</w:t>
      </w:r>
      <w:r>
        <w:rPr>
          <w:rFonts w:hint="eastAsia" w:ascii="仿宋_GB2312" w:eastAsia="仿宋_GB2312"/>
          <w:sz w:val="32"/>
          <w:szCs w:val="32"/>
          <w:lang w:eastAsia="zh-CN"/>
        </w:rPr>
        <w:t>老河坝”国家级能源资源基地和“四川盆地重庆-宜宾”国家规划矿区，加大对天然气的勘查力度，增加资源量。在生产力布局、基础设施建设、资源配置、重大项目安排及相关产业政策方面给予重点支持和保障，进一步完善能源资源基地、国家规划矿区内矿产、土地等生产要素的统筹配置管理制度。</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5000" w:type="pct"/>
            <w:vAlign w:val="center"/>
          </w:tcPr>
          <w:p>
            <w:pPr>
              <w:pStyle w:val="10"/>
              <w:spacing w:line="360" w:lineRule="auto"/>
              <w:jc w:val="center"/>
              <w:rPr>
                <w:rFonts w:ascii="黑体" w:hAnsi="仿宋" w:eastAsia="黑体" w:cs="仿宋"/>
                <w:b/>
                <w:sz w:val="24"/>
                <w:szCs w:val="28"/>
                <w:lang w:val="zh-CN" w:eastAsia="zh-CN" w:bidi="zh-CN"/>
              </w:rPr>
            </w:pPr>
            <w:r>
              <w:rPr>
                <w:rFonts w:hint="eastAsia" w:ascii="仿宋_GB2312" w:eastAsia="仿宋_GB2312"/>
                <w:b/>
                <w:sz w:val="24"/>
                <w:szCs w:val="28"/>
                <w:lang w:eastAsia="zh-CN"/>
              </w:rPr>
              <w:t xml:space="preserve">专栏3  </w:t>
            </w:r>
            <w:r>
              <w:rPr>
                <w:rFonts w:hint="eastAsia" w:ascii="仿宋_GB2312" w:hAnsi="Calibri" w:eastAsia="仿宋_GB2312"/>
                <w:b/>
                <w:bCs/>
                <w:sz w:val="24"/>
                <w:szCs w:val="28"/>
                <w:lang w:eastAsia="zh-CN"/>
              </w:rPr>
              <w:t>加强能源资源基地和国家规划矿区建设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5000" w:type="pct"/>
          </w:tcPr>
          <w:p>
            <w:pPr>
              <w:pStyle w:val="22"/>
              <w:adjustRightInd w:val="0"/>
              <w:snapToGrid w:val="0"/>
              <w:spacing w:before="0" w:beforeAutospacing="0" w:after="0" w:afterAutospacing="0" w:line="480" w:lineRule="exact"/>
              <w:ind w:firstLine="482"/>
              <w:jc w:val="both"/>
              <w:rPr>
                <w:rFonts w:ascii="仿宋_GB2312" w:eastAsia="仿宋_GB2312"/>
                <w:b/>
                <w:sz w:val="24"/>
                <w:szCs w:val="24"/>
              </w:rPr>
            </w:pPr>
            <w:r>
              <w:rPr>
                <w:rFonts w:hint="eastAsia" w:ascii="仿宋_GB2312" w:eastAsia="仿宋_GB2312"/>
                <w:b/>
                <w:sz w:val="24"/>
                <w:szCs w:val="24"/>
              </w:rPr>
              <w:t>(一)</w:t>
            </w:r>
            <w:r>
              <w:rPr>
                <w:rFonts w:ascii="仿宋_GB2312" w:eastAsia="仿宋_GB2312"/>
                <w:b/>
                <w:sz w:val="24"/>
                <w:szCs w:val="24"/>
              </w:rPr>
              <w:t>落实</w:t>
            </w:r>
            <w:r>
              <w:rPr>
                <w:rFonts w:hint="eastAsia" w:ascii="仿宋_GB2312" w:eastAsia="仿宋_GB2312"/>
                <w:b/>
                <w:sz w:val="24"/>
                <w:szCs w:val="24"/>
              </w:rPr>
              <w:t>1个能源资源基地：</w:t>
            </w:r>
          </w:p>
          <w:p>
            <w:pPr>
              <w:pStyle w:val="22"/>
              <w:adjustRightInd w:val="0"/>
              <w:snapToGrid w:val="0"/>
              <w:spacing w:before="0" w:beforeAutospacing="0" w:after="0" w:afterAutospacing="0" w:line="480" w:lineRule="exact"/>
              <w:ind w:firstLine="482"/>
              <w:jc w:val="both"/>
              <w:rPr>
                <w:rFonts w:ascii="仿宋_GB2312" w:eastAsia="仿宋_GB2312"/>
                <w:sz w:val="24"/>
                <w:szCs w:val="24"/>
              </w:rPr>
            </w:pPr>
            <w:r>
              <w:rPr>
                <w:rFonts w:hint="eastAsia" w:ascii="仿宋_GB2312" w:hAnsi="仿宋" w:eastAsia="仿宋_GB2312"/>
                <w:b/>
                <w:sz w:val="24"/>
                <w:szCs w:val="24"/>
              </w:rPr>
              <w:t>四川马边六股水-老河坝磷矿能源资源基地</w:t>
            </w:r>
            <w:r>
              <w:rPr>
                <w:rFonts w:hint="eastAsia" w:ascii="仿宋_GB2312" w:eastAsia="仿宋_GB2312"/>
                <w:b/>
                <w:sz w:val="24"/>
                <w:szCs w:val="24"/>
              </w:rPr>
              <w:t>：</w:t>
            </w:r>
            <w:r>
              <w:rPr>
                <w:rFonts w:hint="eastAsia" w:ascii="仿宋_GB2312" w:eastAsia="仿宋_GB2312"/>
                <w:sz w:val="24"/>
                <w:szCs w:val="24"/>
              </w:rPr>
              <w:t>主要</w:t>
            </w:r>
            <w:r>
              <w:rPr>
                <w:rFonts w:hint="eastAsia" w:ascii="仿宋_GB2312" w:hAnsi="仿宋" w:eastAsia="仿宋_GB2312"/>
                <w:sz w:val="24"/>
                <w:szCs w:val="24"/>
              </w:rPr>
              <w:t>位于峨边县平等乡，面积约38.13km</w:t>
            </w:r>
            <w:r>
              <w:rPr>
                <w:rFonts w:hint="eastAsia" w:ascii="仿宋_GB2312" w:hAnsi="仿宋" w:eastAsia="仿宋_GB2312"/>
                <w:sz w:val="24"/>
                <w:szCs w:val="24"/>
                <w:vertAlign w:val="superscript"/>
              </w:rPr>
              <w:t>2</w:t>
            </w:r>
            <w:r>
              <w:rPr>
                <w:rFonts w:hint="eastAsia" w:ascii="仿宋_GB2312" w:hAnsi="仿宋" w:eastAsia="仿宋_GB2312"/>
                <w:sz w:val="24"/>
                <w:szCs w:val="24"/>
              </w:rPr>
              <w:t>，基地内已设探矿权4个，采矿权4个，现有磷矿资源量5289.61万吨，设计产能149万吨/年；</w:t>
            </w:r>
            <w:r>
              <w:rPr>
                <w:rFonts w:hint="eastAsia" w:ascii="仿宋_GB2312" w:eastAsia="仿宋_GB2312"/>
                <w:sz w:val="24"/>
                <w:szCs w:val="24"/>
              </w:rPr>
              <w:t>分别为峨边县大竹坝磷矿区、峨边县华竹沟磷矿区、峨边县锣鼓坪磷矿区，目前3个区已全面完成勘查工作，正在进行矿山建设筹备等工作。</w:t>
            </w:r>
          </w:p>
          <w:p>
            <w:pPr>
              <w:pStyle w:val="22"/>
              <w:adjustRightInd w:val="0"/>
              <w:snapToGrid w:val="0"/>
              <w:spacing w:before="0" w:beforeAutospacing="0" w:after="0" w:afterAutospacing="0" w:line="480" w:lineRule="exact"/>
              <w:ind w:firstLine="482"/>
              <w:jc w:val="both"/>
              <w:rPr>
                <w:rFonts w:ascii="仿宋_GB2312" w:eastAsia="仿宋_GB2312"/>
                <w:b/>
                <w:sz w:val="24"/>
                <w:szCs w:val="24"/>
              </w:rPr>
            </w:pPr>
            <w:r>
              <w:rPr>
                <w:rFonts w:hint="eastAsia" w:ascii="仿宋_GB2312" w:eastAsia="仿宋_GB2312"/>
                <w:b/>
                <w:sz w:val="24"/>
                <w:szCs w:val="24"/>
              </w:rPr>
              <w:t>（二）</w:t>
            </w:r>
            <w:r>
              <w:rPr>
                <w:rFonts w:ascii="仿宋_GB2312" w:eastAsia="仿宋_GB2312"/>
                <w:b/>
                <w:sz w:val="24"/>
                <w:szCs w:val="24"/>
              </w:rPr>
              <w:t>落实</w:t>
            </w:r>
            <w:r>
              <w:rPr>
                <w:rFonts w:hint="eastAsia" w:ascii="仿宋_GB2312" w:eastAsia="仿宋_GB2312"/>
                <w:b/>
                <w:sz w:val="24"/>
                <w:szCs w:val="24"/>
              </w:rPr>
              <w:t>1个国家规划矿区：</w:t>
            </w:r>
          </w:p>
          <w:p>
            <w:pPr>
              <w:pStyle w:val="22"/>
              <w:adjustRightInd w:val="0"/>
              <w:snapToGrid w:val="0"/>
              <w:spacing w:before="0" w:beforeAutospacing="0" w:after="0" w:afterAutospacing="0" w:line="480" w:lineRule="exact"/>
              <w:ind w:firstLine="482"/>
              <w:jc w:val="both"/>
              <w:rPr>
                <w:rFonts w:ascii="仿宋_GB2312" w:hAnsi="Times New Roman" w:eastAsia="仿宋_GB2312" w:cs="Times New Roman"/>
                <w:sz w:val="24"/>
                <w:szCs w:val="24"/>
              </w:rPr>
            </w:pPr>
            <w:r>
              <w:rPr>
                <w:rFonts w:hint="eastAsia" w:ascii="仿宋_GB2312" w:hAnsi="Times New Roman" w:eastAsia="仿宋_GB2312" w:cs="Times New Roman"/>
                <w:b/>
                <w:bCs/>
                <w:sz w:val="24"/>
                <w:szCs w:val="24"/>
              </w:rPr>
              <w:t>四川盆地重庆-宜宾油气国家规划矿区（峨边部分）：</w:t>
            </w:r>
            <w:r>
              <w:rPr>
                <w:rFonts w:hint="eastAsia" w:ascii="仿宋_GB2312" w:hAnsi="Times New Roman" w:eastAsia="仿宋_GB2312" w:cs="Times New Roman"/>
                <w:sz w:val="24"/>
                <w:szCs w:val="24"/>
              </w:rPr>
              <w:t>面积约689.68km</w:t>
            </w:r>
            <w:r>
              <w:rPr>
                <w:rFonts w:hint="eastAsia" w:ascii="仿宋_GB2312" w:hAnsi="Times New Roman" w:eastAsia="仿宋_GB2312" w:cs="Times New Roman"/>
                <w:sz w:val="24"/>
                <w:szCs w:val="24"/>
                <w:vertAlign w:val="superscript"/>
              </w:rPr>
              <w:t>2</w:t>
            </w:r>
            <w:r>
              <w:rPr>
                <w:rFonts w:hint="eastAsia" w:ascii="仿宋_GB2312" w:hAnsi="Times New Roman" w:eastAsia="仿宋_GB2312" w:cs="Times New Roman"/>
                <w:b/>
                <w:bCs/>
                <w:sz w:val="24"/>
                <w:szCs w:val="24"/>
              </w:rPr>
              <w:t>，</w:t>
            </w:r>
            <w:r>
              <w:rPr>
                <w:rFonts w:hint="eastAsia" w:ascii="仿宋_GB2312" w:hAnsi="Times New Roman" w:eastAsia="仿宋_GB2312" w:cs="Times New Roman"/>
                <w:sz w:val="24"/>
                <w:szCs w:val="24"/>
              </w:rPr>
              <w:t>主要涉及我县勒乌乡、平等乡。</w:t>
            </w:r>
          </w:p>
          <w:p>
            <w:pPr>
              <w:pStyle w:val="22"/>
              <w:adjustRightInd w:val="0"/>
              <w:snapToGrid w:val="0"/>
              <w:spacing w:before="0" w:beforeAutospacing="0" w:after="0" w:afterAutospacing="0" w:line="480" w:lineRule="exact"/>
              <w:ind w:firstLine="480"/>
              <w:jc w:val="both"/>
              <w:rPr>
                <w:rFonts w:ascii="仿宋_GB2312" w:eastAsia="仿宋_GB2312"/>
                <w:sz w:val="24"/>
                <w:szCs w:val="24"/>
              </w:rPr>
            </w:pPr>
            <w:r>
              <w:rPr>
                <w:rFonts w:hint="eastAsia" w:ascii="仿宋_GB2312" w:hAnsi="Times New Roman" w:eastAsia="仿宋_GB2312" w:cs="Times New Roman"/>
                <w:sz w:val="24"/>
                <w:szCs w:val="24"/>
              </w:rPr>
              <w:t>大力支持规划矿区内资源勘查开发利用，</w:t>
            </w:r>
            <w:r>
              <w:rPr>
                <w:rFonts w:hint="eastAsia" w:ascii="仿宋_GB2312" w:hAnsi="仿宋" w:eastAsia="仿宋_GB2312"/>
                <w:sz w:val="24"/>
                <w:szCs w:val="24"/>
              </w:rPr>
              <w:t>生产力布局、基础设施建设、用矿、用地、用林、重大项目安排及相关产业政策方面给予重点支持和保障。</w:t>
            </w:r>
            <w:r>
              <w:rPr>
                <w:rFonts w:hint="eastAsia" w:ascii="仿宋_GB2312" w:hAnsi="Times New Roman" w:eastAsia="仿宋_GB2312" w:cs="Times New Roman"/>
                <w:sz w:val="24"/>
                <w:szCs w:val="24"/>
              </w:rPr>
              <w:t>为我省油气开发提供保障，同时也推动了我县天然气勘查开发。</w:t>
            </w:r>
          </w:p>
        </w:tc>
      </w:tr>
      <w:bookmarkEnd w:id="33"/>
    </w:tbl>
    <w:p>
      <w:pPr>
        <w:pStyle w:val="10"/>
        <w:spacing w:line="360" w:lineRule="auto"/>
        <w:ind w:firstLine="643" w:firstLineChars="200"/>
        <w:jc w:val="both"/>
        <w:rPr>
          <w:rFonts w:ascii="仿宋_GB2312" w:eastAsia="仿宋_GB2312"/>
          <w:sz w:val="32"/>
          <w:szCs w:val="32"/>
          <w:lang w:eastAsia="zh-CN"/>
        </w:rPr>
      </w:pPr>
      <w:bookmarkStart w:id="34" w:name="_Toc62744928"/>
      <w:r>
        <w:rPr>
          <w:rFonts w:hint="eastAsia" w:ascii="仿宋_GB2312" w:hAnsi="仿宋" w:eastAsia="仿宋_GB2312" w:cs="仿宋"/>
          <w:b/>
          <w:sz w:val="32"/>
          <w:szCs w:val="32"/>
          <w:lang w:val="zh-CN" w:eastAsia="zh-CN" w:bidi="zh-CN"/>
        </w:rPr>
        <w:t>布局砂石资源保障基地</w:t>
      </w:r>
      <w:bookmarkEnd w:id="34"/>
      <w:r>
        <w:rPr>
          <w:rFonts w:hint="eastAsia" w:ascii="仿宋_GB2312" w:eastAsia="仿宋_GB2312"/>
          <w:sz w:val="32"/>
          <w:szCs w:val="32"/>
          <w:lang w:eastAsia="zh-CN"/>
        </w:rPr>
        <w:t>。落实砂石资源基地建设。加快推进建设1个省级规划砂石资源开发基地，优先土地配置、基础设施建设，充分利用峨边铁路运输优势，为川藏铁路等重点工程、成都市、乐山市及周边城市基础设施建设和所在地民生工程建设提供资源保障。</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5000" w:type="pct"/>
          </w:tcPr>
          <w:p>
            <w:pPr>
              <w:pStyle w:val="10"/>
              <w:spacing w:line="360" w:lineRule="auto"/>
              <w:jc w:val="center"/>
              <w:rPr>
                <w:rFonts w:ascii="黑体" w:hAnsi="仿宋" w:eastAsia="黑体" w:cs="仿宋"/>
                <w:sz w:val="24"/>
                <w:szCs w:val="24"/>
                <w:lang w:val="zh-CN" w:eastAsia="zh-CN" w:bidi="zh-CN"/>
              </w:rPr>
            </w:pPr>
            <w:r>
              <w:rPr>
                <w:rFonts w:hint="eastAsia" w:ascii="仿宋_GB2312" w:eastAsia="仿宋_GB2312"/>
                <w:b/>
                <w:sz w:val="24"/>
                <w:szCs w:val="24"/>
                <w:lang w:eastAsia="zh-CN"/>
              </w:rPr>
              <w:t>专栏4 砂石资源开发基地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3" w:hRule="atLeast"/>
          <w:jc w:val="center"/>
        </w:trPr>
        <w:tc>
          <w:tcPr>
            <w:tcW w:w="5000" w:type="pct"/>
          </w:tcPr>
          <w:p>
            <w:pPr>
              <w:spacing w:line="480" w:lineRule="exact"/>
              <w:ind w:firstLine="482"/>
              <w:rPr>
                <w:rFonts w:ascii="仿宋_GB2312" w:hAnsi="仿宋" w:eastAsia="仿宋_GB2312"/>
              </w:rPr>
            </w:pPr>
            <w:r>
              <w:rPr>
                <w:rFonts w:hint="eastAsia" w:ascii="仿宋_GB2312" w:hAnsi="仿宋" w:eastAsia="仿宋_GB2312"/>
                <w:b/>
              </w:rPr>
              <w:t>峨边刘家沟-茶园坪砂石资源开发基地：</w:t>
            </w:r>
            <w:r>
              <w:rPr>
                <w:rFonts w:hint="eastAsia" w:ascii="仿宋_GB2312" w:hAnsi="仿宋" w:eastAsia="仿宋_GB2312"/>
              </w:rPr>
              <w:t>主要包括峨边彝族自治县茶园坪石灰岩、玄武岩矿和峨边彝族自治县毛坪镇刘家沟玄武岩矿，开采石灰岩、玄武岩等砂石资源，资源量约1</w:t>
            </w:r>
            <w:r>
              <w:rPr>
                <w:rFonts w:ascii="仿宋_GB2312" w:hAnsi="仿宋" w:eastAsia="仿宋_GB2312"/>
              </w:rPr>
              <w:t>6</w:t>
            </w:r>
            <w:r>
              <w:rPr>
                <w:rFonts w:hint="eastAsia" w:ascii="仿宋_GB2312" w:hAnsi="仿宋" w:eastAsia="仿宋_GB2312"/>
              </w:rPr>
              <w:t>亿吨，年产量</w:t>
            </w:r>
            <w:r>
              <w:rPr>
                <w:rFonts w:ascii="仿宋_GB2312" w:hAnsi="仿宋" w:eastAsia="仿宋_GB2312"/>
              </w:rPr>
              <w:t>3500</w:t>
            </w:r>
            <w:r>
              <w:rPr>
                <w:rFonts w:hint="eastAsia" w:ascii="仿宋_GB2312" w:hAnsi="仿宋" w:eastAsia="仿宋_GB2312"/>
              </w:rPr>
              <w:t>万吨以上。</w:t>
            </w:r>
            <w:r>
              <w:rPr>
                <w:rFonts w:hint="eastAsia" w:eastAsia="仿宋_GB2312"/>
              </w:rPr>
              <w:t>主要用于保障峨边彝族自治县境内的乐</w:t>
            </w:r>
            <w:r>
              <w:rPr>
                <w:rFonts w:eastAsia="仿宋_GB2312"/>
              </w:rPr>
              <w:t>汉高速</w:t>
            </w:r>
            <w:r>
              <w:rPr>
                <w:rFonts w:hint="eastAsia" w:eastAsia="仿宋_GB2312"/>
              </w:rPr>
              <w:t>、</w:t>
            </w:r>
            <w:r>
              <w:rPr>
                <w:rFonts w:eastAsia="仿宋_GB2312"/>
              </w:rPr>
              <w:t>成昆铁路复线</w:t>
            </w:r>
            <w:r>
              <w:rPr>
                <w:rFonts w:hint="eastAsia" w:eastAsia="仿宋_GB2312"/>
              </w:rPr>
              <w:t>及</w:t>
            </w:r>
            <w:r>
              <w:rPr>
                <w:rFonts w:eastAsia="仿宋_GB2312"/>
              </w:rPr>
              <w:t>沿线</w:t>
            </w:r>
            <w:r>
              <w:rPr>
                <w:rFonts w:hint="eastAsia" w:eastAsia="仿宋_GB2312"/>
              </w:rPr>
              <w:t>、</w:t>
            </w:r>
            <w:r>
              <w:rPr>
                <w:rFonts w:eastAsia="仿宋_GB2312"/>
              </w:rPr>
              <w:t>峨边火车南站枢纽工程、峨马屏高速</w:t>
            </w:r>
            <w:r>
              <w:rPr>
                <w:rFonts w:hint="eastAsia" w:eastAsia="仿宋_GB2312"/>
              </w:rPr>
              <w:t>和刘家沟-茶园坪廊道工程（省市级砂石重要基地）</w:t>
            </w:r>
            <w:r>
              <w:rPr>
                <w:rFonts w:eastAsia="仿宋_GB2312"/>
              </w:rPr>
              <w:t>等国家</w:t>
            </w:r>
            <w:r>
              <w:rPr>
                <w:rFonts w:hint="eastAsia" w:eastAsia="仿宋_GB2312"/>
              </w:rPr>
              <w:t>、</w:t>
            </w:r>
            <w:r>
              <w:rPr>
                <w:rFonts w:eastAsia="仿宋_GB2312"/>
              </w:rPr>
              <w:t>省级重大工程项目的建设用料，以及周边重大工程（如川藏铁路）、省市基础设施项目建设和民生工程建设</w:t>
            </w:r>
            <w:r>
              <w:rPr>
                <w:rFonts w:hint="eastAsia" w:eastAsia="仿宋_GB2312"/>
              </w:rPr>
              <w:t>。</w:t>
            </w:r>
          </w:p>
        </w:tc>
      </w:tr>
    </w:tbl>
    <w:p>
      <w:pPr>
        <w:ind w:firstLine="640"/>
        <w:rPr>
          <w:rFonts w:ascii="仿宋_GB2312" w:eastAsia="仿宋_GB2312"/>
          <w:sz w:val="32"/>
          <w:szCs w:val="32"/>
        </w:rPr>
      </w:pPr>
      <w:r>
        <w:rPr>
          <w:rFonts w:hint="eastAsia" w:ascii="仿宋_GB2312" w:eastAsia="仿宋_GB2312"/>
          <w:sz w:val="32"/>
          <w:szCs w:val="32"/>
        </w:rPr>
        <w:t>砂石基地内新设采矿权范围应避开已设矿业权及各类自然保护区范围。新建矿山必须符合《中华人民共和国安全生产法》、《矿山地质环境保护规定》、《四川省地质环境管理条例》等有关法律及规定，同时应满足绿色矿山建设要求。设置采矿权时，需满足总量控制、最低开采规模、矿山地质环境保护与治理恢复、绿色矿山建设等准入要求，并提交相关报告，经自然资源主管部门同意，办理相关登记手续。</w:t>
      </w:r>
    </w:p>
    <w:bookmarkEnd w:id="32"/>
    <w:p>
      <w:pPr>
        <w:pStyle w:val="3"/>
        <w:spacing w:before="156" w:after="156"/>
      </w:pPr>
      <w:bookmarkStart w:id="35" w:name="_Toc124293468"/>
      <w:r>
        <w:rPr>
          <w:rFonts w:hint="eastAsia"/>
        </w:rPr>
        <w:t>第五节  勘查开采规划区块</w:t>
      </w:r>
      <w:bookmarkEnd w:id="35"/>
    </w:p>
    <w:p>
      <w:pPr>
        <w:ind w:firstLine="643"/>
        <w:rPr>
          <w:rFonts w:ascii="仿宋_GB2312" w:eastAsia="仿宋_GB2312"/>
          <w:sz w:val="28"/>
          <w:szCs w:val="28"/>
        </w:rPr>
      </w:pPr>
      <w:r>
        <w:rPr>
          <w:rFonts w:eastAsia="仿宋_GB2312"/>
          <w:b/>
          <w:bCs/>
          <w:sz w:val="32"/>
          <w:szCs w:val="28"/>
        </w:rPr>
        <w:t>勘查规划区块</w:t>
      </w:r>
      <w:r>
        <w:rPr>
          <w:rFonts w:hint="eastAsia" w:eastAsia="仿宋_GB2312"/>
          <w:b/>
          <w:bCs/>
          <w:sz w:val="32"/>
          <w:szCs w:val="28"/>
        </w:rPr>
        <w:t>。</w:t>
      </w:r>
      <w:r>
        <w:rPr>
          <w:rFonts w:hint="eastAsia" w:ascii="仿宋_GB2312" w:eastAsia="仿宋_GB2312"/>
          <w:sz w:val="32"/>
          <w:szCs w:val="28"/>
        </w:rPr>
        <w:t>落实市级规划在我县划定的勘查规划区块1个，</w:t>
      </w:r>
      <w:r>
        <w:rPr>
          <w:rFonts w:hint="eastAsia" w:ascii="仿宋_GB2312" w:eastAsia="仿宋_GB2312"/>
          <w:bCs/>
          <w:sz w:val="32"/>
          <w:szCs w:val="28"/>
        </w:rPr>
        <w:t>勘查矿种为白云岩</w:t>
      </w:r>
      <w:r>
        <w:rPr>
          <w:rFonts w:hint="eastAsia" w:ascii="仿宋_GB2312" w:eastAsia="仿宋_GB2312"/>
          <w:sz w:val="32"/>
          <w:szCs w:val="28"/>
        </w:rPr>
        <w:t>。</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300" w:lineRule="auto"/>
              <w:ind w:firstLine="482"/>
              <w:jc w:val="center"/>
              <w:rPr>
                <w:rFonts w:eastAsia="仿宋_GB2312"/>
              </w:rPr>
            </w:pPr>
            <w:r>
              <w:rPr>
                <w:rFonts w:eastAsia="仿宋_GB2312"/>
                <w:b/>
              </w:rPr>
              <w:t>专栏</w:t>
            </w:r>
            <w:r>
              <w:rPr>
                <w:rFonts w:hint="eastAsia" w:eastAsia="仿宋_GB2312"/>
                <w:b/>
              </w:rPr>
              <w:t>5</w:t>
            </w:r>
            <w:r>
              <w:rPr>
                <w:rFonts w:eastAsia="仿宋_GB2312"/>
                <w:b/>
              </w:rPr>
              <w:t xml:space="preserve">  勘查规划区块表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5000" w:type="pct"/>
          </w:tcPr>
          <w:p>
            <w:pPr>
              <w:spacing w:line="480" w:lineRule="exact"/>
              <w:ind w:firstLine="482"/>
              <w:rPr>
                <w:rFonts w:eastAsia="仿宋_GB2312"/>
              </w:rPr>
            </w:pPr>
            <w:r>
              <w:rPr>
                <w:rFonts w:hint="eastAsia" w:eastAsia="仿宋_GB2312"/>
                <w:b/>
              </w:rPr>
              <w:t>四川省峨边彝族自治县新街子冶金用白云岩普查</w:t>
            </w:r>
            <w:r>
              <w:rPr>
                <w:rFonts w:eastAsia="仿宋_GB2312"/>
                <w:b/>
              </w:rPr>
              <w:t>：</w:t>
            </w:r>
            <w:r>
              <w:rPr>
                <w:rFonts w:hint="eastAsia" w:eastAsia="仿宋_GB2312"/>
              </w:rPr>
              <w:t>为落实市级规划划定的勘查规划区块。区块</w:t>
            </w:r>
            <w:r>
              <w:rPr>
                <w:rFonts w:hint="eastAsia" w:eastAsia="仿宋_GB2312"/>
                <w:bCs/>
              </w:rPr>
              <w:t>位于五渡至平等乡新街子一带，勘查矿种为冶金用白云岩，面积1.34平方千米，拟设探矿权勘查阶段为普查，</w:t>
            </w:r>
            <w:r>
              <w:rPr>
                <w:rFonts w:eastAsia="仿宋_GB2312"/>
                <w:bCs/>
              </w:rPr>
              <w:t>预估资源量3亿吨</w:t>
            </w:r>
            <w:r>
              <w:rPr>
                <w:rFonts w:hint="eastAsia" w:eastAsia="仿宋_GB2312"/>
                <w:bCs/>
              </w:rPr>
              <w:t>，满足绿色勘查要求，经勘查达不到冶金用白云岩资源储量规模或工业指标要求的，不得变更勘查开采矿种，不得探转采。</w:t>
            </w:r>
          </w:p>
        </w:tc>
      </w:tr>
    </w:tbl>
    <w:tbl>
      <w:tblPr>
        <w:tblStyle w:val="23"/>
        <w:tblpPr w:leftFromText="180" w:rightFromText="180" w:vertAnchor="text" w:horzAnchor="margin" w:tblpY="1315"/>
        <w:tblW w:w="5000" w:type="pct"/>
        <w:tblInd w:w="0" w:type="dxa"/>
        <w:tblLayout w:type="autofit"/>
        <w:tblCellMar>
          <w:top w:w="0" w:type="dxa"/>
          <w:left w:w="0" w:type="dxa"/>
          <w:bottom w:w="0" w:type="dxa"/>
          <w:right w:w="0" w:type="dxa"/>
        </w:tblCellMar>
      </w:tblPr>
      <w:tblGrid>
        <w:gridCol w:w="8522"/>
      </w:tblGrid>
      <w:tr>
        <w:tblPrEx>
          <w:tblCellMar>
            <w:top w:w="0" w:type="dxa"/>
            <w:left w:w="0" w:type="dxa"/>
            <w:bottom w:w="0" w:type="dxa"/>
            <w:right w:w="0" w:type="dxa"/>
          </w:tblCellMar>
        </w:tblPrEx>
        <w:trPr>
          <w:trHeight w:val="396" w:hRule="atLeast"/>
        </w:trPr>
        <w:tc>
          <w:tcPr>
            <w:tcW w:w="5000" w:type="pct"/>
            <w:tcBorders>
              <w:top w:val="single" w:color="000000" w:sz="8" w:space="0"/>
              <w:left w:val="single" w:color="000000" w:sz="8" w:space="0"/>
              <w:bottom w:val="single" w:color="000000" w:sz="8" w:space="0"/>
              <w:right w:val="single" w:color="000000" w:sz="8" w:space="0"/>
            </w:tcBorders>
            <w:shd w:val="clear" w:color="auto" w:fill="auto"/>
            <w:tcMar>
              <w:top w:w="12" w:type="dxa"/>
              <w:left w:w="108" w:type="dxa"/>
              <w:bottom w:w="0" w:type="dxa"/>
              <w:right w:w="108" w:type="dxa"/>
            </w:tcMar>
            <w:vAlign w:val="center"/>
          </w:tcPr>
          <w:p>
            <w:pPr>
              <w:spacing w:line="240" w:lineRule="auto"/>
              <w:ind w:firstLine="0" w:firstLineChars="0"/>
              <w:jc w:val="center"/>
              <w:rPr>
                <w:rFonts w:eastAsia="仿宋_GB2312"/>
                <w:b/>
                <w:snapToGrid w:val="0"/>
                <w:kern w:val="0"/>
                <w:szCs w:val="30"/>
              </w:rPr>
            </w:pPr>
            <w:r>
              <w:rPr>
                <w:rFonts w:eastAsia="仿宋_GB2312"/>
                <w:b/>
              </w:rPr>
              <w:t>专栏</w:t>
            </w:r>
            <w:r>
              <w:rPr>
                <w:rFonts w:hint="eastAsia" w:eastAsia="仿宋_GB2312"/>
                <w:b/>
              </w:rPr>
              <w:t>6</w:t>
            </w:r>
            <w:r>
              <w:rPr>
                <w:rFonts w:eastAsia="仿宋_GB2312"/>
                <w:b/>
              </w:rPr>
              <w:t xml:space="preserve"> </w:t>
            </w:r>
            <w:r>
              <w:rPr>
                <w:rFonts w:eastAsia="仿宋_GB2312"/>
                <w:b/>
                <w:bCs/>
                <w:snapToGrid w:val="0"/>
                <w:kern w:val="0"/>
                <w:szCs w:val="30"/>
              </w:rPr>
              <w:t>开采规划区块表</w:t>
            </w:r>
          </w:p>
        </w:tc>
      </w:tr>
      <w:tr>
        <w:tblPrEx>
          <w:tblCellMar>
            <w:top w:w="0" w:type="dxa"/>
            <w:left w:w="0" w:type="dxa"/>
            <w:bottom w:w="0" w:type="dxa"/>
            <w:right w:w="0" w:type="dxa"/>
          </w:tblCellMar>
        </w:tblPrEx>
        <w:trPr>
          <w:trHeight w:val="1670" w:hRule="atLeast"/>
        </w:trPr>
        <w:tc>
          <w:tcPr>
            <w:tcW w:w="5000" w:type="pct"/>
            <w:tcBorders>
              <w:top w:val="single" w:color="000000" w:sz="8" w:space="0"/>
              <w:left w:val="single" w:color="000000" w:sz="8" w:space="0"/>
              <w:bottom w:val="single" w:color="000000" w:sz="8" w:space="0"/>
              <w:right w:val="single" w:color="000000" w:sz="8" w:space="0"/>
            </w:tcBorders>
            <w:shd w:val="clear" w:color="auto" w:fill="auto"/>
            <w:tcMar>
              <w:top w:w="12" w:type="dxa"/>
              <w:left w:w="108" w:type="dxa"/>
              <w:bottom w:w="0" w:type="dxa"/>
              <w:right w:w="108" w:type="dxa"/>
            </w:tcMar>
            <w:vAlign w:val="center"/>
          </w:tcPr>
          <w:p>
            <w:pPr>
              <w:spacing w:line="480" w:lineRule="exact"/>
              <w:ind w:firstLine="482"/>
              <w:rPr>
                <w:rFonts w:ascii="仿宋_GB2312" w:hAnsi="仿宋" w:eastAsia="仿宋_GB2312" w:cs="仿宋"/>
                <w:bCs/>
                <w:kern w:val="0"/>
              </w:rPr>
            </w:pPr>
            <w:r>
              <w:rPr>
                <w:rFonts w:eastAsia="仿宋_GB2312"/>
                <w:b/>
                <w:bCs/>
                <w:snapToGrid w:val="0"/>
                <w:kern w:val="0"/>
                <w:szCs w:val="30"/>
              </w:rPr>
              <w:t>峨边彝族自治县茶园坪建筑石料用灰岩、建筑用玄武岩矿</w:t>
            </w:r>
            <w:r>
              <w:rPr>
                <w:rFonts w:eastAsia="仿宋_GB2312"/>
                <w:bCs/>
                <w:snapToGrid w:val="0"/>
                <w:kern w:val="0"/>
                <w:szCs w:val="30"/>
              </w:rPr>
              <w:t>：</w:t>
            </w:r>
            <w:r>
              <w:rPr>
                <w:rFonts w:hint="eastAsia" w:ascii="仿宋_GB2312" w:hAnsi="仿宋" w:eastAsia="仿宋_GB2312" w:cs="仿宋"/>
                <w:bCs/>
                <w:kern w:val="0"/>
              </w:rPr>
              <w:t>位于毛坪镇茶园坪一带，开采矿种为建筑石料用灰岩、建筑用玄武岩，面积1.3714平方千米，估算矿石量18524万立方米，属省级规划划定的“峨边刘家沟-茶园坪”砂石资源基地内开采规划区块。</w:t>
            </w:r>
            <w:r>
              <w:rPr>
                <w:rFonts w:ascii="仿宋_GB2312" w:hAnsi="仿宋" w:eastAsia="仿宋_GB2312" w:cs="仿宋"/>
                <w:bCs/>
                <w:kern w:val="0"/>
              </w:rPr>
              <w:t xml:space="preserve"> </w:t>
            </w:r>
          </w:p>
          <w:p>
            <w:pPr>
              <w:spacing w:line="480" w:lineRule="exact"/>
              <w:ind w:firstLine="482"/>
              <w:rPr>
                <w:rFonts w:ascii="仿宋_GB2312" w:hAnsi="仿宋" w:eastAsia="仿宋_GB2312" w:cs="仿宋"/>
                <w:bCs/>
                <w:kern w:val="0"/>
              </w:rPr>
            </w:pPr>
            <w:r>
              <w:rPr>
                <w:rFonts w:eastAsia="仿宋_GB2312"/>
                <w:b/>
                <w:bCs/>
                <w:snapToGrid w:val="0"/>
                <w:kern w:val="0"/>
                <w:szCs w:val="30"/>
              </w:rPr>
              <w:t>峨边彝族自治县周沟玻璃用白云岩矿</w:t>
            </w:r>
            <w:r>
              <w:rPr>
                <w:rFonts w:eastAsia="仿宋_GB2312"/>
                <w:bCs/>
                <w:snapToGrid w:val="0"/>
                <w:kern w:val="0"/>
                <w:szCs w:val="30"/>
              </w:rPr>
              <w:t>：</w:t>
            </w:r>
            <w:r>
              <w:rPr>
                <w:rFonts w:hint="eastAsia" w:ascii="仿宋_GB2312" w:hAnsi="仿宋" w:eastAsia="仿宋_GB2312" w:cs="仿宋"/>
                <w:bCs/>
                <w:kern w:val="0"/>
              </w:rPr>
              <w:t>位于五渡镇周沟一带，开采矿种为玻璃用白云岩，面积0.3279平方千米，估算矿石量4000万吨。</w:t>
            </w:r>
          </w:p>
          <w:p>
            <w:pPr>
              <w:spacing w:line="480" w:lineRule="exact"/>
              <w:ind w:firstLine="480"/>
              <w:rPr>
                <w:rFonts w:eastAsia="仿宋_GB2312"/>
                <w:b/>
                <w:snapToGrid w:val="0"/>
                <w:kern w:val="0"/>
                <w:szCs w:val="30"/>
              </w:rPr>
            </w:pPr>
            <w:r>
              <w:rPr>
                <w:rFonts w:hint="eastAsia" w:ascii="仿宋_GB2312" w:hAnsi="仿宋" w:eastAsia="仿宋_GB2312" w:cs="仿宋"/>
                <w:bCs/>
                <w:kern w:val="0"/>
              </w:rPr>
              <w:t>新建矿山储量规模和生产规模要相适应，必须满足最低生产规模和最低服务年限以及“三率”要求， “净矿”出让采矿权，严格执行矿山地质环境恢复治理与土地复垦方案，满足绿色矿山建设行业规范。</w:t>
            </w:r>
            <w:r>
              <w:rPr>
                <w:rFonts w:ascii="仿宋_GB2312" w:hAnsi="仿宋" w:eastAsia="仿宋_GB2312" w:cs="仿宋"/>
                <w:bCs/>
                <w:kern w:val="0"/>
              </w:rPr>
              <w:t xml:space="preserve"> </w:t>
            </w:r>
          </w:p>
        </w:tc>
      </w:tr>
    </w:tbl>
    <w:p>
      <w:pPr>
        <w:ind w:firstLine="643"/>
        <w:rPr>
          <w:rFonts w:ascii="仿宋_GB2312" w:eastAsia="仿宋_GB2312"/>
          <w:sz w:val="32"/>
          <w:szCs w:val="32"/>
        </w:rPr>
      </w:pPr>
      <w:r>
        <w:rPr>
          <w:rFonts w:eastAsia="仿宋_GB2312"/>
          <w:b/>
          <w:bCs/>
          <w:sz w:val="32"/>
          <w:szCs w:val="32"/>
        </w:rPr>
        <w:t>开采规划区块</w:t>
      </w:r>
      <w:r>
        <w:rPr>
          <w:rFonts w:hint="eastAsia" w:eastAsia="仿宋_GB2312"/>
          <w:b/>
          <w:bCs/>
          <w:sz w:val="32"/>
          <w:szCs w:val="32"/>
        </w:rPr>
        <w:t>。</w:t>
      </w:r>
      <w:r>
        <w:rPr>
          <w:rFonts w:hint="eastAsia" w:ascii="仿宋_GB2312" w:eastAsia="仿宋_GB2312"/>
          <w:sz w:val="32"/>
          <w:szCs w:val="32"/>
        </w:rPr>
        <w:t>落实市级规划在我县划定的开采规划区块2个。开采主矿种为建筑石料用灰岩、玻璃用白云岩。</w:t>
      </w:r>
    </w:p>
    <w:p>
      <w:pPr>
        <w:pStyle w:val="3"/>
        <w:spacing w:before="156" w:after="156"/>
      </w:pPr>
      <w:bookmarkStart w:id="36" w:name="_Toc124293469"/>
      <w:r>
        <w:t>第</w:t>
      </w:r>
      <w:r>
        <w:rPr>
          <w:rFonts w:hint="eastAsia"/>
        </w:rPr>
        <w:t>六</w:t>
      </w:r>
      <w:r>
        <w:t>节  严格规划准入管理</w:t>
      </w:r>
      <w:bookmarkEnd w:id="36"/>
    </w:p>
    <w:p>
      <w:pPr>
        <w:adjustRightInd w:val="0"/>
        <w:spacing w:line="640" w:lineRule="exact"/>
        <w:ind w:firstLine="640"/>
        <w:rPr>
          <w:rFonts w:eastAsia="仿宋_GB2312"/>
          <w:kern w:val="0"/>
          <w:sz w:val="32"/>
          <w:szCs w:val="32"/>
        </w:rPr>
      </w:pPr>
      <w:r>
        <w:rPr>
          <w:rFonts w:eastAsia="仿宋_GB2312"/>
          <w:kern w:val="0"/>
          <w:sz w:val="32"/>
          <w:szCs w:val="32"/>
        </w:rPr>
        <w:t>进一步规范矿山开采秩序，提高矿产资源开发利用水平，加强生态环境保护，促进矿山开采行业安全、健康发展。新建或改扩建的矿山企业须符合下列要求。</w:t>
      </w:r>
    </w:p>
    <w:p>
      <w:pPr>
        <w:ind w:firstLine="643"/>
        <w:rPr>
          <w:rFonts w:ascii="仿宋_GB2312" w:hAnsi="仿宋" w:eastAsia="仿宋_GB2312"/>
          <w:bCs/>
          <w:snapToGrid w:val="0"/>
          <w:kern w:val="0"/>
          <w:sz w:val="32"/>
          <w:szCs w:val="32"/>
        </w:rPr>
      </w:pPr>
      <w:bookmarkStart w:id="37" w:name="_Toc26827"/>
      <w:r>
        <w:rPr>
          <w:rFonts w:hint="eastAsia" w:ascii="仿宋_GB2312" w:hAnsi="仿宋" w:eastAsia="仿宋_GB2312"/>
          <w:b/>
          <w:snapToGrid w:val="0"/>
          <w:kern w:val="0"/>
          <w:sz w:val="32"/>
          <w:szCs w:val="32"/>
        </w:rPr>
        <w:t>明确绿色开发准入条件。</w:t>
      </w:r>
      <w:r>
        <w:rPr>
          <w:rFonts w:hint="eastAsia" w:ascii="仿宋_GB2312" w:hAnsi="仿宋" w:eastAsia="仿宋_GB2312"/>
          <w:bCs/>
          <w:snapToGrid w:val="0"/>
          <w:kern w:val="0"/>
          <w:sz w:val="32"/>
          <w:szCs w:val="32"/>
        </w:rPr>
        <w:t>按照生态文明建设要求，新设勘查开采规划区块首先必须符合各类空间管控准入条件后制定合理的勘查实施方案，满足绿色地质勘查、开采要求，运用新技术、新方法、新设备等减少对生态环境的影响和破坏，及时对勘查、开采区进行生态环境保护修复</w:t>
      </w:r>
      <w:bookmarkEnd w:id="37"/>
      <w:r>
        <w:rPr>
          <w:rFonts w:hint="eastAsia" w:ascii="仿宋_GB2312" w:hAnsi="仿宋" w:eastAsia="仿宋_GB2312"/>
          <w:bCs/>
          <w:snapToGrid w:val="0"/>
          <w:kern w:val="0"/>
          <w:sz w:val="32"/>
          <w:szCs w:val="32"/>
        </w:rPr>
        <w:t>。</w:t>
      </w:r>
    </w:p>
    <w:p>
      <w:pPr>
        <w:adjustRightInd w:val="0"/>
        <w:spacing w:line="640" w:lineRule="exact"/>
        <w:ind w:firstLine="643"/>
        <w:rPr>
          <w:rFonts w:eastAsia="仿宋_GB2312"/>
          <w:kern w:val="0"/>
          <w:sz w:val="32"/>
          <w:szCs w:val="32"/>
        </w:rPr>
      </w:pPr>
      <w:r>
        <w:rPr>
          <w:rFonts w:hint="eastAsia" w:ascii="仿宋_GB2312" w:hAnsi="仿宋" w:eastAsia="仿宋_GB2312"/>
          <w:b/>
          <w:bCs/>
          <w:snapToGrid w:val="0"/>
          <w:kern w:val="0"/>
          <w:sz w:val="32"/>
          <w:szCs w:val="32"/>
        </w:rPr>
        <w:t>强化矿山开发规模准入管理。</w:t>
      </w:r>
      <w:r>
        <w:rPr>
          <w:rFonts w:hint="eastAsia" w:ascii="仿宋_GB2312" w:hAnsi="仿宋" w:eastAsia="仿宋_GB2312"/>
          <w:bCs/>
          <w:snapToGrid w:val="0"/>
          <w:kern w:val="0"/>
          <w:sz w:val="32"/>
          <w:szCs w:val="32"/>
        </w:rPr>
        <w:t>严格审查新建矿山可供开发利用的资源量，确保新建矿山资源规模与开采规模相匹配，原则上新建矿山需达到中型规模以上，矿山服务年限不得低于10年。</w:t>
      </w:r>
    </w:p>
    <w:p>
      <w:pPr>
        <w:adjustRightInd w:val="0"/>
        <w:spacing w:line="640" w:lineRule="exact"/>
        <w:ind w:firstLine="643"/>
        <w:rPr>
          <w:rFonts w:eastAsia="仿宋_GB2312"/>
          <w:kern w:val="0"/>
          <w:sz w:val="28"/>
          <w:szCs w:val="28"/>
        </w:rPr>
      </w:pPr>
      <w:r>
        <w:rPr>
          <w:rFonts w:hint="eastAsia" w:ascii="仿宋_GB2312" w:hAnsi="仿宋" w:eastAsia="仿宋_GB2312"/>
          <w:b/>
          <w:bCs/>
          <w:snapToGrid w:val="0"/>
          <w:kern w:val="0"/>
          <w:sz w:val="32"/>
          <w:szCs w:val="32"/>
        </w:rPr>
        <w:t>严格执行生态保护修复准入制度。</w:t>
      </w:r>
      <w:r>
        <w:rPr>
          <w:rFonts w:ascii="仿宋_GB2312" w:eastAsia="仿宋_GB2312"/>
          <w:sz w:val="32"/>
          <w:szCs w:val="32"/>
        </w:rPr>
        <w:t>筑牢长江上游生态安全屏障，长江干流和主要支流（大渡河）两岸3公里范围内，除国家和省级重点高速公路、铁路建设项目以及已设探矿权转采矿权外，原则上不新设露天开采规划区块。为确保生态景观不受影响，铁路、高速公路两侧可视范围内原则上不得新设露天开采规划区块。新设矿权必须符合生态保护的相关政策法规，并通过各级生态环境行政主管部门的审批。</w:t>
      </w:r>
    </w:p>
    <w:p>
      <w:pPr>
        <w:adjustRightInd w:val="0"/>
        <w:spacing w:line="640" w:lineRule="exact"/>
        <w:ind w:firstLine="643"/>
        <w:rPr>
          <w:rFonts w:eastAsia="仿宋_GB2312"/>
          <w:kern w:val="0"/>
          <w:sz w:val="32"/>
          <w:szCs w:val="32"/>
        </w:rPr>
      </w:pPr>
      <w:r>
        <w:rPr>
          <w:rFonts w:eastAsia="仿宋_GB2312"/>
          <w:b/>
          <w:kern w:val="0"/>
          <w:sz w:val="32"/>
          <w:szCs w:val="32"/>
        </w:rPr>
        <w:t>满足矿产资源开发利用“三率”指标条件。</w:t>
      </w:r>
      <w:r>
        <w:rPr>
          <w:rFonts w:eastAsia="仿宋_GB2312"/>
          <w:kern w:val="0"/>
          <w:sz w:val="32"/>
          <w:szCs w:val="32"/>
        </w:rPr>
        <w:t>新建和改扩建矿山，必须采用先进的采选技术和设备进行矿业开发。开发利用方案中，涉及的“三率”指标达到或超过国家规定的最低标准，并严格执行。</w:t>
      </w:r>
    </w:p>
    <w:p>
      <w:pPr>
        <w:widowControl/>
        <w:spacing w:line="240" w:lineRule="auto"/>
        <w:ind w:firstLine="643"/>
        <w:rPr>
          <w:rFonts w:ascii="仿宋_GB2312" w:eastAsia="仿宋_GB2312"/>
          <w:sz w:val="32"/>
          <w:szCs w:val="32"/>
        </w:rPr>
      </w:pPr>
      <w:r>
        <w:rPr>
          <w:rFonts w:ascii="仿宋_GB2312" w:eastAsia="仿宋_GB2312"/>
          <w:b/>
          <w:bCs/>
          <w:sz w:val="32"/>
          <w:szCs w:val="32"/>
        </w:rPr>
        <w:t>严格落实安全生产条件</w:t>
      </w:r>
      <w:r>
        <w:rPr>
          <w:rFonts w:hint="eastAsia" w:ascii="仿宋_GB2312" w:eastAsia="仿宋_GB2312"/>
          <w:b/>
          <w:bCs/>
          <w:sz w:val="32"/>
          <w:szCs w:val="32"/>
        </w:rPr>
        <w:t>。</w:t>
      </w:r>
      <w:r>
        <w:rPr>
          <w:rFonts w:ascii="仿宋_GB2312" w:eastAsia="仿宋_GB2312"/>
          <w:sz w:val="32"/>
          <w:szCs w:val="32"/>
        </w:rPr>
        <w:t>矿山与其相邻矿山、周边基础设施、民房等的安全间距应严格按照《铁路安全管理条例》《公路安全保护条例》《电力设施保护条例》等国家规范、标准、条例的要求执行。地表、地下矿山安全开采方式的具体要求，按照“空间划开、时序错开、急需先上、保大限小、综合利用、合理避让”的原则，统筹协调各类叠置资源的开发布局、时序、规模和结构，为矿业权审批和监督管理提供依据，为矿业权开发提供安全保障，尽量避免出现地表、地下同时开发的开采方式。矿区范围（含标高）划定应符合相关安全生产规范，避免形成高陡边坡、顺向坡等安全隐患问题。矿山安全生产设计等应经相关业务主管部门批准。</w:t>
      </w:r>
      <w:r>
        <w:rPr>
          <w:rFonts w:ascii="仿宋_GB2312" w:eastAsia="仿宋_GB2312"/>
          <w:sz w:val="32"/>
          <w:szCs w:val="32"/>
        </w:rPr>
        <w:br w:type="page"/>
      </w:r>
    </w:p>
    <w:p>
      <w:pPr>
        <w:pStyle w:val="2"/>
      </w:pPr>
      <w:bookmarkStart w:id="38" w:name="_Toc124293470"/>
      <w:r>
        <w:t>第四章 加强矿产资源勘查开发利用与保护</w:t>
      </w:r>
      <w:bookmarkEnd w:id="38"/>
    </w:p>
    <w:p>
      <w:pPr>
        <w:pStyle w:val="3"/>
        <w:spacing w:before="156" w:after="156"/>
      </w:pPr>
      <w:bookmarkStart w:id="39" w:name="_Toc62744930"/>
      <w:bookmarkStart w:id="40" w:name="_Toc124293471"/>
      <w:r>
        <w:t>第一节  合理确定开发强度</w:t>
      </w:r>
      <w:bookmarkEnd w:id="39"/>
      <w:bookmarkEnd w:id="40"/>
    </w:p>
    <w:p>
      <w:pPr>
        <w:ind w:firstLine="640"/>
        <w:rPr>
          <w:rFonts w:ascii="仿宋_GB2312" w:eastAsia="仿宋_GB2312"/>
          <w:sz w:val="32"/>
          <w:szCs w:val="32"/>
        </w:rPr>
      </w:pPr>
      <w:r>
        <w:rPr>
          <w:rFonts w:ascii="仿宋_GB2312" w:eastAsia="仿宋_GB2312"/>
          <w:sz w:val="32"/>
          <w:szCs w:val="32"/>
        </w:rPr>
        <w:t>实行矿产资源产能和采矿权投放总量有效控，力求矿产资源开发利用总量与经济社会发展水平相适应。强化对总量配额指标执行情况的监督管理，重要优势矿产的生产总量调控指标落实上级规划，并分解指标，落实到主要矿山。加强矿产资源储量动态监测，加强重要矿产矿山企业的生产能力核定工作。</w:t>
      </w:r>
    </w:p>
    <w:p>
      <w:pPr>
        <w:ind w:firstLine="643"/>
        <w:jc w:val="left"/>
        <w:rPr>
          <w:rFonts w:eastAsia="仿宋_GB2312"/>
          <w:kern w:val="0"/>
          <w:sz w:val="32"/>
          <w:szCs w:val="32"/>
        </w:rPr>
      </w:pPr>
      <w:r>
        <w:rPr>
          <w:rFonts w:hint="eastAsia" w:eastAsia="仿宋_GB2312"/>
          <w:b/>
          <w:bCs/>
          <w:kern w:val="0"/>
          <w:sz w:val="32"/>
          <w:szCs w:val="32"/>
        </w:rPr>
        <w:t>金属矿产：</w:t>
      </w:r>
      <w:r>
        <w:rPr>
          <w:rFonts w:hint="eastAsia" w:eastAsia="仿宋_GB2312"/>
          <w:kern w:val="0"/>
          <w:sz w:val="32"/>
          <w:szCs w:val="32"/>
        </w:rPr>
        <w:t>鼓励矿山企业开发利用铜、铅、锌等金属矿产，力争到2025年矿山有矿石产出，矿山总数维持在3个。</w:t>
      </w:r>
    </w:p>
    <w:p>
      <w:pPr>
        <w:ind w:firstLine="643"/>
        <w:rPr>
          <w:rFonts w:ascii="仿宋_GB2312" w:hAnsi="仿宋" w:eastAsia="仿宋_GB2312"/>
          <w:kern w:val="0"/>
          <w:sz w:val="32"/>
          <w:szCs w:val="32"/>
        </w:rPr>
      </w:pPr>
      <w:r>
        <w:rPr>
          <w:rFonts w:hint="eastAsia" w:ascii="仿宋_GB2312" w:hAnsi="仿宋" w:eastAsia="仿宋_GB2312"/>
          <w:b/>
          <w:bCs/>
          <w:kern w:val="0"/>
          <w:sz w:val="32"/>
          <w:szCs w:val="32"/>
        </w:rPr>
        <w:t>非金属矿产：</w:t>
      </w:r>
      <w:r>
        <w:rPr>
          <w:rFonts w:hint="eastAsia" w:ascii="仿宋_GB2312" w:hAnsi="仿宋" w:eastAsia="仿宋_GB2312"/>
          <w:kern w:val="0"/>
          <w:sz w:val="32"/>
          <w:szCs w:val="32"/>
        </w:rPr>
        <w:t>加大对现有磷矿矿业权开发政策支持，</w:t>
      </w:r>
      <w:r>
        <w:rPr>
          <w:rFonts w:eastAsia="仿宋_GB2312"/>
          <w:sz w:val="32"/>
          <w:szCs w:val="32"/>
        </w:rPr>
        <w:t>到2025年矿山</w:t>
      </w:r>
      <w:r>
        <w:rPr>
          <w:rFonts w:hint="eastAsia" w:ascii="仿宋_GB2312" w:hAnsi="仿宋" w:eastAsia="仿宋_GB2312"/>
          <w:kern w:val="0"/>
          <w:sz w:val="32"/>
          <w:szCs w:val="32"/>
        </w:rPr>
        <w:t>产量预期达到</w:t>
      </w:r>
      <w:r>
        <w:rPr>
          <w:rFonts w:ascii="仿宋_GB2312" w:hAnsi="仿宋" w:eastAsia="仿宋_GB2312"/>
          <w:kern w:val="0"/>
          <w:sz w:val="32"/>
          <w:szCs w:val="32"/>
        </w:rPr>
        <w:t>1</w:t>
      </w:r>
      <w:r>
        <w:rPr>
          <w:rFonts w:hint="eastAsia" w:ascii="仿宋_GB2312" w:hAnsi="仿宋" w:eastAsia="仿宋_GB2312"/>
          <w:kern w:val="0"/>
          <w:sz w:val="32"/>
          <w:szCs w:val="32"/>
        </w:rPr>
        <w:t>5</w:t>
      </w:r>
      <w:r>
        <w:rPr>
          <w:rFonts w:ascii="仿宋_GB2312" w:hAnsi="仿宋" w:eastAsia="仿宋_GB2312"/>
          <w:kern w:val="0"/>
          <w:sz w:val="32"/>
          <w:szCs w:val="32"/>
        </w:rPr>
        <w:t>0</w:t>
      </w:r>
      <w:r>
        <w:rPr>
          <w:rFonts w:hint="eastAsia" w:ascii="仿宋_GB2312" w:hAnsi="仿宋" w:eastAsia="仿宋_GB2312"/>
          <w:kern w:val="0"/>
          <w:sz w:val="32"/>
          <w:szCs w:val="32"/>
        </w:rPr>
        <w:t>万吨，矿山总数稳定在4个左右。 水泥用灰岩年产能控制在150万吨以内，矿山数量控制1个以内。</w:t>
      </w:r>
      <w:r>
        <w:rPr>
          <w:rFonts w:eastAsia="仿宋_GB2312"/>
          <w:kern w:val="0"/>
          <w:sz w:val="32"/>
          <w:szCs w:val="32"/>
        </w:rPr>
        <w:t>长石矿年产量</w:t>
      </w:r>
      <w:r>
        <w:rPr>
          <w:rFonts w:hint="eastAsia" w:eastAsia="仿宋_GB2312"/>
          <w:kern w:val="0"/>
          <w:sz w:val="32"/>
          <w:szCs w:val="32"/>
        </w:rPr>
        <w:t>力争</w:t>
      </w:r>
      <w:r>
        <w:rPr>
          <w:rFonts w:eastAsia="仿宋_GB2312"/>
          <w:kern w:val="0"/>
          <w:sz w:val="32"/>
          <w:szCs w:val="32"/>
        </w:rPr>
        <w:t>达到1</w:t>
      </w:r>
      <w:r>
        <w:rPr>
          <w:rFonts w:hint="eastAsia" w:eastAsia="仿宋_GB2312"/>
          <w:kern w:val="0"/>
          <w:sz w:val="32"/>
          <w:szCs w:val="32"/>
        </w:rPr>
        <w:t>6</w:t>
      </w:r>
      <w:r>
        <w:rPr>
          <w:rFonts w:eastAsia="仿宋_GB2312"/>
          <w:kern w:val="0"/>
          <w:sz w:val="32"/>
          <w:szCs w:val="32"/>
        </w:rPr>
        <w:t>0万吨以上，</w:t>
      </w:r>
      <w:r>
        <w:rPr>
          <w:rFonts w:eastAsia="仿宋_GB2312"/>
          <w:bCs/>
          <w:snapToGrid w:val="0"/>
          <w:kern w:val="0"/>
          <w:sz w:val="32"/>
          <w:szCs w:val="32"/>
        </w:rPr>
        <w:t>保障长石资源供应</w:t>
      </w:r>
      <w:r>
        <w:rPr>
          <w:rFonts w:hint="eastAsia" w:eastAsia="仿宋_GB2312"/>
          <w:bCs/>
          <w:snapToGrid w:val="0"/>
          <w:kern w:val="0"/>
          <w:sz w:val="32"/>
          <w:szCs w:val="32"/>
        </w:rPr>
        <w:t>，</w:t>
      </w:r>
      <w:r>
        <w:rPr>
          <w:rFonts w:eastAsia="仿宋_GB2312"/>
          <w:bCs/>
          <w:snapToGrid w:val="0"/>
          <w:kern w:val="0"/>
          <w:sz w:val="32"/>
          <w:szCs w:val="32"/>
        </w:rPr>
        <w:t>鼓励矿山企业</w:t>
      </w:r>
      <w:r>
        <w:rPr>
          <w:rFonts w:hint="eastAsia" w:eastAsia="仿宋_GB2312"/>
          <w:bCs/>
          <w:snapToGrid w:val="0"/>
          <w:kern w:val="0"/>
          <w:sz w:val="32"/>
          <w:szCs w:val="32"/>
        </w:rPr>
        <w:t>进行</w:t>
      </w:r>
      <w:r>
        <w:rPr>
          <w:rFonts w:eastAsia="仿宋_GB2312"/>
          <w:bCs/>
          <w:snapToGrid w:val="0"/>
          <w:kern w:val="0"/>
          <w:sz w:val="32"/>
          <w:szCs w:val="32"/>
        </w:rPr>
        <w:t>产业结构调整和转型升级，</w:t>
      </w:r>
      <w:r>
        <w:rPr>
          <w:rFonts w:hint="eastAsia" w:ascii="仿宋_GB2312" w:hAnsi="仿宋" w:eastAsia="仿宋_GB2312"/>
          <w:kern w:val="0"/>
          <w:sz w:val="32"/>
          <w:szCs w:val="32"/>
        </w:rPr>
        <w:t>矿山数量稳定在9个左右。</w:t>
      </w:r>
    </w:p>
    <w:p>
      <w:pPr>
        <w:ind w:firstLine="630" w:firstLineChars="196"/>
        <w:rPr>
          <w:rFonts w:ascii="仿宋_GB2312" w:hAnsi="仿宋" w:eastAsia="仿宋_GB2312"/>
          <w:sz w:val="32"/>
          <w:szCs w:val="32"/>
        </w:rPr>
      </w:pPr>
      <w:r>
        <w:rPr>
          <w:rFonts w:hint="eastAsia" w:ascii="仿宋_GB2312" w:hAnsi="仿宋" w:eastAsia="仿宋_GB2312"/>
          <w:b/>
          <w:bCs/>
          <w:sz w:val="32"/>
          <w:szCs w:val="32"/>
        </w:rPr>
        <w:t>砂石资源：</w:t>
      </w:r>
      <w:r>
        <w:rPr>
          <w:rFonts w:hint="eastAsia" w:ascii="仿宋_GB2312" w:hAnsi="仿宋" w:eastAsia="仿宋_GB2312"/>
          <w:sz w:val="32"/>
          <w:szCs w:val="32"/>
        </w:rPr>
        <w:t>积极推进砂石集约化、规模化、基地化生产，原则上砂石资源基地内新设开采规划区块开采规模不低于500万吨/年，最低服务年限为10年；砂石资源基地以外新设开采规划区块开采规模不低于50万吨/年，最低服务年限为10年；保障重点工程建设项目、民生工程、乡村振兴项目的，生产规模不低于20万吨/年，服务年限与项目工期衔接，项目竣工验收后及时开展矿区生态修复，并按程序注销采矿权。因乡村振兴等原因需突破矿山总数、开采总量和最低开采规模要求的，由县（市、区）政府论证提出意见。为避免规划期内砂石资源“过热、过剩”，建筑用砂石年产量控制在4100万吨以下，建筑砂石类矿山数量控制在17个左右。</w:t>
      </w:r>
    </w:p>
    <w:p>
      <w:pPr>
        <w:ind w:firstLine="643"/>
        <w:jc w:val="left"/>
        <w:rPr>
          <w:rFonts w:eastAsia="仿宋_GB2312"/>
          <w:kern w:val="0"/>
          <w:sz w:val="32"/>
          <w:szCs w:val="32"/>
        </w:rPr>
      </w:pPr>
      <w:r>
        <w:rPr>
          <w:rFonts w:hint="eastAsia" w:ascii="仿宋_GB2312" w:hAnsi="仿宋" w:eastAsia="仿宋_GB2312"/>
          <w:b/>
          <w:bCs/>
          <w:sz w:val="32"/>
          <w:szCs w:val="32"/>
        </w:rPr>
        <w:t>砖瓦用页岩/砖瓦用粘土矿产：</w:t>
      </w:r>
      <w:r>
        <w:rPr>
          <w:rFonts w:hint="eastAsia" w:ascii="仿宋_GB2312" w:hAnsi="仿宋" w:eastAsia="仿宋_GB2312"/>
          <w:sz w:val="32"/>
          <w:szCs w:val="32"/>
        </w:rPr>
        <w:t>新建砖瓦用页岩和砖瓦用粘土矿山生产规模不低于</w:t>
      </w:r>
      <w:r>
        <w:rPr>
          <w:rFonts w:ascii="仿宋_GB2312" w:hAnsi="仿宋" w:eastAsia="仿宋_GB2312"/>
          <w:sz w:val="32"/>
          <w:szCs w:val="32"/>
        </w:rPr>
        <w:t>20</w:t>
      </w:r>
      <w:r>
        <w:rPr>
          <w:rFonts w:hint="eastAsia" w:ascii="仿宋_GB2312" w:hAnsi="仿宋" w:eastAsia="仿宋_GB2312"/>
          <w:sz w:val="32"/>
          <w:szCs w:val="32"/>
        </w:rPr>
        <w:t>万吨/年，服务年限不低于1</w:t>
      </w:r>
      <w:r>
        <w:rPr>
          <w:rFonts w:ascii="仿宋_GB2312" w:hAnsi="仿宋" w:eastAsia="仿宋_GB2312"/>
          <w:sz w:val="32"/>
          <w:szCs w:val="32"/>
        </w:rPr>
        <w:t>0</w:t>
      </w:r>
      <w:r>
        <w:rPr>
          <w:rFonts w:hint="eastAsia" w:ascii="仿宋_GB2312" w:hAnsi="仿宋" w:eastAsia="仿宋_GB2312"/>
          <w:sz w:val="32"/>
          <w:szCs w:val="32"/>
        </w:rPr>
        <w:t>年。到2025年，矿山数量稳定在2个左右。</w:t>
      </w:r>
    </w:p>
    <w:p>
      <w:pPr>
        <w:pStyle w:val="3"/>
        <w:spacing w:before="156" w:after="156"/>
      </w:pPr>
      <w:bookmarkStart w:id="41" w:name="_Toc62744933"/>
      <w:bookmarkStart w:id="42" w:name="_Toc124293472"/>
      <w:r>
        <w:t>第二节  优化开发利用结构</w:t>
      </w:r>
      <w:bookmarkEnd w:id="41"/>
      <w:bookmarkEnd w:id="42"/>
    </w:p>
    <w:p>
      <w:pPr>
        <w:adjustRightInd w:val="0"/>
        <w:spacing w:line="640" w:lineRule="exact"/>
        <w:ind w:firstLine="643"/>
        <w:rPr>
          <w:rFonts w:eastAsia="仿宋_GB2312"/>
          <w:kern w:val="0"/>
          <w:sz w:val="32"/>
          <w:szCs w:val="32"/>
        </w:rPr>
      </w:pPr>
      <w:r>
        <w:rPr>
          <w:rFonts w:hint="eastAsia" w:eastAsia="仿宋_GB2312"/>
          <w:b/>
          <w:kern w:val="0"/>
          <w:sz w:val="32"/>
          <w:szCs w:val="32"/>
        </w:rPr>
        <w:t>优化矿业产业结构</w:t>
      </w:r>
      <w:r>
        <w:rPr>
          <w:rFonts w:hint="eastAsia" w:eastAsia="仿宋_GB2312"/>
          <w:kern w:val="0"/>
          <w:sz w:val="32"/>
          <w:szCs w:val="32"/>
        </w:rPr>
        <w:t>。按照供给侧重改革的要求，结合我县资源分布特点和矿业开发条件，有序有度开发矿产资源，加强矿业空间布局调整，提高矿业产业集中度，节约高效利用资源，推进全县矿业绿色低碳循环发展。在矿业生产领域加强优质供给，减少无效供给，尽快改变中低端产品过剩，高端产品供给不足的现状。以市场化手段推动落后产能兼并重组，转型转产，做大做强优质企业。延长矿业产业链，实现上中下游产业链一体化整合，走探、采、选、加工之路，促进矿山企业从生产原矿向资源高效利用发展。</w:t>
      </w:r>
      <w:r>
        <w:rPr>
          <w:rFonts w:hint="eastAsia" w:ascii="仿宋_GB2312" w:hAnsi="仿宋" w:eastAsia="仿宋_GB2312"/>
          <w:color w:val="000000" w:themeColor="text1"/>
          <w:sz w:val="32"/>
          <w:szCs w:val="32"/>
        </w:rPr>
        <w:t>鼓励长石矿产业向五渡聚集，产品向精细化、高端化发展，毛坪砂石基地在保障砂石资源供应的同时，鼓励企业研发高钙石灰岩、优质玄武岩，确保资源优质优用。</w:t>
      </w:r>
    </w:p>
    <w:p>
      <w:pPr>
        <w:adjustRightInd w:val="0"/>
        <w:spacing w:line="640" w:lineRule="exact"/>
        <w:ind w:firstLine="643"/>
        <w:rPr>
          <w:rFonts w:ascii="仿宋_GB2312" w:hAnsi="Calibri" w:eastAsia="仿宋_GB2312"/>
          <w:sz w:val="32"/>
          <w:szCs w:val="32"/>
        </w:rPr>
      </w:pPr>
      <w:r>
        <w:rPr>
          <w:rFonts w:hint="eastAsia" w:ascii="仿宋_GB2312" w:hAnsi="Calibri" w:eastAsia="仿宋_GB2312"/>
          <w:b/>
          <w:bCs/>
          <w:sz w:val="32"/>
          <w:szCs w:val="32"/>
        </w:rPr>
        <w:t>优化矿山规模结构</w:t>
      </w:r>
      <w:r>
        <w:rPr>
          <w:rFonts w:hint="eastAsia" w:eastAsia="仿宋_GB2312"/>
          <w:kern w:val="0"/>
          <w:sz w:val="32"/>
          <w:szCs w:val="32"/>
        </w:rPr>
        <w:t>。</w:t>
      </w:r>
      <w:r>
        <w:rPr>
          <w:rFonts w:hint="eastAsia" w:ascii="仿宋_GB2312" w:hAnsi="仿宋" w:eastAsia="仿宋_GB2312"/>
          <w:sz w:val="32"/>
          <w:szCs w:val="32"/>
        </w:rPr>
        <w:t>严格实行矿区(床)矿产资源开发集约经营、规模开采的规划准入要求，达不到矿山最低开采规模、最低服务年限等规划准入条件的矿产资源开采项目，不得新设立采矿权，</w:t>
      </w:r>
      <w:r>
        <w:rPr>
          <w:rFonts w:hint="eastAsia" w:ascii="仿宋_GB2312" w:hAnsi="仿宋" w:eastAsia="仿宋_GB2312"/>
          <w:kern w:val="0"/>
          <w:sz w:val="32"/>
          <w:szCs w:val="32"/>
        </w:rPr>
        <w:t>坚持开采规模与储量规模相适应的原则，严格执行矿山最低开采规模制度，严禁大矿小开、一矿多开</w:t>
      </w:r>
      <w:r>
        <w:rPr>
          <w:rFonts w:hint="eastAsia" w:ascii="仿宋_GB2312" w:hAnsi="仿宋" w:eastAsia="仿宋_GB2312"/>
          <w:sz w:val="32"/>
          <w:szCs w:val="32"/>
        </w:rPr>
        <w:t>。进一步优化矿业结构，合理控制矿产资源开发利用强度和矿业权总数，提高矿山规模化集约化程度，达不到规定的最低生产规模的矿山或影响整体布局的矿山，不再扩大生产规模，到期后不再延续，鼓励小型矿山通过联合、改组、兼并等方式向规模化、集约化发展。逐步关闭资源枯竭、“三率”不达标、私自超范围开采、严重破坏环境等问题突出的小型矿山</w:t>
      </w:r>
      <w:r>
        <w:rPr>
          <w:rFonts w:hint="eastAsia" w:ascii="仿宋_GB2312" w:hAnsi="Calibri" w:eastAsia="仿宋_GB2312"/>
          <w:sz w:val="32"/>
          <w:szCs w:val="32"/>
        </w:rPr>
        <w:t>。</w:t>
      </w:r>
      <w:bookmarkStart w:id="43" w:name="_Toc109311667"/>
    </w:p>
    <w:p>
      <w:pPr>
        <w:pStyle w:val="3"/>
        <w:spacing w:before="156" w:after="156"/>
      </w:pPr>
      <w:bookmarkStart w:id="44" w:name="_Toc124293473"/>
      <w:r>
        <w:t>第</w:t>
      </w:r>
      <w:r>
        <w:rPr>
          <w:rFonts w:hint="eastAsia"/>
        </w:rPr>
        <w:t>三</w:t>
      </w:r>
      <w:r>
        <w:t>节</w:t>
      </w:r>
      <w:r>
        <w:rPr>
          <w:rFonts w:hint="eastAsia"/>
        </w:rPr>
        <w:t xml:space="preserve">  节约与综合利用矿产资源</w:t>
      </w:r>
      <w:bookmarkEnd w:id="43"/>
      <w:bookmarkEnd w:id="44"/>
    </w:p>
    <w:p>
      <w:pPr>
        <w:ind w:firstLine="643"/>
        <w:jc w:val="left"/>
        <w:rPr>
          <w:rFonts w:ascii="仿宋_GB2312" w:hAnsi="仿宋" w:eastAsia="仿宋_GB2312"/>
          <w:kern w:val="0"/>
          <w:sz w:val="32"/>
          <w:szCs w:val="32"/>
        </w:rPr>
      </w:pPr>
      <w:r>
        <w:rPr>
          <w:rFonts w:hint="eastAsia" w:ascii="仿宋_GB2312" w:hAnsi="仿宋" w:eastAsia="仿宋_GB2312"/>
          <w:b/>
          <w:sz w:val="32"/>
          <w:szCs w:val="32"/>
        </w:rPr>
        <w:t>提高矿产资源“三率”水平。</w:t>
      </w:r>
      <w:r>
        <w:rPr>
          <w:rFonts w:hint="eastAsia" w:ascii="仿宋_GB2312" w:hAnsi="仿宋" w:eastAsia="仿宋_GB2312"/>
          <w:sz w:val="32"/>
          <w:szCs w:val="32"/>
        </w:rPr>
        <w:t>积极推行先进、适用的采选加工技术，鼓励发展低品位、难选冶矿利用技术，进一步提高资源存量，发展尾矿等固体废弃物综合利用技术，构建多元化产业体系，</w:t>
      </w:r>
      <w:r>
        <w:rPr>
          <w:rFonts w:hint="eastAsia" w:ascii="仿宋_GB2312" w:hAnsi="仿宋" w:eastAsia="仿宋_GB2312" w:cs="宋体"/>
          <w:kern w:val="0"/>
          <w:sz w:val="32"/>
          <w:szCs w:val="32"/>
        </w:rPr>
        <w:t>研发与目前矿产品市场相匹配的低成本、高效率开发利用技术，实现低</w:t>
      </w:r>
      <w:r>
        <w:rPr>
          <w:rFonts w:hint="eastAsia" w:ascii="仿宋_GB2312" w:hAnsi="仿宋" w:eastAsia="仿宋_GB2312"/>
          <w:sz w:val="32"/>
          <w:szCs w:val="32"/>
        </w:rPr>
        <w:t>品位矿石的有效利用。鼓励发展节能、节材、节水、降耗技术和工艺，推广应用清洁生产和安全高效的生产技术。进一步淘汰落后设备、技术、工艺和方法。到2025年，全县矿山开采回采率、选矿回收率和综合利用率达标率达到90%以上。</w:t>
      </w:r>
    </w:p>
    <w:p>
      <w:pPr>
        <w:ind w:firstLine="643"/>
        <w:rPr>
          <w:rFonts w:ascii="仿宋_GB2312" w:hAnsi="Calibri" w:eastAsia="仿宋_GB2312"/>
          <w:sz w:val="32"/>
          <w:szCs w:val="32"/>
        </w:rPr>
      </w:pPr>
      <w:r>
        <w:rPr>
          <w:rFonts w:hint="eastAsia" w:ascii="仿宋_GB2312" w:hAnsi="Calibri" w:eastAsia="仿宋_GB2312"/>
          <w:b/>
          <w:sz w:val="32"/>
          <w:szCs w:val="32"/>
        </w:rPr>
        <w:t>加强低品位、共伴生矿产综合勘查与利用。</w:t>
      </w:r>
      <w:r>
        <w:rPr>
          <w:rFonts w:hint="eastAsia" w:ascii="仿宋_GB2312" w:hAnsi="Calibri" w:eastAsia="仿宋_GB2312"/>
          <w:sz w:val="32"/>
          <w:szCs w:val="32"/>
        </w:rPr>
        <w:t>矿床勘探应当对区内具有工业价值的共、伴生和低品位矿产进行综合评价，未做综合评价的查地质报告不予通过评审，勘查许可证证载矿种以外的可利用共生矿产资源，须按有关规定办理许可手续，提升共伴生、低品位矿产的综合利用水平。</w:t>
      </w:r>
    </w:p>
    <w:p>
      <w:pPr>
        <w:ind w:firstLine="643"/>
        <w:rPr>
          <w:rFonts w:ascii="仿宋_GB2312" w:hAnsi="Calibri" w:eastAsia="仿宋_GB2312"/>
          <w:sz w:val="32"/>
          <w:szCs w:val="32"/>
        </w:rPr>
      </w:pPr>
      <w:r>
        <w:rPr>
          <w:rFonts w:hint="eastAsia" w:ascii="仿宋_GB2312" w:hAnsi="Calibri" w:eastAsia="仿宋_GB2312"/>
          <w:b/>
          <w:sz w:val="32"/>
          <w:szCs w:val="32"/>
        </w:rPr>
        <w:t>加强矿山固体废弃物、尾矿资源和废水利用。</w:t>
      </w:r>
      <w:r>
        <w:rPr>
          <w:rFonts w:hint="eastAsia" w:ascii="仿宋_GB2312" w:hAnsi="Calibri" w:eastAsia="仿宋_GB2312"/>
          <w:sz w:val="32"/>
          <w:szCs w:val="32"/>
        </w:rPr>
        <w:t>鼓励矿山企业内部或不同企业之间的原料、产品、排放物合理循环，充分利用矿山固体废弃物和尾矿资源中有用元素，通过废弃物减量化、无害化和资源化处理，促进资源环境协调发展。重点开展金属矿山、非金属矿山固体废弃物的综合利用，推广尾矿充填。加强矿山废水循环利用，矿业用水复用率提高到100%。</w:t>
      </w:r>
      <w:bookmarkStart w:id="45" w:name="_Toc62744934"/>
    </w:p>
    <w:bookmarkEnd w:id="45"/>
    <w:p>
      <w:pPr>
        <w:pStyle w:val="3"/>
        <w:spacing w:before="156" w:after="156"/>
      </w:pPr>
      <w:bookmarkStart w:id="46" w:name="_Toc124293474"/>
      <w:r>
        <w:rPr>
          <w:rFonts w:hint="eastAsia"/>
        </w:rPr>
        <w:t xml:space="preserve">第四节  </w:t>
      </w:r>
      <w:r>
        <w:t>持续推进矿产资源管理改革</w:t>
      </w:r>
      <w:bookmarkEnd w:id="46"/>
    </w:p>
    <w:p>
      <w:pPr>
        <w:ind w:firstLine="643"/>
        <w:rPr>
          <w:rFonts w:ascii="仿宋_GB2312" w:eastAsia="仿宋_GB2312"/>
          <w:sz w:val="32"/>
          <w:szCs w:val="32"/>
        </w:rPr>
      </w:pPr>
      <w:r>
        <w:rPr>
          <w:rFonts w:hint="eastAsia" w:ascii="仿宋_GB2312" w:eastAsia="仿宋_GB2312"/>
          <w:b/>
          <w:bCs/>
          <w:sz w:val="32"/>
          <w:szCs w:val="32"/>
        </w:rPr>
        <w:t>落实推进“放管服”改革。</w:t>
      </w:r>
      <w:r>
        <w:rPr>
          <w:rFonts w:hint="eastAsia" w:ascii="仿宋_GB2312" w:eastAsia="仿宋_GB2312"/>
          <w:sz w:val="32"/>
          <w:szCs w:val="32"/>
        </w:rPr>
        <w:t>深入推进依法行政，依法推行综合执法，履行自然资源“两统一”职责，严格执行自然资源管理权力清单和责任清单制度。优化审批程序，推进三级联网审批。落实地质勘查活动监督管理办法。探索矿山开发利用方案、矿山地质环境保护与土地复垦方案、绿色矿山建设方案合并编制，提高审批效率。建立绿色矿业发展长效机制、矿业权人履行矿区生态修复法定义务约束机制。</w:t>
      </w:r>
    </w:p>
    <w:p>
      <w:pPr>
        <w:ind w:firstLine="643"/>
        <w:rPr>
          <w:rFonts w:ascii="仿宋_GB2312" w:eastAsia="仿宋_GB2312"/>
          <w:sz w:val="32"/>
          <w:szCs w:val="32"/>
        </w:rPr>
      </w:pPr>
      <w:r>
        <w:rPr>
          <w:rFonts w:hint="eastAsia" w:ascii="仿宋_GB2312" w:eastAsia="仿宋_GB2312"/>
          <w:b/>
          <w:bCs/>
          <w:sz w:val="32"/>
          <w:szCs w:val="32"/>
        </w:rPr>
        <w:t>完善矿业权市场制度。</w:t>
      </w:r>
      <w:r>
        <w:rPr>
          <w:rFonts w:hint="eastAsia" w:ascii="仿宋_GB2312" w:eastAsia="仿宋_GB2312"/>
          <w:sz w:val="32"/>
          <w:szCs w:val="32"/>
        </w:rPr>
        <w:t>充分发挥市场引导作用，推进矿业市场和秩序良性发展，深化矿产资源管理体制改革，处理好政府、企业和社会的关系，明晰政府角色定位，形成多层面分工协作、责任共担的职责体系。建立矿产资源市场监测与供需形势分析机制，以市场需求为导向，适时适量投放矿业权。贯彻落实国务院矿产资源权益金制度改革方案，执行部、省两级关于矿业权出让收益征收的相关政策。</w:t>
      </w:r>
    </w:p>
    <w:p>
      <w:pPr>
        <w:ind w:firstLine="643"/>
        <w:rPr>
          <w:rFonts w:ascii="仿宋_GB2312" w:eastAsia="仿宋_GB2312"/>
          <w:sz w:val="32"/>
          <w:szCs w:val="32"/>
        </w:rPr>
      </w:pPr>
      <w:r>
        <w:rPr>
          <w:rFonts w:hint="eastAsia" w:ascii="仿宋_GB2312" w:eastAsia="仿宋_GB2312"/>
          <w:b/>
          <w:bCs/>
          <w:sz w:val="32"/>
          <w:szCs w:val="32"/>
        </w:rPr>
        <w:t>鼓励社会资本投入矿产勘查。</w:t>
      </w:r>
      <w:r>
        <w:rPr>
          <w:rFonts w:hint="eastAsia" w:ascii="仿宋_GB2312" w:eastAsia="仿宋_GB2312"/>
          <w:sz w:val="32"/>
          <w:szCs w:val="32"/>
        </w:rPr>
        <w:t>进一步开放矿产勘查市场，鼓励、支持和引导社会资本投入地质勘查工作。鼓励社会资本自主组建勘查单位，开展矿产勘查，积极推进资本和技术有机结合，形成多渠道矿产勘查投入新机制。</w:t>
      </w:r>
    </w:p>
    <w:p>
      <w:pPr>
        <w:ind w:firstLine="643"/>
        <w:rPr>
          <w:rFonts w:ascii="仿宋_GB2312" w:eastAsia="仿宋_GB2312"/>
          <w:sz w:val="32"/>
          <w:szCs w:val="32"/>
        </w:rPr>
      </w:pPr>
      <w:r>
        <w:rPr>
          <w:rFonts w:hint="eastAsia" w:ascii="仿宋_GB2312" w:eastAsia="仿宋_GB2312"/>
          <w:b/>
          <w:bCs/>
          <w:sz w:val="32"/>
          <w:szCs w:val="32"/>
        </w:rPr>
        <w:t>强化地质勘查活动监督管理。</w:t>
      </w:r>
      <w:r>
        <w:rPr>
          <w:rFonts w:hint="eastAsia" w:ascii="仿宋_GB2312" w:eastAsia="仿宋_GB2312"/>
          <w:sz w:val="32"/>
          <w:szCs w:val="32"/>
        </w:rPr>
        <w:t>充分发挥政策对地勘行业诚信建设的保障作用。落实诚信监督机制和失信惩戒制度，实行政府和行业协会相结合、以政府监管为主的诚信体系，针对性采取奖惩措施，协助行业诚信体系的建立与完善。推进行业信用信息系统建设，协助制定矿产资源领域统一的失信行为清单和标准，对失信行为进行分级管理，执行相关制度对不同级别的失信主体实施与之相适应的惩戒措施。</w:t>
      </w:r>
    </w:p>
    <w:p>
      <w:pPr>
        <w:ind w:firstLine="643"/>
        <w:rPr>
          <w:rFonts w:ascii="仿宋_GB2312" w:hAnsi="宋体" w:eastAsia="仿宋_GB2312"/>
          <w:bCs/>
          <w:snapToGrid w:val="0"/>
          <w:kern w:val="0"/>
          <w:sz w:val="32"/>
          <w:szCs w:val="32"/>
        </w:rPr>
      </w:pPr>
      <w:r>
        <w:rPr>
          <w:rFonts w:hint="eastAsia" w:ascii="仿宋_GB2312" w:eastAsia="仿宋_GB2312"/>
          <w:b/>
          <w:bCs/>
          <w:sz w:val="32"/>
          <w:szCs w:val="32"/>
        </w:rPr>
        <w:t>落实矿产资源储量管理一体化建设。</w:t>
      </w:r>
      <w:r>
        <w:rPr>
          <w:rFonts w:hint="eastAsia" w:ascii="仿宋_GB2312" w:eastAsia="仿宋_GB2312"/>
          <w:sz w:val="32"/>
          <w:szCs w:val="32"/>
        </w:rPr>
        <w:t>落实开展矿产资源国情调查，全面清理和重构矿产资源储量数据库工作，夯实管理基础。严格执行矿产资源储量评审备案管理办法，进一步优化评审备案工作程序，提高效率、把控质量，实现矿产资源动态监管。</w:t>
      </w:r>
      <w:r>
        <w:rPr>
          <w:rFonts w:hint="eastAsia" w:ascii="仿宋_GB2312" w:hAnsi="Calibri" w:eastAsia="仿宋_GB2312"/>
          <w:bCs/>
          <w:sz w:val="32"/>
          <w:szCs w:val="32"/>
        </w:rPr>
        <w:t>按照部、省、市对我县储量评审备案工作的指导和质量管控要求，落实储量动态监测和储量统计管理办法，全面提升储量统计质量。</w:t>
      </w:r>
    </w:p>
    <w:p>
      <w:pPr>
        <w:pStyle w:val="3"/>
        <w:spacing w:before="156" w:after="156"/>
      </w:pPr>
      <w:bookmarkStart w:id="47" w:name="_Toc109311669"/>
      <w:bookmarkStart w:id="48" w:name="_Toc124293475"/>
      <w:bookmarkStart w:id="49" w:name="_Toc123749352"/>
      <w:bookmarkStart w:id="50" w:name="_Toc115018971"/>
      <w:r>
        <w:rPr>
          <w:rFonts w:hint="eastAsia"/>
        </w:rPr>
        <w:t xml:space="preserve">第五节  </w:t>
      </w:r>
      <w:r>
        <w:t>严格矿产资源勘查开发管理</w:t>
      </w:r>
      <w:bookmarkEnd w:id="47"/>
      <w:bookmarkEnd w:id="48"/>
      <w:bookmarkEnd w:id="49"/>
      <w:bookmarkEnd w:id="50"/>
    </w:p>
    <w:p>
      <w:pPr>
        <w:ind w:firstLine="643"/>
        <w:rPr>
          <w:rFonts w:ascii="仿宋_GB2312" w:eastAsia="仿宋_GB2312"/>
          <w:sz w:val="32"/>
          <w:szCs w:val="32"/>
        </w:rPr>
      </w:pPr>
      <w:r>
        <w:rPr>
          <w:rFonts w:ascii="仿宋_GB2312" w:eastAsia="仿宋_GB2312"/>
          <w:b/>
          <w:bCs/>
          <w:sz w:val="32"/>
          <w:szCs w:val="32"/>
        </w:rPr>
        <w:t>规范矿业权出让登记管理</w:t>
      </w:r>
      <w:r>
        <w:rPr>
          <w:rFonts w:hint="eastAsia" w:ascii="仿宋_GB2312" w:eastAsia="仿宋_GB2312"/>
          <w:b/>
          <w:bCs/>
          <w:sz w:val="32"/>
          <w:szCs w:val="32"/>
        </w:rPr>
        <w:t>。</w:t>
      </w:r>
      <w:r>
        <w:rPr>
          <w:rFonts w:ascii="仿宋_GB2312" w:eastAsia="仿宋_GB2312"/>
          <w:sz w:val="32"/>
          <w:szCs w:val="32"/>
        </w:rPr>
        <w:t>严格限定协议出让范围，贯彻落实《自然资源部关于推进矿产资源管理改革若干事项的意见（试行）》。</w:t>
      </w:r>
      <w:r>
        <w:rPr>
          <w:rFonts w:hint="eastAsia" w:ascii="仿宋_GB2312" w:hAnsi="宋体" w:eastAsia="仿宋_GB2312"/>
          <w:bCs/>
          <w:snapToGrid w:val="0"/>
          <w:kern w:val="0"/>
          <w:sz w:val="32"/>
          <w:szCs w:val="32"/>
        </w:rPr>
        <w:t>积极推进矿产资源“净矿”出让工作，严格依据出让登记权限管理矿业权，做好矿业权出让前的踏勘、论证、审核与备案等工作</w:t>
      </w:r>
      <w:r>
        <w:rPr>
          <w:rFonts w:ascii="仿宋_GB2312" w:eastAsia="仿宋_GB2312"/>
          <w:sz w:val="32"/>
          <w:szCs w:val="32"/>
        </w:rPr>
        <w:t>。</w:t>
      </w:r>
    </w:p>
    <w:p>
      <w:pPr>
        <w:ind w:firstLine="630" w:firstLineChars="196"/>
        <w:rPr>
          <w:rFonts w:ascii="仿宋_GB2312" w:hAnsi="仿宋" w:eastAsia="仿宋_GB2312"/>
          <w:sz w:val="32"/>
          <w:szCs w:val="32"/>
        </w:rPr>
      </w:pPr>
      <w:r>
        <w:rPr>
          <w:rFonts w:hint="eastAsia" w:ascii="仿宋_GB2312" w:hAnsi="仿宋" w:eastAsia="仿宋_GB2312"/>
          <w:b/>
          <w:sz w:val="32"/>
          <w:szCs w:val="32"/>
        </w:rPr>
        <w:t>严格执行矿业权退出机制。</w:t>
      </w:r>
      <w:r>
        <w:rPr>
          <w:rFonts w:hint="eastAsia" w:ascii="仿宋_GB2312" w:hAnsi="仿宋" w:eastAsia="仿宋_GB2312"/>
          <w:sz w:val="32"/>
          <w:szCs w:val="32"/>
        </w:rPr>
        <w:t>严格矿业权出让合同制度,采矿权合同中应明确要求采矿权人按照安全生产、环境保护和水土保持“三同时”制度建设矿山，并就矿产资源开发利用与保护、绿色矿山建设、矿山地质环境保护与土地复垦做出具体约定，明确违约责任。加强对到期未申请延续、关停未注销矿业权的清理销号工作。</w:t>
      </w:r>
    </w:p>
    <w:p>
      <w:pPr>
        <w:ind w:firstLine="643"/>
        <w:rPr>
          <w:rFonts w:eastAsia="仿宋_GB2312"/>
          <w:sz w:val="28"/>
          <w:szCs w:val="28"/>
        </w:rPr>
      </w:pPr>
      <w:r>
        <w:rPr>
          <w:rFonts w:hint="eastAsia" w:ascii="仿宋_GB2312" w:hAnsi="仿宋" w:eastAsia="仿宋_GB2312"/>
          <w:b/>
          <w:bCs/>
          <w:sz w:val="32"/>
          <w:szCs w:val="32"/>
        </w:rPr>
        <w:t>加强矿产资源规划数据库建设。</w:t>
      </w:r>
      <w:r>
        <w:rPr>
          <w:rFonts w:hint="eastAsia" w:ascii="仿宋_GB2312" w:hAnsi="仿宋" w:eastAsia="仿宋_GB2312"/>
          <w:sz w:val="32"/>
          <w:szCs w:val="32"/>
        </w:rPr>
        <w:t>严格按照数据库建设标准，建设标准统一的矿产资源规划数据库，做好规划数据库与矿业权出让项目库相衔接，将拟出让矿业权项目及时纳入规划数据库</w:t>
      </w:r>
      <w:r>
        <w:rPr>
          <w:rFonts w:ascii="仿宋_GB2312" w:eastAsia="仿宋_GB2312"/>
          <w:sz w:val="32"/>
          <w:szCs w:val="32"/>
        </w:rPr>
        <w:t>。</w:t>
      </w:r>
    </w:p>
    <w:p>
      <w:pPr>
        <w:adjustRightInd w:val="0"/>
        <w:spacing w:line="640" w:lineRule="exact"/>
        <w:ind w:firstLine="640"/>
        <w:rPr>
          <w:rFonts w:eastAsia="仿宋_GB2312"/>
          <w:sz w:val="32"/>
          <w:szCs w:val="32"/>
        </w:rPr>
        <w:sectPr>
          <w:pgSz w:w="11906" w:h="16838"/>
          <w:pgMar w:top="1440" w:right="1800" w:bottom="1440" w:left="1800" w:header="851" w:footer="992" w:gutter="0"/>
          <w:cols w:space="425" w:num="1"/>
          <w:docGrid w:type="lines" w:linePitch="312" w:charSpace="0"/>
        </w:sectPr>
      </w:pPr>
    </w:p>
    <w:p>
      <w:pPr>
        <w:pStyle w:val="2"/>
      </w:pPr>
      <w:bookmarkStart w:id="51" w:name="_Toc62744935"/>
      <w:bookmarkStart w:id="52" w:name="_Toc124293476"/>
      <w:r>
        <w:t>第五章 绿色矿山建设和矿区生态保护</w:t>
      </w:r>
      <w:bookmarkEnd w:id="51"/>
      <w:bookmarkEnd w:id="52"/>
    </w:p>
    <w:p>
      <w:pPr>
        <w:pStyle w:val="3"/>
        <w:spacing w:before="156" w:after="156"/>
      </w:pPr>
      <w:bookmarkStart w:id="53" w:name="_Toc62744936"/>
      <w:bookmarkStart w:id="54" w:name="_Toc124293477"/>
      <w:r>
        <w:t>第一节  绿色矿山建设</w:t>
      </w:r>
      <w:bookmarkEnd w:id="53"/>
      <w:bookmarkEnd w:id="54"/>
    </w:p>
    <w:p>
      <w:pPr>
        <w:ind w:firstLine="640"/>
        <w:rPr>
          <w:rFonts w:ascii="仿宋_GB2312" w:eastAsia="仿宋_GB2312"/>
          <w:bCs/>
          <w:snapToGrid w:val="0"/>
          <w:kern w:val="0"/>
          <w:sz w:val="32"/>
          <w:szCs w:val="32"/>
        </w:rPr>
      </w:pPr>
      <w:r>
        <w:rPr>
          <w:rFonts w:hint="eastAsia" w:ascii="仿宋_GB2312" w:eastAsia="仿宋_GB2312"/>
          <w:bCs/>
          <w:snapToGrid w:val="0"/>
          <w:kern w:val="0"/>
          <w:sz w:val="32"/>
          <w:szCs w:val="32"/>
        </w:rPr>
        <w:t>矿山企业要按照绿色矿山建设要求，在自然资源管理部门的指导下，结合本地矿山企业发展目标和进程，循序渐进、因地制宜，编制绿色矿山建设发展规划，从提高资源利用水平、节能减排、保护生态环境和矿山地质环境、保障民生、创建和谐社区等角度出发，明确具体工作任务、安排、进度和措施，按照规划积极推进各项工作，力争实现绿色矿山建设目标。</w:t>
      </w:r>
    </w:p>
    <w:p>
      <w:pPr>
        <w:ind w:firstLine="643"/>
        <w:rPr>
          <w:rFonts w:ascii="仿宋_GB2312" w:eastAsia="仿宋_GB2312"/>
          <w:bCs/>
          <w:snapToGrid w:val="0"/>
          <w:kern w:val="0"/>
          <w:sz w:val="32"/>
          <w:szCs w:val="32"/>
        </w:rPr>
      </w:pPr>
      <w:r>
        <w:rPr>
          <w:rFonts w:hint="eastAsia" w:ascii="仿宋_GB2312" w:eastAsia="仿宋_GB2312"/>
          <w:b/>
          <w:snapToGrid w:val="0"/>
          <w:kern w:val="0"/>
          <w:sz w:val="32"/>
          <w:szCs w:val="32"/>
        </w:rPr>
        <w:t>积极推进绿色矿山建设。</w:t>
      </w:r>
      <w:r>
        <w:rPr>
          <w:rFonts w:hint="eastAsia" w:ascii="仿宋_GB2312" w:eastAsia="仿宋_GB2312"/>
          <w:bCs/>
          <w:snapToGrid w:val="0"/>
          <w:kern w:val="0"/>
          <w:sz w:val="32"/>
          <w:szCs w:val="32"/>
        </w:rPr>
        <w:t>妥善协调、积极配合上级自然资源主管部门的部署，健全管理机制、全面推进全县绿色矿山建设工作。引导矿山企业切实履行资源环境保护责任，激发矿山企业绿色发展的动力，转变发展观念，加快转型升级，积极开展绿色矿山建设工作。</w:t>
      </w:r>
      <w:r>
        <w:rPr>
          <w:rFonts w:hint="eastAsia" w:ascii="仿宋_GB2312" w:hAnsi="仿宋" w:eastAsia="仿宋_GB2312" w:cs="AdobeHeitiStd-Regular"/>
          <w:kern w:val="0"/>
          <w:sz w:val="32"/>
          <w:szCs w:val="32"/>
        </w:rPr>
        <w:t>到2025年，新建矿山必须达到绿色矿山建设标准。</w:t>
      </w:r>
      <w:r>
        <w:rPr>
          <w:rFonts w:ascii="仿宋_GB2312" w:eastAsia="仿宋_GB2312"/>
          <w:bCs/>
          <w:snapToGrid w:val="0"/>
          <w:kern w:val="0"/>
          <w:sz w:val="32"/>
          <w:szCs w:val="32"/>
        </w:rPr>
        <w:t xml:space="preserve"> </w:t>
      </w:r>
    </w:p>
    <w:p>
      <w:pPr>
        <w:ind w:firstLine="643"/>
        <w:rPr>
          <w:rFonts w:ascii="仿宋_GB2312" w:hAnsi="仿宋" w:eastAsia="仿宋_GB2312"/>
          <w:bCs/>
          <w:snapToGrid w:val="0"/>
          <w:kern w:val="0"/>
          <w:sz w:val="32"/>
          <w:szCs w:val="32"/>
        </w:rPr>
      </w:pPr>
      <w:r>
        <w:rPr>
          <w:rFonts w:hint="eastAsia" w:ascii="仿宋_GB2312" w:hAnsi="仿宋" w:eastAsia="仿宋_GB2312"/>
          <w:b/>
          <w:snapToGrid w:val="0"/>
          <w:kern w:val="0"/>
          <w:sz w:val="32"/>
          <w:szCs w:val="32"/>
        </w:rPr>
        <w:t>严格执行绿色矿山建设条件和标准。</w:t>
      </w:r>
      <w:r>
        <w:rPr>
          <w:rFonts w:hint="eastAsia" w:ascii="仿宋_GB2312" w:hAnsi="仿宋" w:eastAsia="仿宋_GB2312"/>
          <w:sz w:val="32"/>
          <w:szCs w:val="32"/>
        </w:rPr>
        <w:t>全面推进绿色矿山建设工作，严格执行绿色矿山评价指标</w:t>
      </w:r>
      <w:r>
        <w:rPr>
          <w:rFonts w:hint="eastAsia" w:ascii="仿宋_GB2312" w:hAnsi="仿宋" w:eastAsia="仿宋_GB2312"/>
          <w:bCs/>
          <w:snapToGrid w:val="0"/>
          <w:kern w:val="0"/>
          <w:sz w:val="32"/>
          <w:szCs w:val="32"/>
        </w:rPr>
        <w:t>，新建矿山必须按照绿色矿山的标准进行规划和建设，鼓励基础条件较好的大中型矿山积极申报省级绿色矿山，引导小型矿山按绿色矿山建设要求逐步建成绿色矿山，按照部、省、市发展绿色矿业、建设绿色矿山的要求，参照绿色矿山建设的基本条件、评估标准、申报及命名管理办法等，将绿色矿山建设的各项工作落到实处。</w:t>
      </w:r>
    </w:p>
    <w:p>
      <w:pPr>
        <w:adjustRightInd w:val="0"/>
        <w:spacing w:line="640" w:lineRule="exact"/>
        <w:ind w:firstLine="643"/>
        <w:rPr>
          <w:rFonts w:ascii="仿宋_GB2312" w:eastAsia="仿宋_GB2312"/>
          <w:sz w:val="32"/>
          <w:szCs w:val="32"/>
        </w:rPr>
      </w:pPr>
      <w:r>
        <w:rPr>
          <w:rFonts w:hint="eastAsia" w:ascii="仿宋_GB2312" w:hAnsi="仿宋" w:eastAsia="仿宋_GB2312"/>
          <w:b/>
          <w:bCs/>
          <w:sz w:val="32"/>
          <w:szCs w:val="32"/>
        </w:rPr>
        <w:t>强化公众参与。</w:t>
      </w:r>
      <w:r>
        <w:rPr>
          <w:rFonts w:hint="eastAsia" w:ascii="仿宋_GB2312" w:hAnsi="仿宋" w:eastAsia="仿宋_GB2312"/>
          <w:sz w:val="32"/>
          <w:szCs w:val="32"/>
        </w:rPr>
        <w:t>在自然资源局门户网站上宣传、发布绿色矿山建设的相关内容和信息，及时向社会发布和展示在建绿色矿山的建设进度和成果</w:t>
      </w:r>
      <w:r>
        <w:rPr>
          <w:rFonts w:ascii="仿宋_GB2312" w:eastAsia="仿宋_GB2312"/>
          <w:sz w:val="32"/>
          <w:szCs w:val="32"/>
        </w:rPr>
        <w:t>。</w:t>
      </w:r>
      <w:bookmarkStart w:id="55" w:name="_Toc62744938"/>
    </w:p>
    <w:p>
      <w:pPr>
        <w:pStyle w:val="3"/>
        <w:spacing w:before="156" w:after="156"/>
      </w:pPr>
      <w:bookmarkStart w:id="56" w:name="_Toc124293478"/>
      <w:r>
        <w:t>第</w:t>
      </w:r>
      <w:r>
        <w:rPr>
          <w:rFonts w:hint="eastAsia"/>
        </w:rPr>
        <w:t>二</w:t>
      </w:r>
      <w:r>
        <w:t>节  矿区生态保护修复</w:t>
      </w:r>
      <w:bookmarkEnd w:id="55"/>
      <w:bookmarkEnd w:id="56"/>
    </w:p>
    <w:p>
      <w:pPr>
        <w:pStyle w:val="22"/>
        <w:spacing w:before="0" w:beforeAutospacing="0" w:after="0" w:afterAutospacing="0"/>
        <w:ind w:firstLine="640"/>
        <w:jc w:val="both"/>
        <w:rPr>
          <w:rFonts w:ascii="仿宋_GB2312" w:eastAsia="仿宋_GB2312"/>
          <w:sz w:val="32"/>
          <w:szCs w:val="32"/>
        </w:rPr>
      </w:pPr>
      <w:bookmarkStart w:id="57" w:name="_Toc62744939"/>
      <w:r>
        <w:rPr>
          <w:rFonts w:ascii="仿宋_GB2312" w:eastAsia="仿宋_GB2312"/>
          <w:sz w:val="32"/>
          <w:szCs w:val="32"/>
        </w:rPr>
        <w:t>加强矿区生态保护修复，查清矿山环境污染、破坏区域，恢复治理区域类型和恢复治理工程等级，确定矿山环境恢复治理的控制指标，有的放失地督促矿山加强矿山地质环境保护，矿山地质环境的恢复治理，积极推进矿山土地复垦，建立矿山环境保护与治理恢复长效机制。</w:t>
      </w:r>
    </w:p>
    <w:p>
      <w:pPr>
        <w:ind w:firstLine="643"/>
        <w:rPr>
          <w:rFonts w:ascii="仿宋_GB2312" w:eastAsia="仿宋_GB2312"/>
          <w:sz w:val="32"/>
          <w:szCs w:val="32"/>
        </w:rPr>
      </w:pPr>
      <w:r>
        <w:rPr>
          <w:rFonts w:hint="eastAsia" w:ascii="仿宋_GB2312" w:eastAsia="仿宋_GB2312"/>
          <w:b/>
          <w:bCs/>
          <w:sz w:val="32"/>
          <w:szCs w:val="32"/>
        </w:rPr>
        <w:t>加强在建与生产矿山生态修复管理。</w:t>
      </w:r>
      <w:r>
        <w:rPr>
          <w:rFonts w:hint="eastAsia" w:ascii="仿宋_GB2312" w:eastAsia="仿宋_GB2312"/>
          <w:sz w:val="32"/>
          <w:szCs w:val="32"/>
        </w:rPr>
        <w:t>严格执行四川省在建与生产矿山生态修复管理办法，落实矿山生态修复的企业主体责任，</w:t>
      </w:r>
      <w:r>
        <w:rPr>
          <w:rFonts w:hint="eastAsia" w:ascii="仿宋_GB2312" w:hAnsi="仿宋" w:eastAsia="仿宋_GB2312"/>
          <w:sz w:val="32"/>
          <w:szCs w:val="32"/>
        </w:rPr>
        <w:t>新建、在建及生产矿山应严格把矿山地质环境和生态修复治理落实到实处，按要求编制矿山地质环境保护与土地复垦方案，并按照方案进行矿山生态、地质环境恢复治理和矿区土地复垦，建立矿山地质环境和生态保护治理恢复长效机制。健全与矿山地质环境管理相适应的管理制度，不断完善矿山地质环境和生态保护与治理修复的技术规范和标准，建立矿山生态环境科学监管体系，不断强化矿山企业环保意识，贯彻落实“边开发、边治理，预防为主，防治结合”的矿产资源开发和生态环境保护原则。使县内矿山地质环境和生态保护管理迈向法制化、规范化，促进矿业开发和环境保护工作协调发展</w:t>
      </w:r>
      <w:r>
        <w:rPr>
          <w:rFonts w:ascii="仿宋_GB2312" w:eastAsia="仿宋_GB2312"/>
          <w:sz w:val="32"/>
          <w:szCs w:val="32"/>
        </w:rPr>
        <w:t>。</w:t>
      </w:r>
    </w:p>
    <w:p>
      <w:pPr>
        <w:ind w:firstLine="643"/>
        <w:rPr>
          <w:rFonts w:ascii="仿宋_GB2312" w:eastAsia="仿宋_GB2312"/>
          <w:sz w:val="32"/>
          <w:szCs w:val="32"/>
        </w:rPr>
      </w:pPr>
      <w:r>
        <w:rPr>
          <w:rFonts w:hint="eastAsia" w:ascii="仿宋_GB2312" w:eastAsia="仿宋_GB2312"/>
          <w:b/>
          <w:bCs/>
          <w:sz w:val="32"/>
          <w:szCs w:val="32"/>
        </w:rPr>
        <w:t>开展矿山生态修复监测。</w:t>
      </w:r>
      <w:r>
        <w:rPr>
          <w:rFonts w:hint="eastAsia" w:ascii="仿宋_GB2312" w:eastAsia="仿宋_GB2312"/>
          <w:sz w:val="32"/>
          <w:szCs w:val="32"/>
        </w:rPr>
        <w:t>实行矿山生态修复监测、预报、预警报告制度，加强对矿山生态修复的有效监控和监测数据的快速采集、分析处理与定期发布，推动全县矿山生态环境保护与治理工作科学化、规范化、信息化管理</w:t>
      </w:r>
      <w:r>
        <w:rPr>
          <w:rFonts w:ascii="仿宋_GB2312" w:eastAsia="仿宋_GB2312"/>
          <w:sz w:val="32"/>
          <w:szCs w:val="32"/>
        </w:rPr>
        <w:t>。</w:t>
      </w:r>
      <w:r>
        <w:rPr>
          <w:rFonts w:hint="eastAsia" w:ascii="仿宋_GB2312" w:eastAsia="仿宋_GB2312"/>
          <w:sz w:val="32"/>
          <w:szCs w:val="32"/>
        </w:rPr>
        <w:t>加大矿山生态修复工作检查力度，县自然资源主管部门按照“双随机一公开”的方式，对采矿权人履行矿山生态修复义务情况开展随机抽查，每年抽查比例不少于10%。</w:t>
      </w:r>
    </w:p>
    <w:p>
      <w:pPr>
        <w:pStyle w:val="22"/>
        <w:spacing w:before="0" w:beforeAutospacing="0" w:after="0" w:afterAutospacing="0"/>
        <w:ind w:firstLine="643"/>
        <w:jc w:val="both"/>
        <w:rPr>
          <w:rFonts w:ascii="仿宋_GB2312" w:hAnsi="仿宋" w:eastAsia="仿宋_GB2312" w:cstheme="minorBidi"/>
          <w:sz w:val="32"/>
          <w:szCs w:val="32"/>
        </w:rPr>
      </w:pPr>
      <w:r>
        <w:rPr>
          <w:rFonts w:hint="eastAsia" w:ascii="仿宋_GB2312" w:hAnsi="Times New Roman" w:eastAsia="仿宋_GB2312" w:cs="Times New Roman"/>
          <w:b/>
          <w:color w:val="auto"/>
          <w:kern w:val="2"/>
          <w:sz w:val="32"/>
          <w:szCs w:val="32"/>
        </w:rPr>
        <w:t>加快历史遗留矿山生态修复治理。</w:t>
      </w:r>
      <w:r>
        <w:rPr>
          <w:rFonts w:hint="eastAsia" w:ascii="仿宋_GB2312" w:hAnsi="Times New Roman" w:eastAsia="仿宋_GB2312" w:cs="Times New Roman"/>
          <w:color w:val="auto"/>
          <w:kern w:val="2"/>
          <w:sz w:val="32"/>
          <w:szCs w:val="32"/>
        </w:rPr>
        <w:t>加快对历史遗留矿山摸排查底工作，加大历史遗留矿山地质环境问题治理力度，有计划地开展治理工作，重点围绕大渡河沿岸三公里范围内、城市规划区等重要区域，优先对造成较严重影响以上的历史遗留矿山地质环境问题进行恢复治理。</w:t>
      </w:r>
      <w:r>
        <w:rPr>
          <w:rFonts w:hint="eastAsia" w:ascii="仿宋_GB2312" w:hAnsi="仿宋" w:eastAsia="仿宋_GB2312" w:cstheme="minorBidi"/>
          <w:sz w:val="32"/>
          <w:szCs w:val="32"/>
        </w:rPr>
        <w:t>探索实施“生态修复+矿山土地综合修复利用+废弃资源利用+产业融合”的历史遗留矿山生态修复新模式，编制“一矿一策”矿山生态修复方案，大力推动废弃矿山生态修复，支撑峨边“文旅兴县”发展战略。</w:t>
      </w:r>
      <w:r>
        <w:rPr>
          <w:rFonts w:hint="eastAsia" w:ascii="仿宋_GB2312" w:hAnsi="仿宋" w:eastAsia="仿宋_GB2312"/>
          <w:sz w:val="32"/>
          <w:szCs w:val="32"/>
        </w:rPr>
        <w:t>到2025年，力争全面完成</w:t>
      </w:r>
      <w:r>
        <w:rPr>
          <w:rFonts w:hint="eastAsia" w:ascii="仿宋_GB2312" w:hAnsi="仿宋" w:eastAsia="仿宋_GB2312" w:cstheme="minorBidi"/>
          <w:sz w:val="32"/>
          <w:szCs w:val="32"/>
        </w:rPr>
        <w:t>我县</w:t>
      </w:r>
      <w:r>
        <w:rPr>
          <w:rFonts w:hint="eastAsia" w:ascii="仿宋_GB2312" w:hAnsi="Times New Roman" w:eastAsia="仿宋_GB2312" w:cs="Times New Roman"/>
          <w:color w:val="auto"/>
          <w:kern w:val="2"/>
          <w:sz w:val="32"/>
          <w:szCs w:val="32"/>
        </w:rPr>
        <w:t>重点区域内历史遗留</w:t>
      </w:r>
      <w:r>
        <w:rPr>
          <w:rFonts w:hint="eastAsia" w:ascii="仿宋_GB2312" w:hAnsi="仿宋" w:eastAsia="仿宋_GB2312" w:cstheme="minorBidi"/>
          <w:sz w:val="32"/>
          <w:szCs w:val="32"/>
        </w:rPr>
        <w:t>矿山的</w:t>
      </w:r>
      <w:r>
        <w:rPr>
          <w:rFonts w:hint="eastAsia" w:ascii="仿宋_GB2312" w:hAnsi="仿宋" w:eastAsia="仿宋_GB2312"/>
          <w:sz w:val="32"/>
          <w:szCs w:val="32"/>
        </w:rPr>
        <w:t>治理任务。</w:t>
      </w:r>
    </w:p>
    <w:p>
      <w:pPr>
        <w:pStyle w:val="22"/>
        <w:spacing w:before="0" w:beforeAutospacing="0" w:after="0" w:afterAutospacing="0"/>
        <w:ind w:firstLine="643"/>
        <w:rPr>
          <w:rFonts w:ascii="仿宋_GB2312" w:hAnsi="仿宋" w:eastAsia="仿宋_GB2312" w:cstheme="minorBidi"/>
          <w:sz w:val="32"/>
          <w:szCs w:val="32"/>
        </w:rPr>
      </w:pPr>
      <w:r>
        <w:rPr>
          <w:rFonts w:hint="eastAsia" w:ascii="仿宋_GB2312" w:hAnsi="Times New Roman" w:eastAsia="仿宋_GB2312" w:cs="Times New Roman"/>
          <w:b/>
          <w:color w:val="auto"/>
          <w:kern w:val="2"/>
          <w:sz w:val="32"/>
          <w:szCs w:val="32"/>
        </w:rPr>
        <w:t>积极</w:t>
      </w:r>
      <w:r>
        <w:rPr>
          <w:rFonts w:ascii="仿宋_GB2312" w:hAnsi="Times New Roman" w:eastAsia="仿宋_GB2312" w:cs="Times New Roman"/>
          <w:b/>
          <w:color w:val="auto"/>
          <w:kern w:val="2"/>
          <w:sz w:val="32"/>
          <w:szCs w:val="32"/>
        </w:rPr>
        <w:t>开展重点区域生态修复措施</w:t>
      </w:r>
      <w:r>
        <w:rPr>
          <w:rFonts w:hint="eastAsia" w:ascii="仿宋_GB2312" w:hAnsi="Times New Roman" w:eastAsia="仿宋_GB2312" w:cs="Times New Roman"/>
          <w:b/>
          <w:color w:val="auto"/>
          <w:kern w:val="2"/>
          <w:sz w:val="32"/>
          <w:szCs w:val="32"/>
        </w:rPr>
        <w:t>。</w:t>
      </w:r>
      <w:r>
        <w:rPr>
          <w:rFonts w:hint="eastAsia" w:ascii="仿宋_GB2312" w:hAnsi="仿宋" w:eastAsia="仿宋_GB2312" w:cstheme="minorBidi"/>
          <w:sz w:val="32"/>
          <w:szCs w:val="32"/>
        </w:rPr>
        <w:t>加强我县五渡长石矿区生态修复工作，</w:t>
      </w:r>
      <w:r>
        <w:rPr>
          <w:rFonts w:ascii="仿宋_GB2312" w:hAnsi="仿宋" w:eastAsia="仿宋_GB2312" w:cstheme="minorBidi"/>
          <w:sz w:val="32"/>
          <w:szCs w:val="32"/>
        </w:rPr>
        <w:t>面积约23平方公里。</w:t>
      </w:r>
      <w:r>
        <w:rPr>
          <w:rFonts w:hint="eastAsia" w:ascii="仿宋_GB2312" w:hAnsi="仿宋" w:eastAsia="仿宋_GB2312" w:cstheme="minorBidi"/>
          <w:sz w:val="32"/>
          <w:szCs w:val="32"/>
        </w:rPr>
        <w:t>以矿山企业为主体，以县人民政府为导向，积极组织开展矿山地质环境调查，采用工程治理、自然修复等手段，加大矿区范围内生态问题突出的矿山生态保护修复力度。</w:t>
      </w:r>
      <w:r>
        <w:rPr>
          <w:rFonts w:hint="eastAsia" w:ascii="仿宋_GB2312" w:hAnsi="仿宋" w:eastAsia="仿宋_GB2312"/>
          <w:sz w:val="32"/>
          <w:szCs w:val="32"/>
        </w:rPr>
        <w:t>到2025年，力争实现该区域地质环境问题得到缓解。</w:t>
      </w:r>
    </w:p>
    <w:p>
      <w:pPr>
        <w:ind w:firstLine="560"/>
        <w:rPr>
          <w:rFonts w:eastAsia="仿宋_GB2312"/>
          <w:sz w:val="28"/>
          <w:szCs w:val="28"/>
        </w:rPr>
        <w:sectPr>
          <w:pgSz w:w="11906" w:h="16838"/>
          <w:pgMar w:top="1440" w:right="1800" w:bottom="1440" w:left="1800" w:header="851" w:footer="992" w:gutter="0"/>
          <w:cols w:space="425" w:num="1"/>
          <w:docGrid w:type="lines" w:linePitch="312" w:charSpace="0"/>
        </w:sectPr>
      </w:pPr>
    </w:p>
    <w:p>
      <w:pPr>
        <w:pStyle w:val="2"/>
      </w:pPr>
      <w:bookmarkStart w:id="58" w:name="_Toc109311675"/>
      <w:bookmarkStart w:id="59" w:name="_Toc124293479"/>
      <w:r>
        <w:t>第六章</w:t>
      </w:r>
      <w:r>
        <w:rPr>
          <w:rFonts w:hint="eastAsia"/>
        </w:rPr>
        <w:t xml:space="preserve">  水土保持</w:t>
      </w:r>
      <w:bookmarkEnd w:id="58"/>
      <w:bookmarkEnd w:id="59"/>
    </w:p>
    <w:p>
      <w:pPr>
        <w:ind w:firstLine="640"/>
        <w:rPr>
          <w:rFonts w:ascii="仿宋_GB2312" w:hAnsi="仿宋" w:eastAsia="仿宋_GB2312"/>
          <w:sz w:val="32"/>
          <w:szCs w:val="32"/>
        </w:rPr>
      </w:pPr>
      <w:bookmarkStart w:id="60" w:name="_Hlk109199125"/>
      <w:r>
        <w:rPr>
          <w:rFonts w:hint="eastAsia" w:ascii="仿宋_GB2312" w:hAnsi="仿宋" w:eastAsia="仿宋_GB2312"/>
          <w:sz w:val="32"/>
          <w:szCs w:val="32"/>
        </w:rPr>
        <w:t>矿产资源勘查开发</w:t>
      </w:r>
      <w:bookmarkEnd w:id="60"/>
      <w:r>
        <w:rPr>
          <w:rFonts w:hint="eastAsia" w:ascii="仿宋_GB2312" w:hAnsi="仿宋" w:eastAsia="仿宋_GB2312"/>
          <w:sz w:val="32"/>
          <w:szCs w:val="32"/>
        </w:rPr>
        <w:t>过程中应当注重水土保持，严格遵循《中华人民共和国水土保持法》等法律法规及相关规章制度，加强水土保持宣传和教育工作，普及水土保持科学知识，增强水土保持意识。</w:t>
      </w:r>
    </w:p>
    <w:p>
      <w:pPr>
        <w:ind w:firstLine="643"/>
        <w:rPr>
          <w:rFonts w:ascii="仿宋_GB2312" w:hAnsi="仿宋" w:eastAsia="仿宋_GB2312"/>
          <w:sz w:val="32"/>
          <w:szCs w:val="32"/>
        </w:rPr>
      </w:pPr>
      <w:r>
        <w:rPr>
          <w:rFonts w:hint="eastAsia" w:ascii="仿宋_GB2312" w:hAnsi="仿宋" w:eastAsia="仿宋_GB2312"/>
          <w:b/>
          <w:bCs/>
          <w:sz w:val="32"/>
          <w:szCs w:val="32"/>
        </w:rPr>
        <w:t>加强矿山水土保持管理。</w:t>
      </w:r>
      <w:r>
        <w:rPr>
          <w:rFonts w:hint="eastAsia" w:ascii="仿宋_GB2312" w:hAnsi="仿宋" w:eastAsia="仿宋_GB2312"/>
          <w:sz w:val="32"/>
          <w:szCs w:val="32"/>
        </w:rPr>
        <w:t>坚持“谁开发谁保护，谁造成水土流失谁负责治理，谁损坏谁赔偿”的原则，明确责任主体，坚持“一矿一方案”依法编制水土保持方案，矿山建设项目未编制水土保持方案或者水土保持方案未经水行政主管部门批准的，不得开工建设。</w:t>
      </w:r>
    </w:p>
    <w:p>
      <w:pPr>
        <w:ind w:firstLine="643"/>
        <w:rPr>
          <w:rFonts w:ascii="仿宋_GB2312" w:hAnsi="仿宋" w:eastAsia="仿宋_GB2312"/>
          <w:bCs/>
          <w:sz w:val="32"/>
          <w:szCs w:val="32"/>
        </w:rPr>
      </w:pPr>
      <w:r>
        <w:rPr>
          <w:rFonts w:hint="eastAsia" w:ascii="仿宋_GB2312" w:hAnsi="仿宋" w:eastAsia="仿宋_GB2312"/>
          <w:b/>
          <w:bCs/>
          <w:sz w:val="32"/>
          <w:szCs w:val="32"/>
        </w:rPr>
        <w:t>加强矿山水土流失预防和治理。</w:t>
      </w:r>
      <w:r>
        <w:rPr>
          <w:rFonts w:hint="eastAsia" w:ascii="仿宋_GB2312" w:hAnsi="仿宋" w:eastAsia="仿宋_GB2312"/>
          <w:bCs/>
          <w:sz w:val="32"/>
          <w:szCs w:val="32"/>
        </w:rPr>
        <w:t>加强对取土、挖砂、采石等活动的管理，预防和减轻水土流失。以生产矿山为重点，坚持“边生产，边复垦”的原则，重点开展露天矿山的治理工程。在露天矿山采空区、边坡台阶等岩石裸露地区进行复垦植树种草，涵养水源，预</w:t>
      </w:r>
      <w:r>
        <w:rPr>
          <w:rFonts w:hint="eastAsia" w:ascii="仿宋_GB2312" w:hAnsi="仿宋" w:eastAsia="仿宋_GB2312"/>
          <w:sz w:val="32"/>
          <w:szCs w:val="32"/>
        </w:rPr>
        <w:t>防和减轻水土流失。</w:t>
      </w:r>
      <w:r>
        <w:rPr>
          <w:rFonts w:hint="eastAsia" w:ascii="仿宋_GB2312" w:hAnsi="仿宋" w:eastAsia="仿宋_GB2312"/>
          <w:bCs/>
          <w:sz w:val="32"/>
          <w:szCs w:val="32"/>
        </w:rPr>
        <w:t>遵循水行政主管部门对水土保持重点工程的建设管理。</w:t>
      </w:r>
    </w:p>
    <w:p>
      <w:pPr>
        <w:ind w:firstLine="643"/>
        <w:rPr>
          <w:rFonts w:ascii="仿宋_GB2312" w:hAnsi="仿宋" w:eastAsia="仿宋_GB2312"/>
          <w:sz w:val="32"/>
          <w:szCs w:val="32"/>
        </w:rPr>
      </w:pPr>
      <w:r>
        <w:rPr>
          <w:rFonts w:hint="eastAsia" w:ascii="仿宋_GB2312" w:hAnsi="仿宋" w:eastAsia="仿宋_GB2312"/>
          <w:b/>
          <w:bCs/>
          <w:sz w:val="32"/>
          <w:szCs w:val="32"/>
        </w:rPr>
        <w:t>加强对生产矿山水土保持的监测和监督。</w:t>
      </w:r>
      <w:r>
        <w:rPr>
          <w:rFonts w:hint="eastAsia" w:ascii="仿宋_GB2312" w:hAnsi="仿宋" w:eastAsia="仿宋_GB2312"/>
          <w:sz w:val="32"/>
          <w:szCs w:val="32"/>
        </w:rPr>
        <w:t>严格执行矿山水土保持的相关技术规范和标准。对可能造成严重水土流失的大中型生产建设项目，生产建设单位应当自行或者委托具备水土保持监测资质的机构，对生产建设活动造成的水土流失进行监测，并将监测情况定期上报县人民政府水行政主管部门。矿产资源勘查开发过程中，加强矿山生产过程中对水土流失的控制，自觉接受水行政主管部门对水土保持情况的监督检查。</w:t>
      </w:r>
    </w:p>
    <w:bookmarkEnd w:id="57"/>
    <w:p>
      <w:pPr>
        <w:pStyle w:val="29"/>
        <w:spacing w:line="360" w:lineRule="auto"/>
        <w:ind w:firstLine="720"/>
        <w:jc w:val="center"/>
        <w:outlineLvl w:val="0"/>
        <w:rPr>
          <w:rFonts w:ascii="Times New Roman" w:hAnsi="Times New Roman" w:cs="Times New Roman"/>
          <w:b/>
          <w:sz w:val="36"/>
          <w:szCs w:val="36"/>
        </w:rPr>
        <w:sectPr>
          <w:footerReference r:id="rId14" w:type="default"/>
          <w:pgSz w:w="11906" w:h="16838"/>
          <w:pgMar w:top="1440" w:right="1800" w:bottom="1440" w:left="1800" w:header="851" w:footer="992" w:gutter="0"/>
          <w:cols w:space="425" w:num="1"/>
          <w:docGrid w:type="lines" w:linePitch="312" w:charSpace="0"/>
        </w:sectPr>
      </w:pPr>
      <w:bookmarkStart w:id="61" w:name="_Toc62744940"/>
    </w:p>
    <w:p>
      <w:pPr>
        <w:pStyle w:val="2"/>
      </w:pPr>
      <w:bookmarkStart w:id="62" w:name="_Toc124293480"/>
      <w:r>
        <w:t>第七章 规划保障措施</w:t>
      </w:r>
      <w:bookmarkEnd w:id="61"/>
      <w:bookmarkEnd w:id="62"/>
    </w:p>
    <w:p>
      <w:pPr>
        <w:pStyle w:val="3"/>
        <w:spacing w:before="156" w:after="156"/>
      </w:pPr>
      <w:bookmarkStart w:id="63" w:name="_Toc124293481"/>
      <w:r>
        <w:rPr>
          <w:rFonts w:hint="eastAsia"/>
        </w:rPr>
        <w:t>第一节  加强组织领导，保障规划实施</w:t>
      </w:r>
      <w:bookmarkEnd w:id="63"/>
    </w:p>
    <w:p>
      <w:pPr>
        <w:adjustRightInd w:val="0"/>
        <w:ind w:firstLine="640"/>
        <w:rPr>
          <w:rFonts w:ascii="仿宋_GB2312" w:hAnsi="宋体" w:eastAsia="仿宋_GB2312"/>
          <w:bCs/>
          <w:snapToGrid w:val="0"/>
          <w:kern w:val="0"/>
          <w:sz w:val="32"/>
          <w:szCs w:val="32"/>
        </w:rPr>
      </w:pPr>
      <w:r>
        <w:rPr>
          <w:rFonts w:hint="eastAsia" w:ascii="仿宋_GB2312" w:hAnsi="宋体" w:eastAsia="仿宋_GB2312"/>
          <w:bCs/>
          <w:snapToGrid w:val="0"/>
          <w:kern w:val="0"/>
          <w:sz w:val="32"/>
          <w:szCs w:val="32"/>
        </w:rPr>
        <w:t>建立由县政府统一部署，自然资源主管部门牵头，发改、经信、财政、生态环境、林业、水利、交通运输等各部门协调配合的多部门联动机制，各部门按照职能分工，加强协调配合，做好人才、资金、技术和政策保障，形成推动规划实施的合力，组织落实规划各项目标任务。理清角色定位，形成各级政府的多层面分工协作、责任共担的政府职能体系，并将矿产资源总体规划实施情况纳入自然资源管理目标体系进行考核。充分发挥市场引导作用，处理好政府、企业和社会的关系，注重发挥市场资源配置中的决定性作用和政府的管控作用，推进矿业市场和秩序良性发展。</w:t>
      </w:r>
      <w:bookmarkStart w:id="64" w:name="_Toc51579914"/>
    </w:p>
    <w:bookmarkEnd w:id="64"/>
    <w:p>
      <w:pPr>
        <w:pStyle w:val="3"/>
        <w:spacing w:before="156" w:after="156"/>
      </w:pPr>
      <w:bookmarkStart w:id="65" w:name="_Toc124293482"/>
      <w:r>
        <w:rPr>
          <w:rFonts w:hint="eastAsia"/>
        </w:rPr>
        <w:t>第二节  强化约束管控</w:t>
      </w:r>
      <w:bookmarkEnd w:id="65"/>
    </w:p>
    <w:p>
      <w:pPr>
        <w:adjustRightInd w:val="0"/>
        <w:ind w:firstLine="640"/>
        <w:rPr>
          <w:rFonts w:ascii="仿宋_GB2312" w:hAnsi="宋体" w:eastAsia="仿宋_GB2312"/>
          <w:bCs/>
          <w:snapToGrid w:val="0"/>
          <w:kern w:val="0"/>
          <w:sz w:val="32"/>
          <w:szCs w:val="32"/>
        </w:rPr>
      </w:pPr>
      <w:r>
        <w:rPr>
          <w:rFonts w:hint="eastAsia" w:ascii="仿宋_GB2312" w:hAnsi="宋体" w:eastAsia="仿宋_GB2312"/>
          <w:bCs/>
          <w:snapToGrid w:val="0"/>
          <w:kern w:val="0"/>
          <w:sz w:val="32"/>
          <w:szCs w:val="32"/>
        </w:rPr>
        <w:t>健全完善矿产资源总体规划实施管理制度，强化规划在矿产资源勘查开发与保护管理中的刚性约束作用。健全集体决策机制，以矿产资源总体规划为依据，科学决定规划实施过程中的重大事项。经审查不符合矿产资源总体规划的项目，登记管理机关不得审批、颁发勘查许可证和采矿许可证，相关主管部门不得批准立项，不得批准用地。</w:t>
      </w:r>
    </w:p>
    <w:p>
      <w:pPr>
        <w:pStyle w:val="3"/>
        <w:spacing w:before="156" w:after="156"/>
      </w:pPr>
      <w:bookmarkStart w:id="66" w:name="_Toc426466727"/>
      <w:bookmarkStart w:id="67" w:name="_Toc124293483"/>
      <w:r>
        <w:rPr>
          <w:rFonts w:hint="eastAsia"/>
        </w:rPr>
        <w:t>第三节  加强监督</w:t>
      </w:r>
      <w:bookmarkEnd w:id="66"/>
      <w:r>
        <w:rPr>
          <w:rFonts w:hint="eastAsia"/>
        </w:rPr>
        <w:t>检查</w:t>
      </w:r>
      <w:bookmarkEnd w:id="67"/>
    </w:p>
    <w:p>
      <w:pPr>
        <w:autoSpaceDE w:val="0"/>
        <w:autoSpaceDN w:val="0"/>
        <w:adjustRightInd w:val="0"/>
        <w:ind w:firstLine="640"/>
        <w:rPr>
          <w:rFonts w:ascii="仿宋_GB2312" w:hAnsi="Verdana" w:eastAsia="仿宋_GB2312" w:cs="黑体g猀.."/>
          <w:kern w:val="0"/>
          <w:sz w:val="32"/>
          <w:szCs w:val="32"/>
        </w:rPr>
      </w:pPr>
      <w:r>
        <w:rPr>
          <w:rFonts w:hint="eastAsia" w:ascii="仿宋_GB2312" w:hAnsi="Verdana" w:eastAsia="仿宋_GB2312" w:cs="黑体g猀.."/>
          <w:kern w:val="0"/>
          <w:sz w:val="32"/>
          <w:szCs w:val="32"/>
        </w:rPr>
        <w:t>构建地方政府、自然资源主管部门和公众共同参与的规划实施监督体系，建立规划实施监督检查制度，将规划执行情况纳入自然资源执法监察的重要内容，强化对规划确定的重点区域、重要任务和指标、重大工程和项目、重大政策措施执行落实情况监督，定期公布规划执行情况。对违反法律法规和矿产资源总体规划的行为，加大纠正和查处力度。建立信息反馈制度，及时向地方政府和上级自然资源主管部门报告规划执行情况监督检查结果。</w:t>
      </w:r>
    </w:p>
    <w:p>
      <w:pPr>
        <w:pStyle w:val="3"/>
        <w:spacing w:before="156" w:after="156"/>
      </w:pPr>
      <w:bookmarkStart w:id="68" w:name="_Toc124293484"/>
      <w:r>
        <w:rPr>
          <w:rFonts w:hint="eastAsia"/>
        </w:rPr>
        <w:t>第四节  注重规划实施评估调整</w:t>
      </w:r>
      <w:bookmarkEnd w:id="68"/>
    </w:p>
    <w:p>
      <w:pPr>
        <w:autoSpaceDE w:val="0"/>
        <w:autoSpaceDN w:val="0"/>
        <w:adjustRightInd w:val="0"/>
        <w:ind w:firstLine="640"/>
        <w:rPr>
          <w:rFonts w:ascii="仿宋_GB2312" w:hAnsi="Verdana" w:eastAsia="仿宋_GB2312" w:cs="黑体g猀.."/>
          <w:b/>
          <w:kern w:val="0"/>
          <w:sz w:val="32"/>
          <w:szCs w:val="32"/>
        </w:rPr>
      </w:pPr>
      <w:r>
        <w:rPr>
          <w:rFonts w:ascii="仿宋_GB2312" w:eastAsia="仿宋_GB2312"/>
          <w:sz w:val="32"/>
          <w:szCs w:val="32"/>
        </w:rPr>
        <w:t>自然资源主管部门要根据需要或按照上级机关统一部署，加强阶段性评估，阶段性评估主要内容包括规划实施进展与成效、各项任务指标执行完成情况、各项政策措施落实情况、取得的经验、存在问题等，提出规划意见建议和改进措施。逐级落实《规划》目标和任务，规划经</w:t>
      </w:r>
      <w:r>
        <w:rPr>
          <w:rFonts w:hint="eastAsia" w:ascii="仿宋_GB2312" w:eastAsia="仿宋_GB2312"/>
          <w:sz w:val="32"/>
          <w:szCs w:val="32"/>
        </w:rPr>
        <w:t>县</w:t>
      </w:r>
      <w:r>
        <w:rPr>
          <w:rFonts w:ascii="仿宋_GB2312" w:eastAsia="仿宋_GB2312"/>
          <w:sz w:val="32"/>
          <w:szCs w:val="32"/>
        </w:rPr>
        <w:t>人民政府颁布实施后原则上一年内不得调整，后期确需调整的，每年只允许调整一次。</w:t>
      </w:r>
    </w:p>
    <w:p>
      <w:pPr>
        <w:pStyle w:val="3"/>
        <w:spacing w:before="156" w:after="156"/>
      </w:pPr>
      <w:bookmarkStart w:id="69" w:name="_Toc124293485"/>
      <w:r>
        <w:rPr>
          <w:rFonts w:hint="eastAsia"/>
        </w:rPr>
        <w:t>第五节  加强信息化管理</w:t>
      </w:r>
      <w:bookmarkEnd w:id="69"/>
    </w:p>
    <w:p>
      <w:pPr>
        <w:autoSpaceDE w:val="0"/>
        <w:autoSpaceDN w:val="0"/>
        <w:adjustRightInd w:val="0"/>
        <w:ind w:firstLine="640"/>
        <w:rPr>
          <w:rFonts w:ascii="仿宋_GB2312" w:hAnsi="Verdana" w:eastAsia="仿宋_GB2312" w:cs="黑体g猀.."/>
          <w:kern w:val="0"/>
          <w:sz w:val="32"/>
          <w:szCs w:val="32"/>
        </w:rPr>
      </w:pPr>
      <w:r>
        <w:rPr>
          <w:rFonts w:hint="eastAsia" w:ascii="仿宋_GB2312" w:hAnsi="Verdana" w:eastAsia="仿宋_GB2312" w:cs="黑体g猀.."/>
          <w:kern w:val="0"/>
          <w:sz w:val="32"/>
          <w:szCs w:val="32"/>
        </w:rPr>
        <w:t>提高规划管理的信息化水平，建设矿产资源总体规划数据库，建立数据库更新机制，建设矿产资源总体规划管理信息系统，切实发挥规划数据库在矿政管理中的作用。加强规划数据库与资源勘查、储量、矿业权等基础数据库的互联互通，做好规划信息与相关信息资源的整合，并及时纳入国土资源</w:t>
      </w:r>
      <w:r>
        <w:rPr>
          <w:rFonts w:hint="eastAsia" w:ascii="仿宋_GB2312" w:hAnsi="Verdana" w:eastAsia="仿宋_GB2312" w:cs="黑体"/>
          <w:kern w:val="0"/>
          <w:sz w:val="32"/>
          <w:szCs w:val="32"/>
        </w:rPr>
        <w:t>“</w:t>
      </w:r>
      <w:r>
        <w:rPr>
          <w:rFonts w:hint="eastAsia" w:ascii="仿宋_GB2312" w:hAnsi="Verdana" w:eastAsia="仿宋_GB2312" w:cs="黑体g猀.."/>
          <w:kern w:val="0"/>
          <w:sz w:val="32"/>
          <w:szCs w:val="32"/>
        </w:rPr>
        <w:t>一张图</w:t>
      </w:r>
      <w:r>
        <w:rPr>
          <w:rFonts w:hint="eastAsia" w:ascii="仿宋_GB2312" w:hAnsi="Verdana" w:eastAsia="仿宋_GB2312" w:cs="黑体"/>
          <w:kern w:val="0"/>
          <w:sz w:val="32"/>
          <w:szCs w:val="32"/>
        </w:rPr>
        <w:t>”工程建设</w:t>
      </w:r>
      <w:r>
        <w:rPr>
          <w:rFonts w:hint="eastAsia" w:ascii="仿宋_GB2312" w:hAnsi="Verdana" w:eastAsia="仿宋_GB2312" w:cs="黑体g猀.."/>
          <w:kern w:val="0"/>
          <w:sz w:val="32"/>
          <w:szCs w:val="32"/>
        </w:rPr>
        <w:t>，为矿产资源管理提供规划信息支撑。</w:t>
      </w:r>
    </w:p>
    <w:p>
      <w:pPr>
        <w:pStyle w:val="3"/>
        <w:spacing w:before="156" w:after="156"/>
      </w:pPr>
      <w:bookmarkStart w:id="70" w:name="_Toc124293486"/>
      <w:r>
        <w:rPr>
          <w:rFonts w:hint="eastAsia"/>
        </w:rPr>
        <w:t>第六节  加大财政支持力度</w:t>
      </w:r>
      <w:bookmarkEnd w:id="70"/>
    </w:p>
    <w:p>
      <w:pPr>
        <w:autoSpaceDE w:val="0"/>
        <w:autoSpaceDN w:val="0"/>
        <w:adjustRightInd w:val="0"/>
        <w:ind w:firstLine="640"/>
        <w:rPr>
          <w:rFonts w:ascii="仿宋_GB2312" w:hAnsi="宋体" w:eastAsia="仿宋_GB2312"/>
          <w:bCs/>
          <w:snapToGrid w:val="0"/>
          <w:kern w:val="0"/>
          <w:sz w:val="28"/>
          <w:szCs w:val="28"/>
        </w:rPr>
        <w:sectPr>
          <w:pgSz w:w="11906" w:h="16838"/>
          <w:pgMar w:top="1440" w:right="1800" w:bottom="1440" w:left="1800" w:header="851" w:footer="992" w:gutter="0"/>
          <w:cols w:space="425" w:num="1"/>
          <w:docGrid w:type="lines" w:linePitch="312" w:charSpace="0"/>
        </w:sectPr>
      </w:pPr>
      <w:r>
        <w:rPr>
          <w:rFonts w:ascii="仿宋_GB2312" w:hAnsi="宋体" w:eastAsia="仿宋_GB2312"/>
          <w:bCs/>
          <w:snapToGrid w:val="0"/>
          <w:kern w:val="0"/>
          <w:sz w:val="32"/>
          <w:szCs w:val="32"/>
        </w:rPr>
        <w:t>积极支持矿产资源总体规划的实施</w:t>
      </w:r>
      <w:r>
        <w:rPr>
          <w:rFonts w:hint="eastAsia" w:ascii="仿宋_GB2312" w:hAnsi="宋体" w:eastAsia="仿宋_GB2312"/>
          <w:bCs/>
          <w:snapToGrid w:val="0"/>
          <w:kern w:val="0"/>
          <w:sz w:val="32"/>
          <w:szCs w:val="32"/>
        </w:rPr>
        <w:t>，积极争取国家资金，</w:t>
      </w:r>
      <w:r>
        <w:rPr>
          <w:rFonts w:ascii="仿宋_GB2312" w:hAnsi="宋体" w:eastAsia="仿宋_GB2312"/>
          <w:bCs/>
          <w:snapToGrid w:val="0"/>
          <w:kern w:val="0"/>
          <w:sz w:val="32"/>
          <w:szCs w:val="32"/>
        </w:rPr>
        <w:t>重点对重大工程加大支持力度</w:t>
      </w:r>
      <w:r>
        <w:rPr>
          <w:rFonts w:hint="eastAsia" w:ascii="仿宋_GB2312" w:hAnsi="宋体" w:eastAsia="仿宋_GB2312"/>
          <w:bCs/>
          <w:snapToGrid w:val="0"/>
          <w:kern w:val="0"/>
          <w:sz w:val="32"/>
          <w:szCs w:val="32"/>
        </w:rPr>
        <w:t>，</w:t>
      </w:r>
      <w:r>
        <w:rPr>
          <w:rFonts w:ascii="仿宋_GB2312" w:hAnsi="宋体" w:eastAsia="仿宋_GB2312"/>
          <w:bCs/>
          <w:snapToGrid w:val="0"/>
          <w:kern w:val="0"/>
          <w:sz w:val="32"/>
          <w:szCs w:val="32"/>
        </w:rPr>
        <w:t>保障规划实施落地</w:t>
      </w:r>
      <w:r>
        <w:rPr>
          <w:rFonts w:hint="eastAsia" w:ascii="仿宋_GB2312" w:hAnsi="宋体" w:eastAsia="仿宋_GB2312"/>
          <w:bCs/>
          <w:snapToGrid w:val="0"/>
          <w:kern w:val="0"/>
          <w:sz w:val="32"/>
          <w:szCs w:val="32"/>
        </w:rPr>
        <w:t>。</w:t>
      </w:r>
      <w:r>
        <w:rPr>
          <w:rFonts w:ascii="仿宋_GB2312" w:hAnsi="宋体" w:eastAsia="仿宋_GB2312"/>
          <w:bCs/>
          <w:snapToGrid w:val="0"/>
          <w:kern w:val="0"/>
          <w:sz w:val="32"/>
          <w:szCs w:val="32"/>
        </w:rPr>
        <w:t>财政部门会同自然资源主管部门</w:t>
      </w:r>
      <w:r>
        <w:rPr>
          <w:rFonts w:hint="eastAsia" w:ascii="仿宋_GB2312" w:hAnsi="宋体" w:eastAsia="仿宋_GB2312"/>
          <w:bCs/>
          <w:snapToGrid w:val="0"/>
          <w:kern w:val="0"/>
          <w:sz w:val="32"/>
          <w:szCs w:val="32"/>
        </w:rPr>
        <w:t>，按照财政事权与支出责任划分原则，结合规划目标任务和地方财力，统筹加大对基础性地质调查、公益性矿产资源调查评价、绿色矿山建设、历史遗留矿山生态修复等工作的支持力度。同时，创新体制机制，用好用活财政资金，积极吸引社会资本参与矿产资源勘查，探索利用市场化方式推进历史遗留矿山生态修复等工作。</w:t>
      </w:r>
    </w:p>
    <w:tbl>
      <w:tblPr>
        <w:tblStyle w:val="23"/>
        <w:tblpPr w:leftFromText="180" w:rightFromText="180" w:vertAnchor="page" w:horzAnchor="margin" w:tblpXSpec="center" w:tblpY="2533"/>
        <w:tblW w:w="4847" w:type="pct"/>
        <w:tblInd w:w="0" w:type="dxa"/>
        <w:tblLayout w:type="autofit"/>
        <w:tblCellMar>
          <w:top w:w="0" w:type="dxa"/>
          <w:left w:w="108" w:type="dxa"/>
          <w:bottom w:w="0" w:type="dxa"/>
          <w:right w:w="108" w:type="dxa"/>
        </w:tblCellMar>
      </w:tblPr>
      <w:tblGrid>
        <w:gridCol w:w="695"/>
        <w:gridCol w:w="1707"/>
        <w:gridCol w:w="1794"/>
        <w:gridCol w:w="1003"/>
        <w:gridCol w:w="871"/>
        <w:gridCol w:w="934"/>
        <w:gridCol w:w="904"/>
        <w:gridCol w:w="1091"/>
        <w:gridCol w:w="893"/>
        <w:gridCol w:w="989"/>
        <w:gridCol w:w="1561"/>
        <w:gridCol w:w="1298"/>
      </w:tblGrid>
      <w:tr>
        <w:tblPrEx>
          <w:tblCellMar>
            <w:top w:w="0" w:type="dxa"/>
            <w:left w:w="108" w:type="dxa"/>
            <w:bottom w:w="0" w:type="dxa"/>
            <w:right w:w="108" w:type="dxa"/>
          </w:tblCellMar>
        </w:tblPrEx>
        <w:trPr>
          <w:trHeight w:val="884" w:hRule="atLeast"/>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62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65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365"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31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主要矿种</w:t>
            </w:r>
          </w:p>
        </w:tc>
        <w:tc>
          <w:tcPr>
            <w:tcW w:w="34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面积（Km</w:t>
            </w:r>
            <w:r>
              <w:rPr>
                <w:rFonts w:hint="eastAsia" w:ascii="宋体" w:hAnsi="宋体" w:cs="宋体"/>
                <w:b/>
                <w:bCs/>
                <w:color w:val="000000"/>
                <w:kern w:val="0"/>
                <w:sz w:val="15"/>
                <w:szCs w:val="15"/>
                <w:vertAlign w:val="superscript"/>
              </w:rPr>
              <w:t>2</w:t>
            </w:r>
            <w:r>
              <w:rPr>
                <w:rFonts w:hint="eastAsia" w:ascii="宋体" w:hAnsi="宋体" w:cs="宋体"/>
                <w:b/>
                <w:bCs/>
                <w:color w:val="000000"/>
                <w:kern w:val="0"/>
                <w:sz w:val="15"/>
                <w:szCs w:val="15"/>
              </w:rPr>
              <w:t>）</w:t>
            </w:r>
          </w:p>
        </w:tc>
        <w:tc>
          <w:tcPr>
            <w:tcW w:w="32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9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已设探矿权数量</w:t>
            </w:r>
          </w:p>
        </w:tc>
        <w:tc>
          <w:tcPr>
            <w:tcW w:w="325"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拟设探矿权数量</w:t>
            </w:r>
          </w:p>
        </w:tc>
        <w:tc>
          <w:tcPr>
            <w:tcW w:w="36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已设采矿权数量</w:t>
            </w:r>
          </w:p>
        </w:tc>
        <w:tc>
          <w:tcPr>
            <w:tcW w:w="56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已设采矿权设计开采规模（万吨）</w:t>
            </w:r>
          </w:p>
        </w:tc>
        <w:tc>
          <w:tcPr>
            <w:tcW w:w="47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654" w:hRule="atLeast"/>
        </w:trPr>
        <w:tc>
          <w:tcPr>
            <w:tcW w:w="253"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62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NY51113200001</w:t>
            </w:r>
          </w:p>
        </w:tc>
        <w:tc>
          <w:tcPr>
            <w:tcW w:w="653"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马边六股水-老河坝</w:t>
            </w:r>
          </w:p>
        </w:tc>
        <w:tc>
          <w:tcPr>
            <w:tcW w:w="3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峨边</w:t>
            </w:r>
          </w:p>
        </w:tc>
        <w:tc>
          <w:tcPr>
            <w:tcW w:w="31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磷</w:t>
            </w:r>
          </w:p>
        </w:tc>
        <w:tc>
          <w:tcPr>
            <w:tcW w:w="34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38.13</w:t>
            </w:r>
          </w:p>
        </w:tc>
        <w:tc>
          <w:tcPr>
            <w:tcW w:w="3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ascii="宋体" w:hAnsi="宋体" w:cs="宋体"/>
                <w:kern w:val="0"/>
                <w:sz w:val="15"/>
                <w:szCs w:val="15"/>
              </w:rPr>
              <w:t>略</w:t>
            </w:r>
          </w:p>
        </w:tc>
        <w:tc>
          <w:tcPr>
            <w:tcW w:w="39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4</w:t>
            </w:r>
          </w:p>
        </w:tc>
        <w:tc>
          <w:tcPr>
            <w:tcW w:w="325" w:type="pct"/>
            <w:tcBorders>
              <w:top w:val="nil"/>
              <w:left w:val="nil"/>
              <w:bottom w:val="single" w:color="auto" w:sz="4" w:space="0"/>
              <w:right w:val="single" w:color="auto" w:sz="4" w:space="0"/>
            </w:tcBorders>
            <w:shd w:val="clear" w:color="auto" w:fill="auto"/>
            <w:noWrap/>
            <w:vAlign w:val="center"/>
          </w:tcPr>
          <w:p>
            <w:pPr>
              <w:widowControl/>
              <w:spacing w:line="240" w:lineRule="auto"/>
              <w:ind w:right="-108" w:rightChars="-45" w:firstLine="0" w:firstLineChars="0"/>
              <w:jc w:val="center"/>
              <w:rPr>
                <w:rFonts w:ascii="宋体" w:hAnsi="宋体" w:cs="宋体"/>
                <w:kern w:val="0"/>
                <w:sz w:val="15"/>
                <w:szCs w:val="15"/>
              </w:rPr>
            </w:pPr>
            <w:r>
              <w:rPr>
                <w:rFonts w:hint="eastAsia" w:ascii="宋体" w:hAnsi="宋体" w:cs="宋体"/>
                <w:kern w:val="0"/>
                <w:sz w:val="15"/>
                <w:szCs w:val="15"/>
              </w:rPr>
              <w:t>0</w:t>
            </w:r>
          </w:p>
        </w:tc>
        <w:tc>
          <w:tcPr>
            <w:tcW w:w="36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4</w:t>
            </w:r>
          </w:p>
        </w:tc>
        <w:tc>
          <w:tcPr>
            <w:tcW w:w="56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149</w:t>
            </w:r>
          </w:p>
        </w:tc>
        <w:tc>
          <w:tcPr>
            <w:tcW w:w="473"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峨边部分</w:t>
            </w:r>
          </w:p>
        </w:tc>
      </w:tr>
    </w:tbl>
    <w:p>
      <w:pPr>
        <w:ind w:firstLine="600"/>
        <w:jc w:val="center"/>
        <w:outlineLvl w:val="1"/>
        <w:rPr>
          <w:rFonts w:eastAsia="仿宋_GB2312"/>
          <w:kern w:val="0"/>
          <w:sz w:val="30"/>
          <w:szCs w:val="30"/>
        </w:rPr>
      </w:pPr>
      <w:bookmarkStart w:id="71" w:name="_Toc124293487"/>
      <w:r>
        <w:rPr>
          <w:rFonts w:hint="eastAsia" w:ascii="黑体" w:hAnsi="黑体" w:eastAsia="黑体" w:cs="宋体"/>
          <w:bCs/>
          <w:color w:val="000000"/>
          <w:kern w:val="0"/>
          <w:sz w:val="30"/>
          <w:szCs w:val="30"/>
        </w:rPr>
        <w:t>附表1 峨边彝族自治县能源资源基地表</w:t>
      </w:r>
      <w:bookmarkEnd w:id="71"/>
    </w:p>
    <w:p>
      <w:pPr>
        <w:spacing w:line="240" w:lineRule="auto"/>
        <w:ind w:firstLine="420"/>
        <w:jc w:val="left"/>
        <w:rPr>
          <w:rFonts w:ascii="仿宋" w:hAnsi="仿宋" w:eastAsia="仿宋"/>
          <w:kern w:val="0"/>
          <w:sz w:val="21"/>
          <w:szCs w:val="21"/>
        </w:rPr>
      </w:pPr>
      <w:r>
        <w:rPr>
          <w:rFonts w:hint="eastAsia" w:ascii="仿宋" w:hAnsi="仿宋" w:eastAsia="仿宋"/>
          <w:kern w:val="0"/>
          <w:sz w:val="21"/>
          <w:szCs w:val="21"/>
        </w:rPr>
        <w:t>备注：1.拐点坐标及空间范围以规划数据库为准；</w:t>
      </w:r>
    </w:p>
    <w:p>
      <w:pPr>
        <w:autoSpaceDE w:val="0"/>
        <w:autoSpaceDN w:val="0"/>
        <w:adjustRightInd w:val="0"/>
        <w:spacing w:line="240" w:lineRule="auto"/>
        <w:ind w:firstLine="1050" w:firstLineChars="500"/>
        <w:rPr>
          <w:rFonts w:ascii="仿宋" w:hAnsi="仿宋" w:eastAsia="仿宋"/>
          <w:kern w:val="0"/>
          <w:sz w:val="21"/>
          <w:szCs w:val="21"/>
        </w:rPr>
        <w:sectPr>
          <w:pgSz w:w="16838" w:h="11906" w:orient="landscape"/>
          <w:pgMar w:top="1800" w:right="1440" w:bottom="1800" w:left="1440" w:header="851" w:footer="992" w:gutter="0"/>
          <w:cols w:space="425" w:num="1"/>
          <w:docGrid w:type="lines" w:linePitch="326" w:charSpace="0"/>
        </w:sectPr>
      </w:pPr>
      <w:r>
        <w:rPr>
          <w:rFonts w:hint="eastAsia" w:ascii="仿宋" w:hAnsi="仿宋" w:eastAsia="仿宋"/>
          <w:kern w:val="0"/>
          <w:sz w:val="21"/>
          <w:szCs w:val="21"/>
        </w:rPr>
        <w:t>2.能源资源基地内设置矿业权时应符合国土空间规划管控要求。</w:t>
      </w:r>
    </w:p>
    <w:p>
      <w:pPr>
        <w:ind w:firstLine="600"/>
        <w:jc w:val="center"/>
        <w:outlineLvl w:val="1"/>
        <w:rPr>
          <w:rFonts w:ascii="黑体" w:hAnsi="黑体" w:eastAsia="黑体" w:cs="宋体"/>
          <w:bCs/>
          <w:color w:val="000000"/>
          <w:kern w:val="0"/>
          <w:sz w:val="30"/>
          <w:szCs w:val="30"/>
        </w:rPr>
      </w:pPr>
      <w:bookmarkStart w:id="72" w:name="_Toc124293488"/>
      <w:r>
        <w:rPr>
          <w:rFonts w:hint="eastAsia" w:ascii="黑体" w:hAnsi="黑体" w:eastAsia="黑体" w:cs="宋体"/>
          <w:bCs/>
          <w:color w:val="000000"/>
          <w:kern w:val="0"/>
          <w:sz w:val="30"/>
          <w:szCs w:val="30"/>
        </w:rPr>
        <w:t>附表2 峨边彝族自治县国家规划矿区表</w:t>
      </w:r>
      <w:bookmarkEnd w:id="72"/>
    </w:p>
    <w:tbl>
      <w:tblPr>
        <w:tblStyle w:val="23"/>
        <w:tblW w:w="5068" w:type="pct"/>
        <w:tblInd w:w="0" w:type="dxa"/>
        <w:tblLayout w:type="autofit"/>
        <w:tblCellMar>
          <w:top w:w="0" w:type="dxa"/>
          <w:left w:w="108" w:type="dxa"/>
          <w:bottom w:w="0" w:type="dxa"/>
          <w:right w:w="108" w:type="dxa"/>
        </w:tblCellMar>
      </w:tblPr>
      <w:tblGrid>
        <w:gridCol w:w="407"/>
        <w:gridCol w:w="1258"/>
        <w:gridCol w:w="1552"/>
        <w:gridCol w:w="721"/>
        <w:gridCol w:w="854"/>
        <w:gridCol w:w="609"/>
        <w:gridCol w:w="983"/>
        <w:gridCol w:w="1038"/>
        <w:gridCol w:w="779"/>
        <w:gridCol w:w="888"/>
        <w:gridCol w:w="825"/>
        <w:gridCol w:w="831"/>
        <w:gridCol w:w="1098"/>
        <w:gridCol w:w="825"/>
        <w:gridCol w:w="1078"/>
        <w:gridCol w:w="621"/>
      </w:tblGrid>
      <w:tr>
        <w:tblPrEx>
          <w:tblCellMar>
            <w:top w:w="0" w:type="dxa"/>
            <w:left w:w="108" w:type="dxa"/>
            <w:bottom w:w="0" w:type="dxa"/>
            <w:right w:w="108" w:type="dxa"/>
          </w:tblCellMar>
        </w:tblPrEx>
        <w:trPr>
          <w:trHeight w:val="1272" w:hRule="atLeast"/>
        </w:trPr>
        <w:tc>
          <w:tcPr>
            <w:tcW w:w="14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43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54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25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29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面积（Km</w:t>
            </w:r>
            <w:r>
              <w:rPr>
                <w:rFonts w:hint="eastAsia" w:ascii="宋体" w:hAnsi="宋体" w:cs="宋体"/>
                <w:b/>
                <w:bCs/>
                <w:color w:val="000000"/>
                <w:kern w:val="0"/>
                <w:sz w:val="15"/>
                <w:szCs w:val="15"/>
                <w:vertAlign w:val="superscript"/>
              </w:rPr>
              <w:t>2</w:t>
            </w:r>
            <w:r>
              <w:rPr>
                <w:rFonts w:hint="eastAsia" w:ascii="宋体" w:hAnsi="宋体" w:cs="宋体"/>
                <w:b/>
                <w:bCs/>
                <w:color w:val="000000"/>
                <w:kern w:val="0"/>
                <w:sz w:val="15"/>
                <w:szCs w:val="15"/>
              </w:rPr>
              <w:t>）</w:t>
            </w:r>
          </w:p>
        </w:tc>
        <w:tc>
          <w:tcPr>
            <w:tcW w:w="21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4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主要矿种</w:t>
            </w:r>
          </w:p>
        </w:tc>
        <w:tc>
          <w:tcPr>
            <w:tcW w:w="3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资源量单位</w:t>
            </w:r>
          </w:p>
        </w:tc>
        <w:tc>
          <w:tcPr>
            <w:tcW w:w="27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w:t>
            </w:r>
          </w:p>
        </w:tc>
        <w:tc>
          <w:tcPr>
            <w:tcW w:w="30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已设探矿权数量</w:t>
            </w:r>
          </w:p>
        </w:tc>
        <w:tc>
          <w:tcPr>
            <w:tcW w:w="28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拟设探矿权数量</w:t>
            </w:r>
          </w:p>
        </w:tc>
        <w:tc>
          <w:tcPr>
            <w:tcW w:w="28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已设采矿权数量</w:t>
            </w:r>
          </w:p>
        </w:tc>
        <w:tc>
          <w:tcPr>
            <w:tcW w:w="38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已设采矿权设计开采规模（万吨/年）</w:t>
            </w:r>
          </w:p>
        </w:tc>
        <w:tc>
          <w:tcPr>
            <w:tcW w:w="28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拟设采矿权数量</w:t>
            </w:r>
          </w:p>
        </w:tc>
        <w:tc>
          <w:tcPr>
            <w:tcW w:w="375"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拟设采矿权设计开采规模（万吨/年）</w:t>
            </w:r>
          </w:p>
        </w:tc>
        <w:tc>
          <w:tcPr>
            <w:tcW w:w="21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1183" w:hRule="atLeast"/>
        </w:trPr>
        <w:tc>
          <w:tcPr>
            <w:tcW w:w="142"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GK51113200001</w:t>
            </w:r>
          </w:p>
        </w:tc>
        <w:tc>
          <w:tcPr>
            <w:tcW w:w="540"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四川盆地重庆-宜宾</w:t>
            </w:r>
          </w:p>
        </w:tc>
        <w:tc>
          <w:tcPr>
            <w:tcW w:w="25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峨边</w:t>
            </w:r>
          </w:p>
        </w:tc>
        <w:tc>
          <w:tcPr>
            <w:tcW w:w="29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689.68</w:t>
            </w:r>
          </w:p>
        </w:tc>
        <w:tc>
          <w:tcPr>
            <w:tcW w:w="21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ascii="宋体" w:hAnsi="宋体" w:cs="宋体"/>
                <w:color w:val="000000"/>
                <w:kern w:val="0"/>
                <w:sz w:val="15"/>
                <w:szCs w:val="15"/>
              </w:rPr>
              <w:t>略</w:t>
            </w:r>
          </w:p>
        </w:tc>
        <w:tc>
          <w:tcPr>
            <w:tcW w:w="342" w:type="pct"/>
            <w:tcBorders>
              <w:top w:val="nil"/>
              <w:left w:val="nil"/>
              <w:bottom w:val="single" w:color="auto" w:sz="4" w:space="0"/>
              <w:right w:val="single" w:color="auto" w:sz="4" w:space="0"/>
            </w:tcBorders>
            <w:shd w:val="clear" w:color="auto" w:fill="auto"/>
            <w:noWrap/>
            <w:vAlign w:val="center"/>
          </w:tcPr>
          <w:p>
            <w:pPr>
              <w:widowControl/>
              <w:spacing w:line="240" w:lineRule="auto"/>
              <w:ind w:left="-281" w:leftChars="-117" w:firstLine="282" w:firstLineChars="188"/>
              <w:jc w:val="center"/>
              <w:rPr>
                <w:rFonts w:ascii="宋体" w:hAnsi="宋体" w:cs="宋体"/>
                <w:color w:val="000000"/>
                <w:kern w:val="0"/>
                <w:sz w:val="15"/>
                <w:szCs w:val="15"/>
              </w:rPr>
            </w:pPr>
            <w:r>
              <w:rPr>
                <w:rFonts w:hint="eastAsia" w:ascii="宋体" w:hAnsi="宋体" w:cs="宋体"/>
                <w:color w:val="000000"/>
                <w:kern w:val="0"/>
                <w:sz w:val="15"/>
                <w:szCs w:val="15"/>
              </w:rPr>
              <w:t>天然气</w:t>
            </w:r>
          </w:p>
        </w:tc>
        <w:tc>
          <w:tcPr>
            <w:tcW w:w="36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亿立方米</w:t>
            </w:r>
          </w:p>
        </w:tc>
        <w:tc>
          <w:tcPr>
            <w:tcW w:w="27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30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28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28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38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28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3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0</w:t>
            </w:r>
          </w:p>
        </w:tc>
        <w:tc>
          <w:tcPr>
            <w:tcW w:w="21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峨边部分</w:t>
            </w:r>
          </w:p>
        </w:tc>
      </w:tr>
    </w:tbl>
    <w:p>
      <w:pPr>
        <w:spacing w:line="240" w:lineRule="auto"/>
        <w:ind w:firstLine="420"/>
        <w:jc w:val="left"/>
        <w:rPr>
          <w:rFonts w:ascii="仿宋" w:hAnsi="仿宋" w:eastAsia="仿宋"/>
          <w:kern w:val="0"/>
          <w:sz w:val="21"/>
          <w:szCs w:val="21"/>
        </w:rPr>
      </w:pPr>
      <w:r>
        <w:rPr>
          <w:rFonts w:hint="eastAsia" w:ascii="仿宋" w:hAnsi="仿宋" w:eastAsia="仿宋"/>
          <w:kern w:val="0"/>
          <w:sz w:val="21"/>
          <w:szCs w:val="21"/>
        </w:rPr>
        <w:t>备注：1.拐点坐标及空间范围以规划数据库为准；</w:t>
      </w:r>
    </w:p>
    <w:p>
      <w:pPr>
        <w:autoSpaceDE w:val="0"/>
        <w:autoSpaceDN w:val="0"/>
        <w:adjustRightInd w:val="0"/>
        <w:spacing w:line="240" w:lineRule="auto"/>
        <w:ind w:firstLine="1050" w:firstLineChars="500"/>
        <w:rPr>
          <w:rFonts w:ascii="仿宋" w:hAnsi="仿宋" w:eastAsia="仿宋"/>
          <w:kern w:val="0"/>
          <w:sz w:val="21"/>
          <w:szCs w:val="21"/>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3" w:name="_Toc124293489"/>
      <w:r>
        <w:rPr>
          <w:rFonts w:hint="eastAsia" w:ascii="黑体" w:hAnsi="黑体" w:eastAsia="黑体" w:cs="宋体"/>
          <w:bCs/>
          <w:color w:val="000000"/>
          <w:kern w:val="0"/>
          <w:sz w:val="30"/>
          <w:szCs w:val="30"/>
        </w:rPr>
        <w:t>附表3 峨边彝族自治县战略性矿产资源保护区表</w:t>
      </w:r>
      <w:bookmarkEnd w:id="73"/>
    </w:p>
    <w:tbl>
      <w:tblPr>
        <w:tblStyle w:val="23"/>
        <w:tblW w:w="5000" w:type="pct"/>
        <w:tblInd w:w="0" w:type="dxa"/>
        <w:tblLayout w:type="autofit"/>
        <w:tblCellMar>
          <w:top w:w="0" w:type="dxa"/>
          <w:left w:w="108" w:type="dxa"/>
          <w:bottom w:w="0" w:type="dxa"/>
          <w:right w:w="108" w:type="dxa"/>
        </w:tblCellMar>
      </w:tblPr>
      <w:tblGrid>
        <w:gridCol w:w="1199"/>
        <w:gridCol w:w="1199"/>
        <w:gridCol w:w="1199"/>
        <w:gridCol w:w="1837"/>
        <w:gridCol w:w="2081"/>
        <w:gridCol w:w="1568"/>
        <w:gridCol w:w="1395"/>
        <w:gridCol w:w="1298"/>
        <w:gridCol w:w="1199"/>
        <w:gridCol w:w="1199"/>
      </w:tblGrid>
      <w:tr>
        <w:tblPrEx>
          <w:tblCellMar>
            <w:top w:w="0" w:type="dxa"/>
            <w:left w:w="108" w:type="dxa"/>
            <w:bottom w:w="0" w:type="dxa"/>
            <w:right w:w="108" w:type="dxa"/>
          </w:tblCellMar>
        </w:tblPrEx>
        <w:trPr>
          <w:trHeight w:val="768" w:hRule="atLeast"/>
        </w:trPr>
        <w:tc>
          <w:tcPr>
            <w:tcW w:w="4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42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42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64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734"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面积（Km</w:t>
            </w:r>
            <w:r>
              <w:rPr>
                <w:rFonts w:hint="eastAsia" w:ascii="宋体" w:hAnsi="宋体" w:cs="宋体"/>
                <w:b/>
                <w:bCs/>
                <w:color w:val="000000"/>
                <w:kern w:val="0"/>
                <w:sz w:val="15"/>
                <w:szCs w:val="15"/>
                <w:vertAlign w:val="superscript"/>
              </w:rPr>
              <w:t>2</w:t>
            </w:r>
            <w:r>
              <w:rPr>
                <w:rFonts w:hint="eastAsia" w:ascii="宋体" w:hAnsi="宋体" w:cs="宋体"/>
                <w:b/>
                <w:bCs/>
                <w:color w:val="000000"/>
                <w:kern w:val="0"/>
                <w:sz w:val="15"/>
                <w:szCs w:val="15"/>
              </w:rPr>
              <w:t>）</w:t>
            </w:r>
          </w:p>
        </w:tc>
        <w:tc>
          <w:tcPr>
            <w:tcW w:w="55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49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主要矿种</w:t>
            </w:r>
          </w:p>
        </w:tc>
        <w:tc>
          <w:tcPr>
            <w:tcW w:w="45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资源量单位</w:t>
            </w:r>
          </w:p>
        </w:tc>
        <w:tc>
          <w:tcPr>
            <w:tcW w:w="42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w:t>
            </w:r>
          </w:p>
        </w:tc>
        <w:tc>
          <w:tcPr>
            <w:tcW w:w="42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501" w:hRule="atLeast"/>
        </w:trPr>
        <w:tc>
          <w:tcPr>
            <w:tcW w:w="423"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64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734"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55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9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5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42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w:t>
            </w:r>
          </w:p>
        </w:tc>
      </w:tr>
    </w:tbl>
    <w:p>
      <w:pPr>
        <w:ind w:firstLine="0" w:firstLineChars="0"/>
        <w:rPr>
          <w:rFonts w:eastAsia="仿宋_GB2312"/>
          <w:kern w:val="0"/>
          <w:sz w:val="32"/>
          <w:szCs w:val="32"/>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4" w:name="_Toc124293490"/>
      <w:r>
        <w:rPr>
          <w:rFonts w:hint="eastAsia" w:ascii="黑体" w:hAnsi="黑体" w:eastAsia="黑体" w:cs="宋体"/>
          <w:bCs/>
          <w:color w:val="000000"/>
          <w:kern w:val="0"/>
          <w:sz w:val="30"/>
          <w:szCs w:val="30"/>
        </w:rPr>
        <w:t>附表4 峨边彝族自治县矿产资源重点勘查区表</w:t>
      </w:r>
      <w:bookmarkEnd w:id="74"/>
    </w:p>
    <w:tbl>
      <w:tblPr>
        <w:tblStyle w:val="23"/>
        <w:tblW w:w="5000" w:type="pct"/>
        <w:tblInd w:w="0" w:type="dxa"/>
        <w:tblLayout w:type="autofit"/>
        <w:tblCellMar>
          <w:top w:w="0" w:type="dxa"/>
          <w:left w:w="108" w:type="dxa"/>
          <w:bottom w:w="0" w:type="dxa"/>
          <w:right w:w="108" w:type="dxa"/>
        </w:tblCellMar>
      </w:tblPr>
      <w:tblGrid>
        <w:gridCol w:w="595"/>
        <w:gridCol w:w="1338"/>
        <w:gridCol w:w="1741"/>
        <w:gridCol w:w="1948"/>
        <w:gridCol w:w="1276"/>
        <w:gridCol w:w="2648"/>
        <w:gridCol w:w="953"/>
        <w:gridCol w:w="1432"/>
        <w:gridCol w:w="1474"/>
        <w:gridCol w:w="769"/>
      </w:tblGrid>
      <w:tr>
        <w:tblPrEx>
          <w:tblCellMar>
            <w:top w:w="0" w:type="dxa"/>
            <w:left w:w="108" w:type="dxa"/>
            <w:bottom w:w="0" w:type="dxa"/>
            <w:right w:w="108" w:type="dxa"/>
          </w:tblCellMar>
        </w:tblPrEx>
        <w:trPr>
          <w:trHeight w:val="615" w:hRule="atLeast"/>
        </w:trPr>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472"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614"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687"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450"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面积（Km</w:t>
            </w:r>
            <w:r>
              <w:rPr>
                <w:rFonts w:hint="eastAsia" w:ascii="宋体" w:hAnsi="宋体" w:cs="宋体"/>
                <w:b/>
                <w:bCs/>
                <w:color w:val="000000"/>
                <w:kern w:val="0"/>
                <w:sz w:val="15"/>
                <w:szCs w:val="15"/>
                <w:vertAlign w:val="superscript"/>
              </w:rPr>
              <w:t>2</w:t>
            </w:r>
            <w:r>
              <w:rPr>
                <w:rFonts w:hint="eastAsia" w:ascii="宋体" w:hAnsi="宋体" w:cs="宋体"/>
                <w:b/>
                <w:bCs/>
                <w:color w:val="000000"/>
                <w:kern w:val="0"/>
                <w:sz w:val="15"/>
                <w:szCs w:val="15"/>
              </w:rPr>
              <w:t>）</w:t>
            </w:r>
          </w:p>
        </w:tc>
        <w:tc>
          <w:tcPr>
            <w:tcW w:w="934"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36"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主要矿种</w:t>
            </w:r>
          </w:p>
        </w:tc>
        <w:tc>
          <w:tcPr>
            <w:tcW w:w="50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已设探矿权数量</w:t>
            </w:r>
          </w:p>
        </w:tc>
        <w:tc>
          <w:tcPr>
            <w:tcW w:w="520"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拟设探矿权数量</w:t>
            </w:r>
          </w:p>
        </w:tc>
        <w:tc>
          <w:tcPr>
            <w:tcW w:w="27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600" w:hRule="atLeast"/>
        </w:trPr>
        <w:tc>
          <w:tcPr>
            <w:tcW w:w="210"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472"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614"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687"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45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934"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336"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50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52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c>
          <w:tcPr>
            <w:tcW w:w="27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 w:val="15"/>
                <w:szCs w:val="15"/>
              </w:rPr>
            </w:pPr>
            <w:r>
              <w:rPr>
                <w:rFonts w:hint="eastAsia" w:ascii="宋体" w:hAnsi="宋体" w:cs="宋体"/>
                <w:kern w:val="0"/>
                <w:sz w:val="15"/>
                <w:szCs w:val="15"/>
              </w:rPr>
              <w:t>/</w:t>
            </w:r>
          </w:p>
        </w:tc>
      </w:tr>
    </w:tbl>
    <w:p>
      <w:pPr>
        <w:ind w:firstLine="0" w:firstLineChars="0"/>
        <w:rPr>
          <w:rFonts w:eastAsia="仿宋_GB2312"/>
          <w:kern w:val="0"/>
          <w:sz w:val="32"/>
          <w:szCs w:val="32"/>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5" w:name="_Toc124293491"/>
      <w:r>
        <w:rPr>
          <w:rFonts w:hint="eastAsia" w:ascii="黑体" w:hAnsi="黑体" w:eastAsia="黑体" w:cs="宋体"/>
          <w:bCs/>
          <w:color w:val="000000"/>
          <w:kern w:val="0"/>
          <w:sz w:val="30"/>
          <w:szCs w:val="30"/>
        </w:rPr>
        <w:t>附表5 峨边彝族自治县勘查规划区块表</w:t>
      </w:r>
      <w:bookmarkEnd w:id="75"/>
    </w:p>
    <w:tbl>
      <w:tblPr>
        <w:tblStyle w:val="23"/>
        <w:tblW w:w="5104" w:type="pct"/>
        <w:tblInd w:w="0" w:type="dxa"/>
        <w:tblLayout w:type="autofit"/>
        <w:tblCellMar>
          <w:top w:w="0" w:type="dxa"/>
          <w:left w:w="108" w:type="dxa"/>
          <w:bottom w:w="0" w:type="dxa"/>
          <w:right w:w="108" w:type="dxa"/>
        </w:tblCellMar>
      </w:tblPr>
      <w:tblGrid>
        <w:gridCol w:w="698"/>
        <w:gridCol w:w="1192"/>
        <w:gridCol w:w="1936"/>
        <w:gridCol w:w="1386"/>
        <w:gridCol w:w="874"/>
        <w:gridCol w:w="3462"/>
        <w:gridCol w:w="828"/>
        <w:gridCol w:w="1094"/>
        <w:gridCol w:w="845"/>
        <w:gridCol w:w="2154"/>
      </w:tblGrid>
      <w:tr>
        <w:tblPrEx>
          <w:tblCellMar>
            <w:top w:w="0" w:type="dxa"/>
            <w:left w:w="108" w:type="dxa"/>
            <w:bottom w:w="0" w:type="dxa"/>
            <w:right w:w="108" w:type="dxa"/>
          </w:tblCellMar>
        </w:tblPrEx>
        <w:trPr>
          <w:trHeight w:val="780" w:hRule="atLeast"/>
        </w:trPr>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41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66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区块名称</w:t>
            </w:r>
          </w:p>
        </w:tc>
        <w:tc>
          <w:tcPr>
            <w:tcW w:w="47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勘查主矿种</w:t>
            </w:r>
          </w:p>
        </w:tc>
        <w:tc>
          <w:tcPr>
            <w:tcW w:w="30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面积（平方千米）</w:t>
            </w:r>
          </w:p>
        </w:tc>
        <w:tc>
          <w:tcPr>
            <w:tcW w:w="119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28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现有勘查程度</w:t>
            </w:r>
          </w:p>
        </w:tc>
        <w:tc>
          <w:tcPr>
            <w:tcW w:w="37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kern w:val="0"/>
                <w:sz w:val="15"/>
                <w:szCs w:val="15"/>
              </w:rPr>
            </w:pPr>
            <w:r>
              <w:rPr>
                <w:rFonts w:hint="eastAsia" w:ascii="宋体" w:hAnsi="宋体" w:cs="宋体"/>
                <w:b/>
                <w:bCs/>
                <w:kern w:val="0"/>
                <w:sz w:val="15"/>
                <w:szCs w:val="15"/>
              </w:rPr>
              <w:t>拟设探矿权勘查阶段</w:t>
            </w:r>
          </w:p>
        </w:tc>
        <w:tc>
          <w:tcPr>
            <w:tcW w:w="29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投放时序</w:t>
            </w:r>
          </w:p>
        </w:tc>
        <w:tc>
          <w:tcPr>
            <w:tcW w:w="744"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1428" w:hRule="atLeast"/>
        </w:trPr>
        <w:tc>
          <w:tcPr>
            <w:tcW w:w="241"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1</w:t>
            </w:r>
          </w:p>
        </w:tc>
        <w:tc>
          <w:tcPr>
            <w:tcW w:w="41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KQ51113200001</w:t>
            </w:r>
          </w:p>
        </w:tc>
        <w:tc>
          <w:tcPr>
            <w:tcW w:w="66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四川省峨边彝族自治县新街子冶金用白云岩普查</w:t>
            </w:r>
          </w:p>
        </w:tc>
        <w:tc>
          <w:tcPr>
            <w:tcW w:w="4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冶金用白云岩</w:t>
            </w:r>
          </w:p>
        </w:tc>
        <w:tc>
          <w:tcPr>
            <w:tcW w:w="30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1.34</w:t>
            </w:r>
          </w:p>
        </w:tc>
        <w:tc>
          <w:tcPr>
            <w:tcW w:w="119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略</w:t>
            </w:r>
          </w:p>
        </w:tc>
        <w:tc>
          <w:tcPr>
            <w:tcW w:w="28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调查评价</w:t>
            </w:r>
          </w:p>
        </w:tc>
        <w:tc>
          <w:tcPr>
            <w:tcW w:w="3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普查</w:t>
            </w:r>
          </w:p>
        </w:tc>
        <w:tc>
          <w:tcPr>
            <w:tcW w:w="29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2025</w:t>
            </w:r>
          </w:p>
        </w:tc>
        <w:tc>
          <w:tcPr>
            <w:tcW w:w="744"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kern w:val="0"/>
                <w:sz w:val="15"/>
                <w:szCs w:val="15"/>
              </w:rPr>
            </w:pPr>
            <w:r>
              <w:rPr>
                <w:rFonts w:hint="eastAsia" w:ascii="仿宋_GB2312" w:eastAsia="仿宋_GB2312"/>
                <w:color w:val="000000"/>
                <w:sz w:val="15"/>
                <w:szCs w:val="15"/>
              </w:rPr>
              <w:t>1、满足绿色勘查要求；</w:t>
            </w:r>
            <w:r>
              <w:rPr>
                <w:rFonts w:hint="eastAsia" w:ascii="仿宋_GB2312" w:eastAsia="仿宋_GB2312"/>
                <w:color w:val="000000"/>
                <w:sz w:val="15"/>
                <w:szCs w:val="15"/>
              </w:rPr>
              <w:br w:type="textWrapping"/>
            </w:r>
            <w:r>
              <w:rPr>
                <w:rFonts w:hint="eastAsia" w:ascii="仿宋_GB2312" w:eastAsia="仿宋_GB2312"/>
                <w:color w:val="000000"/>
                <w:sz w:val="15"/>
                <w:szCs w:val="15"/>
              </w:rPr>
              <w:t>2、经勘查达不到冶金用白云岩资源储量规模或工业指标要求的，不得变更勘查开采矿种，不得探转采。</w:t>
            </w:r>
          </w:p>
        </w:tc>
      </w:tr>
    </w:tbl>
    <w:p>
      <w:pPr>
        <w:spacing w:line="240" w:lineRule="auto"/>
        <w:ind w:firstLine="420"/>
        <w:jc w:val="left"/>
        <w:rPr>
          <w:rFonts w:ascii="仿宋" w:hAnsi="仿宋" w:eastAsia="仿宋"/>
          <w:kern w:val="0"/>
          <w:sz w:val="21"/>
          <w:szCs w:val="21"/>
        </w:rPr>
      </w:pPr>
      <w:r>
        <w:rPr>
          <w:rFonts w:hint="eastAsia" w:ascii="仿宋" w:hAnsi="仿宋" w:eastAsia="仿宋"/>
          <w:kern w:val="0"/>
          <w:sz w:val="21"/>
          <w:szCs w:val="21"/>
        </w:rPr>
        <w:t>备注：1.拐点坐标及空间范围以规划数据库为准；</w:t>
      </w:r>
    </w:p>
    <w:p>
      <w:pPr>
        <w:autoSpaceDE w:val="0"/>
        <w:autoSpaceDN w:val="0"/>
        <w:adjustRightInd w:val="0"/>
        <w:ind w:firstLine="602"/>
        <w:jc w:val="center"/>
        <w:rPr>
          <w:rFonts w:ascii="宋体" w:hAnsi="宋体" w:cs="宋体"/>
          <w:b/>
          <w:bCs/>
          <w:color w:val="000000"/>
          <w:kern w:val="0"/>
          <w:sz w:val="30"/>
          <w:szCs w:val="30"/>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6" w:name="_Toc124293492"/>
      <w:r>
        <w:rPr>
          <w:rFonts w:hint="eastAsia" w:ascii="黑体" w:hAnsi="黑体" w:eastAsia="黑体" w:cs="宋体"/>
          <w:bCs/>
          <w:color w:val="000000"/>
          <w:kern w:val="0"/>
          <w:sz w:val="30"/>
          <w:szCs w:val="30"/>
        </w:rPr>
        <w:t>附表6 峨边彝族自治县矿产资源重点开采区表</w:t>
      </w:r>
      <w:bookmarkEnd w:id="76"/>
    </w:p>
    <w:tbl>
      <w:tblPr>
        <w:tblStyle w:val="23"/>
        <w:tblW w:w="5000" w:type="pct"/>
        <w:tblInd w:w="0" w:type="dxa"/>
        <w:tblLayout w:type="autofit"/>
        <w:tblCellMar>
          <w:top w:w="0" w:type="dxa"/>
          <w:left w:w="108" w:type="dxa"/>
          <w:bottom w:w="0" w:type="dxa"/>
          <w:right w:w="108" w:type="dxa"/>
        </w:tblCellMar>
      </w:tblPr>
      <w:tblGrid>
        <w:gridCol w:w="714"/>
        <w:gridCol w:w="714"/>
        <w:gridCol w:w="714"/>
        <w:gridCol w:w="1335"/>
        <w:gridCol w:w="1960"/>
        <w:gridCol w:w="1129"/>
        <w:gridCol w:w="1129"/>
        <w:gridCol w:w="1336"/>
        <w:gridCol w:w="922"/>
        <w:gridCol w:w="1753"/>
        <w:gridCol w:w="1753"/>
        <w:gridCol w:w="715"/>
      </w:tblGrid>
      <w:tr>
        <w:tblPrEx>
          <w:tblCellMar>
            <w:top w:w="0" w:type="dxa"/>
            <w:left w:w="108" w:type="dxa"/>
            <w:bottom w:w="0" w:type="dxa"/>
            <w:right w:w="108" w:type="dxa"/>
          </w:tblCellMar>
        </w:tblPrEx>
        <w:trPr>
          <w:trHeight w:val="612" w:hRule="atLeast"/>
        </w:trPr>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252"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252"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47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69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面积（平方千米）</w:t>
            </w:r>
          </w:p>
        </w:tc>
        <w:tc>
          <w:tcPr>
            <w:tcW w:w="39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9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主要矿种</w:t>
            </w:r>
          </w:p>
        </w:tc>
        <w:tc>
          <w:tcPr>
            <w:tcW w:w="47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资源量单位</w:t>
            </w:r>
          </w:p>
        </w:tc>
        <w:tc>
          <w:tcPr>
            <w:tcW w:w="32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w:t>
            </w:r>
          </w:p>
        </w:tc>
        <w:tc>
          <w:tcPr>
            <w:tcW w:w="61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已设采矿权数量</w:t>
            </w:r>
          </w:p>
        </w:tc>
        <w:tc>
          <w:tcPr>
            <w:tcW w:w="61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拟设采矿权数量</w:t>
            </w:r>
          </w:p>
        </w:tc>
        <w:tc>
          <w:tcPr>
            <w:tcW w:w="252"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578" w:hRule="atLeast"/>
        </w:trPr>
        <w:tc>
          <w:tcPr>
            <w:tcW w:w="252" w:type="pc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cs="宋体"/>
                <w:color w:val="000000"/>
                <w:kern w:val="0"/>
                <w:szCs w:val="21"/>
              </w:rPr>
            </w:pPr>
            <w:r>
              <w:rPr>
                <w:rFonts w:hint="eastAsia" w:ascii="宋体" w:hAnsi="宋体" w:cs="宋体"/>
                <w:color w:val="000000"/>
                <w:kern w:val="0"/>
                <w:szCs w:val="21"/>
              </w:rPr>
              <w:t>/</w:t>
            </w:r>
          </w:p>
        </w:tc>
        <w:tc>
          <w:tcPr>
            <w:tcW w:w="252"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color w:val="FF0000"/>
                <w:kern w:val="0"/>
                <w:szCs w:val="21"/>
              </w:rPr>
            </w:pPr>
            <w:r>
              <w:rPr>
                <w:rFonts w:hint="eastAsia" w:ascii="宋体" w:hAnsi="宋体" w:cs="宋体"/>
                <w:color w:val="000000"/>
                <w:kern w:val="0"/>
                <w:szCs w:val="21"/>
              </w:rPr>
              <w:t>/</w:t>
            </w:r>
          </w:p>
        </w:tc>
        <w:tc>
          <w:tcPr>
            <w:tcW w:w="252"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47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69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39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39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47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325"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61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61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cs="宋体"/>
                <w:kern w:val="0"/>
                <w:szCs w:val="21"/>
              </w:rPr>
            </w:pPr>
            <w:r>
              <w:rPr>
                <w:rFonts w:hint="eastAsia" w:ascii="宋体" w:hAnsi="宋体" w:cs="宋体"/>
                <w:color w:val="000000"/>
                <w:kern w:val="0"/>
                <w:szCs w:val="21"/>
              </w:rPr>
              <w:t>/</w:t>
            </w:r>
          </w:p>
        </w:tc>
        <w:tc>
          <w:tcPr>
            <w:tcW w:w="252"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cs="宋体"/>
                <w:color w:val="000000"/>
                <w:kern w:val="0"/>
                <w:szCs w:val="21"/>
              </w:rPr>
            </w:pPr>
            <w:r>
              <w:rPr>
                <w:rFonts w:hint="eastAsia" w:ascii="宋体" w:hAnsi="宋体" w:cs="宋体"/>
                <w:color w:val="000000"/>
                <w:kern w:val="0"/>
                <w:szCs w:val="21"/>
              </w:rPr>
              <w:t>/</w:t>
            </w:r>
          </w:p>
        </w:tc>
      </w:tr>
    </w:tbl>
    <w:p>
      <w:pPr>
        <w:autoSpaceDE w:val="0"/>
        <w:autoSpaceDN w:val="0"/>
        <w:adjustRightInd w:val="0"/>
        <w:ind w:firstLine="602"/>
        <w:jc w:val="center"/>
        <w:rPr>
          <w:rFonts w:ascii="宋体" w:hAnsi="宋体" w:cs="宋体"/>
          <w:b/>
          <w:bCs/>
          <w:color w:val="000000"/>
          <w:kern w:val="0"/>
          <w:sz w:val="30"/>
          <w:szCs w:val="30"/>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7" w:name="_Toc124293493"/>
      <w:r>
        <w:rPr>
          <w:rFonts w:hint="eastAsia" w:ascii="黑体" w:hAnsi="黑体" w:eastAsia="黑体" w:cs="宋体"/>
          <w:bCs/>
          <w:color w:val="000000"/>
          <w:kern w:val="0"/>
          <w:sz w:val="30"/>
          <w:szCs w:val="30"/>
        </w:rPr>
        <w:t>附表7 峨边彝族自治县开采规划区块表</w:t>
      </w:r>
      <w:bookmarkEnd w:id="77"/>
    </w:p>
    <w:tbl>
      <w:tblPr>
        <w:tblStyle w:val="23"/>
        <w:tblW w:w="5000" w:type="pct"/>
        <w:tblInd w:w="0" w:type="dxa"/>
        <w:tblLayout w:type="autofit"/>
        <w:tblCellMar>
          <w:top w:w="0" w:type="dxa"/>
          <w:left w:w="108" w:type="dxa"/>
          <w:bottom w:w="0" w:type="dxa"/>
          <w:right w:w="108" w:type="dxa"/>
        </w:tblCellMar>
      </w:tblPr>
      <w:tblGrid>
        <w:gridCol w:w="482"/>
        <w:gridCol w:w="1219"/>
        <w:gridCol w:w="2614"/>
        <w:gridCol w:w="1301"/>
        <w:gridCol w:w="1052"/>
        <w:gridCol w:w="1426"/>
        <w:gridCol w:w="901"/>
        <w:gridCol w:w="1029"/>
        <w:gridCol w:w="743"/>
        <w:gridCol w:w="643"/>
        <w:gridCol w:w="2764"/>
      </w:tblGrid>
      <w:tr>
        <w:tblPrEx>
          <w:tblCellMar>
            <w:top w:w="0" w:type="dxa"/>
            <w:left w:w="108" w:type="dxa"/>
            <w:bottom w:w="0" w:type="dxa"/>
            <w:right w:w="108" w:type="dxa"/>
          </w:tblCellMar>
        </w:tblPrEx>
        <w:trPr>
          <w:trHeight w:val="896" w:hRule="atLeast"/>
          <w:tblHeader/>
        </w:trPr>
        <w:tc>
          <w:tcPr>
            <w:tcW w:w="1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43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92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区块名称</w:t>
            </w:r>
          </w:p>
        </w:tc>
        <w:tc>
          <w:tcPr>
            <w:tcW w:w="45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开采主矿种</w:t>
            </w:r>
          </w:p>
        </w:tc>
        <w:tc>
          <w:tcPr>
            <w:tcW w:w="37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涉及开采总量控制矿种</w:t>
            </w:r>
          </w:p>
        </w:tc>
        <w:tc>
          <w:tcPr>
            <w:tcW w:w="5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面积（平方千米）</w:t>
            </w:r>
          </w:p>
        </w:tc>
        <w:tc>
          <w:tcPr>
            <w:tcW w:w="318"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6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资源量单位</w:t>
            </w:r>
          </w:p>
        </w:tc>
        <w:tc>
          <w:tcPr>
            <w:tcW w:w="262"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w:t>
            </w:r>
          </w:p>
        </w:tc>
        <w:tc>
          <w:tcPr>
            <w:tcW w:w="227"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投放时序</w:t>
            </w:r>
          </w:p>
        </w:tc>
        <w:tc>
          <w:tcPr>
            <w:tcW w:w="975"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blPrEx>
          <w:tblCellMar>
            <w:top w:w="0" w:type="dxa"/>
            <w:left w:w="108" w:type="dxa"/>
            <w:bottom w:w="0" w:type="dxa"/>
            <w:right w:w="108" w:type="dxa"/>
          </w:tblCellMar>
        </w:tblPrEx>
        <w:trPr>
          <w:trHeight w:val="1747" w:hRule="atLeast"/>
        </w:trPr>
        <w:tc>
          <w:tcPr>
            <w:tcW w:w="1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43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CQ51113200001</w:t>
            </w:r>
          </w:p>
        </w:tc>
        <w:tc>
          <w:tcPr>
            <w:tcW w:w="92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峨边彝族自治县茶园坪建筑石料用灰岩、建筑用玄武岩矿</w:t>
            </w:r>
          </w:p>
        </w:tc>
        <w:tc>
          <w:tcPr>
            <w:tcW w:w="45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建筑石料用灰岩、建筑用玄武岩</w:t>
            </w:r>
          </w:p>
        </w:tc>
        <w:tc>
          <w:tcPr>
            <w:tcW w:w="37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无</w:t>
            </w:r>
          </w:p>
        </w:tc>
        <w:tc>
          <w:tcPr>
            <w:tcW w:w="503"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1.3714</w:t>
            </w:r>
          </w:p>
        </w:tc>
        <w:tc>
          <w:tcPr>
            <w:tcW w:w="31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ascii="宋体" w:hAnsi="宋体" w:cs="宋体"/>
                <w:kern w:val="0"/>
                <w:sz w:val="15"/>
                <w:szCs w:val="15"/>
              </w:rPr>
              <w:t>略</w:t>
            </w:r>
          </w:p>
        </w:tc>
        <w:tc>
          <w:tcPr>
            <w:tcW w:w="363"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千立方米</w:t>
            </w:r>
          </w:p>
        </w:tc>
        <w:tc>
          <w:tcPr>
            <w:tcW w:w="262" w:type="pct"/>
            <w:tcBorders>
              <w:top w:val="nil"/>
              <w:left w:val="nil"/>
              <w:bottom w:val="nil"/>
              <w:right w:val="nil"/>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 xml:space="preserve">185240 </w:t>
            </w:r>
          </w:p>
        </w:tc>
        <w:tc>
          <w:tcPr>
            <w:tcW w:w="22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2025</w:t>
            </w:r>
          </w:p>
        </w:tc>
        <w:tc>
          <w:tcPr>
            <w:tcW w:w="97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kern w:val="0"/>
                <w:sz w:val="13"/>
                <w:szCs w:val="13"/>
              </w:rPr>
            </w:pPr>
            <w:r>
              <w:rPr>
                <w:rFonts w:hint="eastAsia" w:ascii="仿宋_GB2312" w:eastAsia="仿宋_GB2312" w:hAnsiTheme="minorEastAsia"/>
                <w:sz w:val="13"/>
                <w:szCs w:val="13"/>
              </w:rPr>
              <w:t>1、属省级规划划定的“峨边刘家沟-茶园坪”砂石资源基地内开采规划区块，出让应满足最低开采规模、服务年限以及“三率”要求；</w:t>
            </w:r>
            <w:r>
              <w:rPr>
                <w:rFonts w:hint="eastAsia" w:ascii="仿宋_GB2312" w:eastAsia="仿宋_GB2312" w:hAnsiTheme="minorEastAsia"/>
                <w:sz w:val="13"/>
                <w:szCs w:val="13"/>
              </w:rPr>
              <w:br w:type="textWrapping"/>
            </w:r>
            <w:r>
              <w:rPr>
                <w:rFonts w:hint="eastAsia" w:ascii="仿宋_GB2312" w:eastAsia="仿宋_GB2312" w:hAnsiTheme="minorEastAsia"/>
                <w:sz w:val="13"/>
                <w:szCs w:val="13"/>
              </w:rPr>
              <w:t>2、严格执行矿山地质环境恢复治理与土地复垦方案，满足绿色矿山建设行业规范。</w:t>
            </w:r>
          </w:p>
        </w:tc>
      </w:tr>
      <w:tr>
        <w:tblPrEx>
          <w:tblCellMar>
            <w:top w:w="0" w:type="dxa"/>
            <w:left w:w="108" w:type="dxa"/>
            <w:bottom w:w="0" w:type="dxa"/>
            <w:right w:w="108" w:type="dxa"/>
          </w:tblCellMar>
        </w:tblPrEx>
        <w:trPr>
          <w:trHeight w:val="1812" w:hRule="atLeast"/>
        </w:trPr>
        <w:tc>
          <w:tcPr>
            <w:tcW w:w="1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2</w:t>
            </w:r>
          </w:p>
        </w:tc>
        <w:tc>
          <w:tcPr>
            <w:tcW w:w="43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CQ51113200002</w:t>
            </w:r>
          </w:p>
        </w:tc>
        <w:tc>
          <w:tcPr>
            <w:tcW w:w="92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峨边彝族自治县周沟玻璃用白云岩矿</w:t>
            </w:r>
          </w:p>
        </w:tc>
        <w:tc>
          <w:tcPr>
            <w:tcW w:w="45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玻璃用白云岩</w:t>
            </w:r>
          </w:p>
        </w:tc>
        <w:tc>
          <w:tcPr>
            <w:tcW w:w="37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无</w:t>
            </w:r>
          </w:p>
        </w:tc>
        <w:tc>
          <w:tcPr>
            <w:tcW w:w="50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0.3279</w:t>
            </w:r>
          </w:p>
        </w:tc>
        <w:tc>
          <w:tcPr>
            <w:tcW w:w="31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略</w:t>
            </w:r>
          </w:p>
        </w:tc>
        <w:tc>
          <w:tcPr>
            <w:tcW w:w="363"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矿石      千吨</w:t>
            </w:r>
          </w:p>
        </w:tc>
        <w:tc>
          <w:tcPr>
            <w:tcW w:w="26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40000</w:t>
            </w:r>
          </w:p>
        </w:tc>
        <w:tc>
          <w:tcPr>
            <w:tcW w:w="22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sz w:val="15"/>
                <w:szCs w:val="15"/>
              </w:rPr>
            </w:pPr>
            <w:r>
              <w:rPr>
                <w:rFonts w:hint="eastAsia" w:ascii="宋体" w:hAnsi="宋体" w:cs="宋体"/>
                <w:kern w:val="0"/>
                <w:sz w:val="15"/>
                <w:szCs w:val="15"/>
              </w:rPr>
              <w:t>2025</w:t>
            </w:r>
          </w:p>
        </w:tc>
        <w:tc>
          <w:tcPr>
            <w:tcW w:w="97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kern w:val="0"/>
                <w:sz w:val="13"/>
                <w:szCs w:val="13"/>
              </w:rPr>
            </w:pPr>
            <w:r>
              <w:rPr>
                <w:rFonts w:hint="eastAsia" w:ascii="仿宋_GB2312" w:eastAsia="仿宋_GB2312" w:hAnsiTheme="minorEastAsia"/>
                <w:color w:val="000000"/>
                <w:sz w:val="13"/>
                <w:szCs w:val="13"/>
              </w:rPr>
              <w:t>1、出让采矿权前应查明资源储量，达到相应勘查程度；</w:t>
            </w:r>
            <w:r>
              <w:rPr>
                <w:rFonts w:hint="eastAsia" w:ascii="仿宋_GB2312" w:eastAsia="仿宋_GB2312" w:hAnsiTheme="minorEastAsia"/>
                <w:color w:val="000000"/>
                <w:sz w:val="13"/>
                <w:szCs w:val="13"/>
              </w:rPr>
              <w:br w:type="textWrapping"/>
            </w:r>
            <w:r>
              <w:rPr>
                <w:rFonts w:hint="eastAsia" w:ascii="仿宋_GB2312" w:eastAsia="仿宋_GB2312" w:hAnsiTheme="minorEastAsia"/>
                <w:color w:val="000000"/>
                <w:sz w:val="13"/>
                <w:szCs w:val="13"/>
              </w:rPr>
              <w:t>2、经勘查达不到玻璃用白云岩资源储量规模或工业指标要求的，不得变更勘查开采矿种，不得探转采；</w:t>
            </w:r>
            <w:r>
              <w:rPr>
                <w:rFonts w:hint="eastAsia" w:ascii="仿宋_GB2312" w:eastAsia="仿宋_GB2312" w:hAnsiTheme="minorEastAsia"/>
                <w:color w:val="000000"/>
                <w:sz w:val="13"/>
                <w:szCs w:val="13"/>
              </w:rPr>
              <w:br w:type="textWrapping"/>
            </w:r>
            <w:r>
              <w:rPr>
                <w:rFonts w:hint="eastAsia" w:ascii="仿宋_GB2312" w:eastAsia="仿宋_GB2312" w:hAnsiTheme="minorEastAsia"/>
                <w:color w:val="000000"/>
                <w:sz w:val="13"/>
                <w:szCs w:val="13"/>
              </w:rPr>
              <w:t>3、出让应满足最低开采规模、服务年限以及“三率”要求；</w:t>
            </w:r>
            <w:r>
              <w:rPr>
                <w:rFonts w:hint="eastAsia" w:ascii="仿宋_GB2312" w:eastAsia="仿宋_GB2312" w:hAnsiTheme="minorEastAsia"/>
                <w:color w:val="000000"/>
                <w:sz w:val="13"/>
                <w:szCs w:val="13"/>
              </w:rPr>
              <w:br w:type="textWrapping"/>
            </w:r>
            <w:r>
              <w:rPr>
                <w:rFonts w:hint="eastAsia" w:ascii="仿宋_GB2312" w:eastAsia="仿宋_GB2312" w:hAnsiTheme="minorEastAsia"/>
                <w:color w:val="000000"/>
                <w:sz w:val="13"/>
                <w:szCs w:val="13"/>
              </w:rPr>
              <w:t>4、严格执行矿山地质环境恢复治理与土地复垦方案，满足绿色矿山建设行业规范。</w:t>
            </w:r>
          </w:p>
        </w:tc>
      </w:tr>
    </w:tbl>
    <w:p>
      <w:pPr>
        <w:spacing w:line="240" w:lineRule="auto"/>
        <w:ind w:firstLine="420"/>
        <w:jc w:val="left"/>
        <w:rPr>
          <w:rFonts w:ascii="仿宋" w:hAnsi="仿宋" w:eastAsia="仿宋"/>
          <w:kern w:val="0"/>
          <w:sz w:val="21"/>
          <w:szCs w:val="21"/>
        </w:rPr>
      </w:pPr>
      <w:r>
        <w:rPr>
          <w:rFonts w:hint="eastAsia" w:ascii="仿宋" w:hAnsi="仿宋" w:eastAsia="仿宋"/>
          <w:kern w:val="0"/>
          <w:sz w:val="21"/>
          <w:szCs w:val="21"/>
        </w:rPr>
        <w:t>备注：1.拐点坐标及空间范围以规划数据库为准；</w:t>
      </w:r>
    </w:p>
    <w:p>
      <w:pPr>
        <w:autoSpaceDE w:val="0"/>
        <w:autoSpaceDN w:val="0"/>
        <w:adjustRightInd w:val="0"/>
        <w:ind w:firstLine="602"/>
        <w:jc w:val="center"/>
        <w:rPr>
          <w:rFonts w:ascii="宋体" w:hAnsi="宋体" w:cs="宋体"/>
          <w:b/>
          <w:bCs/>
          <w:color w:val="000000"/>
          <w:kern w:val="0"/>
          <w:sz w:val="30"/>
          <w:szCs w:val="30"/>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8" w:name="_Toc124293494"/>
      <w:r>
        <w:rPr>
          <w:rFonts w:hint="eastAsia" w:ascii="黑体" w:hAnsi="黑体" w:eastAsia="黑体" w:cs="宋体"/>
          <w:bCs/>
          <w:color w:val="000000"/>
          <w:kern w:val="0"/>
          <w:sz w:val="30"/>
          <w:szCs w:val="30"/>
        </w:rPr>
        <w:t>附表8 峨边彝族自治县砂石土类矿产集中开采区</w:t>
      </w:r>
      <w:bookmarkEnd w:id="78"/>
    </w:p>
    <w:tbl>
      <w:tblPr>
        <w:tblStyle w:val="23"/>
        <w:tblW w:w="5000" w:type="pct"/>
        <w:tblInd w:w="0" w:type="dxa"/>
        <w:tblLayout w:type="autofit"/>
        <w:tblCellMar>
          <w:top w:w="0" w:type="dxa"/>
          <w:left w:w="108" w:type="dxa"/>
          <w:bottom w:w="0" w:type="dxa"/>
          <w:right w:w="108" w:type="dxa"/>
        </w:tblCellMar>
      </w:tblPr>
      <w:tblGrid>
        <w:gridCol w:w="702"/>
        <w:gridCol w:w="6"/>
        <w:gridCol w:w="1457"/>
        <w:gridCol w:w="1386"/>
        <w:gridCol w:w="6"/>
        <w:gridCol w:w="697"/>
        <w:gridCol w:w="734"/>
        <w:gridCol w:w="1117"/>
        <w:gridCol w:w="1009"/>
        <w:gridCol w:w="709"/>
        <w:gridCol w:w="709"/>
        <w:gridCol w:w="890"/>
        <w:gridCol w:w="1398"/>
        <w:gridCol w:w="6"/>
        <w:gridCol w:w="947"/>
        <w:gridCol w:w="1542"/>
        <w:gridCol w:w="6"/>
        <w:gridCol w:w="853"/>
      </w:tblGrid>
      <w:tr>
        <w:tblPrEx>
          <w:tblCellMar>
            <w:top w:w="0" w:type="dxa"/>
            <w:left w:w="108" w:type="dxa"/>
            <w:bottom w:w="0" w:type="dxa"/>
            <w:right w:w="108" w:type="dxa"/>
          </w:tblCellMar>
        </w:tblPrEx>
        <w:trPr>
          <w:trHeight w:val="754" w:hRule="atLeast"/>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516" w:type="pct"/>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编号</w:t>
            </w:r>
          </w:p>
        </w:tc>
        <w:tc>
          <w:tcPr>
            <w:tcW w:w="48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名称</w:t>
            </w:r>
          </w:p>
        </w:tc>
        <w:tc>
          <w:tcPr>
            <w:tcW w:w="248" w:type="pct"/>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所在行政区</w:t>
            </w:r>
          </w:p>
        </w:tc>
        <w:tc>
          <w:tcPr>
            <w:tcW w:w="259"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面积（Km</w:t>
            </w:r>
            <w:r>
              <w:rPr>
                <w:rFonts w:hint="eastAsia" w:ascii="宋体" w:hAnsi="宋体" w:cs="宋体"/>
                <w:b/>
                <w:bCs/>
                <w:color w:val="000000"/>
                <w:kern w:val="0"/>
                <w:sz w:val="15"/>
                <w:szCs w:val="15"/>
                <w:vertAlign w:val="superscript"/>
              </w:rPr>
              <w:t>2</w:t>
            </w:r>
            <w:r>
              <w:rPr>
                <w:rFonts w:hint="eastAsia" w:ascii="宋体" w:hAnsi="宋体" w:cs="宋体"/>
                <w:b/>
                <w:bCs/>
                <w:color w:val="000000"/>
                <w:kern w:val="0"/>
                <w:sz w:val="15"/>
                <w:szCs w:val="15"/>
              </w:rPr>
              <w:t>）</w:t>
            </w:r>
          </w:p>
        </w:tc>
        <w:tc>
          <w:tcPr>
            <w:tcW w:w="394"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拐点坐标</w:t>
            </w:r>
          </w:p>
        </w:tc>
        <w:tc>
          <w:tcPr>
            <w:tcW w:w="35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开采矿种</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资源量单位</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资源量</w:t>
            </w:r>
          </w:p>
        </w:tc>
        <w:tc>
          <w:tcPr>
            <w:tcW w:w="314"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已设采矿权数量</w:t>
            </w:r>
          </w:p>
        </w:tc>
        <w:tc>
          <w:tcPr>
            <w:tcW w:w="49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已设采矿权设计开采规划（万吨）</w:t>
            </w:r>
          </w:p>
        </w:tc>
        <w:tc>
          <w:tcPr>
            <w:tcW w:w="336" w:type="pct"/>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拟设采矿权数量</w:t>
            </w:r>
          </w:p>
        </w:tc>
        <w:tc>
          <w:tcPr>
            <w:tcW w:w="544"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拟设采矿权涉及开采规划（万吨/年）</w:t>
            </w:r>
          </w:p>
        </w:tc>
        <w:tc>
          <w:tcPr>
            <w:tcW w:w="303" w:type="pct"/>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bCs/>
                <w:color w:val="000000"/>
                <w:kern w:val="0"/>
                <w:sz w:val="15"/>
                <w:szCs w:val="15"/>
              </w:rPr>
            </w:pPr>
            <w:r>
              <w:rPr>
                <w:rFonts w:hint="eastAsia" w:ascii="宋体" w:hAnsi="宋体" w:cs="宋体"/>
                <w:b/>
                <w:bCs/>
                <w:color w:val="000000"/>
                <w:kern w:val="0"/>
                <w:sz w:val="15"/>
                <w:szCs w:val="15"/>
              </w:rPr>
              <w:t>备注</w:t>
            </w:r>
          </w:p>
        </w:tc>
      </w:tr>
      <w:tr>
        <w:trPr>
          <w:trHeight w:val="326" w:hRule="atLeast"/>
        </w:trPr>
        <w:tc>
          <w:tcPr>
            <w:tcW w:w="250" w:type="pct"/>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514"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491" w:type="pct"/>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246"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259"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394"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356"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250"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250"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314"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495" w:type="pct"/>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334"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546" w:type="pct"/>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c>
          <w:tcPr>
            <w:tcW w:w="301" w:type="pct"/>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ascii="宋体" w:hAnsi="宋体" w:cs="宋体"/>
                <w:kern w:val="0"/>
              </w:rPr>
            </w:pPr>
            <w:r>
              <w:rPr>
                <w:rFonts w:hint="eastAsia" w:ascii="宋体" w:hAnsi="宋体" w:cs="宋体"/>
                <w:kern w:val="0"/>
              </w:rPr>
              <w:t>/</w:t>
            </w:r>
          </w:p>
        </w:tc>
      </w:tr>
      <w:tr>
        <w:tblPrEx>
          <w:tblCellMar>
            <w:top w:w="0" w:type="dxa"/>
            <w:left w:w="108" w:type="dxa"/>
            <w:bottom w:w="0" w:type="dxa"/>
            <w:right w:w="108" w:type="dxa"/>
          </w:tblCellMar>
        </w:tblPrEx>
        <w:trPr>
          <w:trHeight w:val="326" w:hRule="atLeast"/>
        </w:trPr>
        <w:tc>
          <w:tcPr>
            <w:tcW w:w="250" w:type="pct"/>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514"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491" w:type="pct"/>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246"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259"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394"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356"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250"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250"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314"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495" w:type="pct"/>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334"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546" w:type="pct"/>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kern w:val="0"/>
                <w:sz w:val="15"/>
                <w:szCs w:val="15"/>
              </w:rPr>
            </w:pPr>
          </w:p>
        </w:tc>
        <w:tc>
          <w:tcPr>
            <w:tcW w:w="301" w:type="pct"/>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auto"/>
              <w:ind w:firstLine="0" w:firstLineChars="0"/>
              <w:jc w:val="left"/>
              <w:rPr>
                <w:rFonts w:ascii="宋体" w:hAnsi="宋体" w:cs="宋体"/>
                <w:kern w:val="0"/>
                <w:sz w:val="15"/>
                <w:szCs w:val="15"/>
              </w:rPr>
            </w:pPr>
          </w:p>
        </w:tc>
      </w:tr>
    </w:tbl>
    <w:p>
      <w:pPr>
        <w:autoSpaceDE w:val="0"/>
        <w:autoSpaceDN w:val="0"/>
        <w:adjustRightInd w:val="0"/>
        <w:ind w:firstLine="602"/>
        <w:jc w:val="center"/>
        <w:rPr>
          <w:rFonts w:ascii="宋体" w:hAnsi="宋体" w:cs="宋体"/>
          <w:b/>
          <w:bCs/>
          <w:color w:val="000000"/>
          <w:kern w:val="0"/>
          <w:sz w:val="30"/>
          <w:szCs w:val="30"/>
        </w:rPr>
        <w:sectPr>
          <w:pgSz w:w="16838" w:h="11906" w:orient="landscape"/>
          <w:pgMar w:top="1800" w:right="1440" w:bottom="1800" w:left="1440" w:header="851" w:footer="992" w:gutter="0"/>
          <w:cols w:space="425" w:num="1"/>
          <w:docGrid w:type="lines" w:linePitch="326" w:charSpace="0"/>
        </w:sectPr>
      </w:pPr>
    </w:p>
    <w:p>
      <w:pPr>
        <w:ind w:firstLine="600"/>
        <w:jc w:val="center"/>
        <w:outlineLvl w:val="1"/>
        <w:rPr>
          <w:rFonts w:ascii="黑体" w:hAnsi="黑体" w:eastAsia="黑体" w:cs="宋体"/>
          <w:bCs/>
          <w:color w:val="000000"/>
          <w:kern w:val="0"/>
          <w:sz w:val="30"/>
          <w:szCs w:val="30"/>
        </w:rPr>
      </w:pPr>
      <w:bookmarkStart w:id="79" w:name="_Toc124293495"/>
      <w:r>
        <w:rPr>
          <w:rFonts w:hint="eastAsia" w:ascii="黑体" w:hAnsi="黑体" w:eastAsia="黑体" w:cs="宋体"/>
          <w:bCs/>
          <w:color w:val="000000"/>
          <w:kern w:val="0"/>
          <w:sz w:val="30"/>
          <w:szCs w:val="30"/>
        </w:rPr>
        <w:t>附表9 峨边彝族自治县重点矿种矿山最低开采规模规划表</w:t>
      </w:r>
      <w:bookmarkEnd w:id="79"/>
    </w:p>
    <w:tbl>
      <w:tblPr>
        <w:tblStyle w:val="23"/>
        <w:tblW w:w="5000" w:type="pct"/>
        <w:tblInd w:w="0" w:type="dxa"/>
        <w:tblLayout w:type="autofit"/>
        <w:tblCellMar>
          <w:top w:w="0" w:type="dxa"/>
          <w:left w:w="108" w:type="dxa"/>
          <w:bottom w:w="0" w:type="dxa"/>
          <w:right w:w="108" w:type="dxa"/>
        </w:tblCellMar>
      </w:tblPr>
      <w:tblGrid>
        <w:gridCol w:w="1162"/>
        <w:gridCol w:w="1704"/>
        <w:gridCol w:w="1525"/>
        <w:gridCol w:w="1338"/>
        <w:gridCol w:w="1338"/>
        <w:gridCol w:w="876"/>
        <w:gridCol w:w="723"/>
        <w:gridCol w:w="584"/>
        <w:gridCol w:w="4924"/>
      </w:tblGrid>
      <w:tr>
        <w:tblPrEx>
          <w:tblCellMar>
            <w:top w:w="0" w:type="dxa"/>
            <w:left w:w="108" w:type="dxa"/>
            <w:bottom w:w="0" w:type="dxa"/>
            <w:right w:w="108" w:type="dxa"/>
          </w:tblCellMar>
        </w:tblPrEx>
        <w:trPr>
          <w:trHeight w:val="187" w:hRule="atLeast"/>
        </w:trPr>
        <w:tc>
          <w:tcPr>
            <w:tcW w:w="4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序号</w:t>
            </w:r>
          </w:p>
        </w:tc>
        <w:tc>
          <w:tcPr>
            <w:tcW w:w="60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矿产名称</w:t>
            </w:r>
          </w:p>
        </w:tc>
        <w:tc>
          <w:tcPr>
            <w:tcW w:w="1010" w:type="pct"/>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资源量规模</w:t>
            </w:r>
          </w:p>
        </w:tc>
        <w:tc>
          <w:tcPr>
            <w:tcW w:w="1242" w:type="pct"/>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最低设计开采规模</w:t>
            </w:r>
          </w:p>
        </w:tc>
        <w:tc>
          <w:tcPr>
            <w:tcW w:w="17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kern w:val="0"/>
                <w:sz w:val="15"/>
                <w:szCs w:val="15"/>
              </w:rPr>
            </w:pPr>
            <w:r>
              <w:rPr>
                <w:rFonts w:hint="eastAsia" w:ascii="宋体" w:hAnsi="宋体" w:cs="宋体"/>
                <w:b/>
                <w:kern w:val="0"/>
                <w:sz w:val="15"/>
                <w:szCs w:val="15"/>
              </w:rPr>
              <w:t>备 注</w:t>
            </w:r>
          </w:p>
        </w:tc>
      </w:tr>
      <w:tr>
        <w:tblPrEx>
          <w:tblCellMar>
            <w:top w:w="0" w:type="dxa"/>
            <w:left w:w="108" w:type="dxa"/>
            <w:bottom w:w="0" w:type="dxa"/>
            <w:right w:w="108" w:type="dxa"/>
          </w:tblCellMar>
        </w:tblPrEx>
        <w:trPr>
          <w:trHeight w:val="277" w:hRule="atLeast"/>
        </w:trPr>
        <w:tc>
          <w:tcPr>
            <w:tcW w:w="41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b/>
                <w:color w:val="000000"/>
                <w:kern w:val="0"/>
                <w:sz w:val="15"/>
                <w:szCs w:val="15"/>
              </w:rPr>
            </w:pPr>
          </w:p>
        </w:tc>
        <w:tc>
          <w:tcPr>
            <w:tcW w:w="60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b/>
                <w:color w:val="000000"/>
                <w:kern w:val="0"/>
                <w:sz w:val="15"/>
                <w:szCs w:val="15"/>
              </w:rPr>
            </w:pP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单位</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最低资源量规模</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单位/年</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大型</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中型</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b/>
                <w:color w:val="000000"/>
                <w:kern w:val="0"/>
                <w:sz w:val="15"/>
                <w:szCs w:val="15"/>
              </w:rPr>
            </w:pPr>
            <w:r>
              <w:rPr>
                <w:rFonts w:hint="eastAsia" w:ascii="宋体" w:hAnsi="宋体" w:cs="宋体"/>
                <w:b/>
                <w:color w:val="000000"/>
                <w:kern w:val="0"/>
                <w:sz w:val="15"/>
                <w:szCs w:val="15"/>
              </w:rPr>
              <w:t>小型</w:t>
            </w:r>
          </w:p>
        </w:tc>
        <w:tc>
          <w:tcPr>
            <w:tcW w:w="173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color w:val="000000"/>
                <w:kern w:val="0"/>
                <w:sz w:val="15"/>
                <w:szCs w:val="15"/>
              </w:rPr>
            </w:pPr>
          </w:p>
        </w:tc>
      </w:tr>
      <w:tr>
        <w:tblPrEx>
          <w:tblCellMar>
            <w:top w:w="0" w:type="dxa"/>
            <w:left w:w="108" w:type="dxa"/>
            <w:bottom w:w="0" w:type="dxa"/>
            <w:right w:w="108" w:type="dxa"/>
          </w:tblCellMar>
        </w:tblPrEx>
        <w:trPr>
          <w:trHeight w:val="226"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铜矿</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金属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173"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铅矿</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金属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263"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锌矿</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金属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4</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熔剂用石灰岩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冶金用白云岩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6</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ascii="宋体" w:hAnsi="宋体" w:cs="宋体"/>
                <w:color w:val="000000"/>
                <w:kern w:val="0"/>
                <w:sz w:val="15"/>
                <w:szCs w:val="15"/>
              </w:rPr>
              <w:t>玻璃用白云岩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7</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耐火粘土</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p>
        </w:tc>
      </w:tr>
      <w:tr>
        <w:tblPrEx>
          <w:tblCellMar>
            <w:top w:w="0" w:type="dxa"/>
            <w:left w:w="108" w:type="dxa"/>
            <w:bottom w:w="0" w:type="dxa"/>
            <w:right w:w="108" w:type="dxa"/>
          </w:tblCellMar>
        </w:tblPrEx>
        <w:trPr>
          <w:trHeight w:val="196"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8</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磷矿</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1000/1000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50/50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r>
      <w:tr>
        <w:tblPrEx>
          <w:tblCellMar>
            <w:top w:w="0" w:type="dxa"/>
            <w:left w:w="108" w:type="dxa"/>
            <w:bottom w:w="0" w:type="dxa"/>
            <w:right w:w="108" w:type="dxa"/>
          </w:tblCellMar>
        </w:tblPrEx>
        <w:trPr>
          <w:trHeight w:val="287"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9</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水泥用灰岩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8000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3"/>
                <w:szCs w:val="15"/>
              </w:rPr>
            </w:pPr>
            <w:r>
              <w:rPr>
                <w:rFonts w:hint="eastAsia" w:ascii="宋体" w:hAnsi="宋体" w:cs="宋体"/>
                <w:color w:val="000000"/>
                <w:kern w:val="0"/>
                <w:sz w:val="13"/>
                <w:szCs w:val="15"/>
              </w:rPr>
              <w:t>新建水泥用灰岩矿山资源量规模必须达到大型标准（矿石0.8亿吨）</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陶瓷土</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5</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3"/>
                <w:szCs w:val="15"/>
              </w:rPr>
            </w:pPr>
            <w:r>
              <w:rPr>
                <w:rFonts w:hint="eastAsia" w:ascii="宋体" w:hAnsi="宋体" w:cs="宋体"/>
                <w:color w:val="000000"/>
                <w:kern w:val="0"/>
                <w:sz w:val="13"/>
                <w:szCs w:val="15"/>
              </w:rPr>
              <w:t>　</w:t>
            </w:r>
          </w:p>
        </w:tc>
      </w:tr>
      <w:tr>
        <w:tblPrEx>
          <w:tblCellMar>
            <w:top w:w="0" w:type="dxa"/>
            <w:left w:w="108" w:type="dxa"/>
            <w:bottom w:w="0" w:type="dxa"/>
            <w:right w:w="108" w:type="dxa"/>
          </w:tblCellMar>
        </w:tblPrEx>
        <w:trPr>
          <w:trHeight w:val="504"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11</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建筑石料用灰岩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万立方米</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万立方米</w:t>
            </w:r>
          </w:p>
        </w:tc>
        <w:tc>
          <w:tcPr>
            <w:tcW w:w="309" w:type="pct"/>
            <w:tcBorders>
              <w:top w:val="nil"/>
              <w:left w:val="nil"/>
              <w:bottom w:val="single" w:color="auto" w:sz="4" w:space="0"/>
              <w:right w:val="single" w:color="auto" w:sz="4" w:space="0"/>
            </w:tcBorders>
            <w:shd w:val="clear" w:color="auto" w:fill="auto"/>
            <w:vAlign w:val="bottom"/>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3"/>
                <w:szCs w:val="15"/>
              </w:rPr>
            </w:pPr>
            <w:r>
              <w:rPr>
                <w:rFonts w:hint="eastAsia" w:ascii="宋体" w:hAnsi="宋体" w:cs="宋体"/>
                <w:color w:val="000000"/>
                <w:kern w:val="0"/>
                <w:sz w:val="13"/>
                <w:szCs w:val="15"/>
              </w:rPr>
              <w:t>主要用作机制砂、建筑骨料、铺筑路基等原料。资源基地内新设开采规划区块开采规模不低于500万吨/年，服务年限不低于10年；砂石资源基地以外新设开采规划区块最低开采规模不低于50万吨/年，服务年限不低于10年；保障重点工程建设和乡村振兴项目的，生产规模不低于20万吨/年，服务年限与项目建设期限衔接。</w:t>
            </w:r>
          </w:p>
        </w:tc>
      </w:tr>
      <w:tr>
        <w:tblPrEx>
          <w:tblCellMar>
            <w:top w:w="0" w:type="dxa"/>
            <w:left w:w="108" w:type="dxa"/>
            <w:bottom w:w="0" w:type="dxa"/>
            <w:right w:w="108" w:type="dxa"/>
          </w:tblCellMar>
        </w:tblPrEx>
        <w:trPr>
          <w:trHeight w:val="412"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12</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建筑用玄武岩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万立方米</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万立方米</w:t>
            </w:r>
          </w:p>
        </w:tc>
        <w:tc>
          <w:tcPr>
            <w:tcW w:w="309" w:type="pct"/>
            <w:tcBorders>
              <w:top w:val="nil"/>
              <w:left w:val="nil"/>
              <w:bottom w:val="single" w:color="auto" w:sz="4" w:space="0"/>
              <w:right w:val="single" w:color="auto" w:sz="4" w:space="0"/>
            </w:tcBorders>
            <w:shd w:val="clear" w:color="auto" w:fill="auto"/>
            <w:vAlign w:val="bottom"/>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color w:val="000000"/>
                <w:kern w:val="0"/>
                <w:sz w:val="13"/>
                <w:szCs w:val="15"/>
              </w:rPr>
            </w:pPr>
          </w:p>
        </w:tc>
      </w:tr>
      <w:tr>
        <w:tblPrEx>
          <w:tblCellMar>
            <w:top w:w="0" w:type="dxa"/>
            <w:left w:w="108" w:type="dxa"/>
            <w:bottom w:w="0" w:type="dxa"/>
            <w:right w:w="108" w:type="dxa"/>
          </w:tblCellMar>
        </w:tblPrEx>
        <w:trPr>
          <w:trHeight w:val="416"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13</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建筑用砂岩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万立方米</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万立方米</w:t>
            </w:r>
          </w:p>
        </w:tc>
        <w:tc>
          <w:tcPr>
            <w:tcW w:w="309" w:type="pct"/>
            <w:tcBorders>
              <w:top w:val="nil"/>
              <w:left w:val="nil"/>
              <w:bottom w:val="single" w:color="auto" w:sz="4" w:space="0"/>
              <w:right w:val="single" w:color="auto" w:sz="4" w:space="0"/>
            </w:tcBorders>
            <w:shd w:val="clear" w:color="auto" w:fill="auto"/>
            <w:vAlign w:val="bottom"/>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cs="宋体"/>
                <w:color w:val="000000"/>
                <w:kern w:val="0"/>
                <w:sz w:val="13"/>
                <w:szCs w:val="15"/>
              </w:rPr>
            </w:pP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14</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粘土岩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3"/>
                <w:szCs w:val="15"/>
              </w:rPr>
            </w:pPr>
            <w:r>
              <w:rPr>
                <w:rFonts w:hint="eastAsia" w:ascii="宋体" w:hAnsi="宋体" w:cs="宋体"/>
                <w:color w:val="000000"/>
                <w:kern w:val="0"/>
                <w:sz w:val="13"/>
                <w:szCs w:val="15"/>
              </w:rPr>
              <w:t>砖瓦用</w:t>
            </w:r>
          </w:p>
        </w:tc>
      </w:tr>
      <w:tr>
        <w:tblPrEx>
          <w:tblCellMar>
            <w:top w:w="0" w:type="dxa"/>
            <w:left w:w="108" w:type="dxa"/>
            <w:bottom w:w="0" w:type="dxa"/>
            <w:right w:w="108" w:type="dxa"/>
          </w:tblCellMar>
        </w:tblPrEx>
        <w:trPr>
          <w:trHeight w:val="30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15</w:t>
            </w:r>
          </w:p>
        </w:tc>
        <w:tc>
          <w:tcPr>
            <w:tcW w:w="60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页岩</w:t>
            </w:r>
          </w:p>
        </w:tc>
        <w:tc>
          <w:tcPr>
            <w:tcW w:w="53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矿石 万吨</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200</w:t>
            </w:r>
          </w:p>
        </w:tc>
        <w:tc>
          <w:tcPr>
            <w:tcW w:w="4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万吨</w:t>
            </w:r>
          </w:p>
        </w:tc>
        <w:tc>
          <w:tcPr>
            <w:tcW w:w="30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30</w:t>
            </w:r>
          </w:p>
        </w:tc>
        <w:tc>
          <w:tcPr>
            <w:tcW w:w="2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20</w:t>
            </w:r>
          </w:p>
        </w:tc>
        <w:tc>
          <w:tcPr>
            <w:tcW w:w="206"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1737"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cs="宋体"/>
                <w:color w:val="000000"/>
                <w:kern w:val="0"/>
                <w:sz w:val="15"/>
                <w:szCs w:val="15"/>
              </w:rPr>
            </w:pPr>
          </w:p>
        </w:tc>
      </w:tr>
      <w:tr>
        <w:tblPrEx>
          <w:tblCellMar>
            <w:top w:w="0" w:type="dxa"/>
            <w:left w:w="108" w:type="dxa"/>
            <w:bottom w:w="0" w:type="dxa"/>
            <w:right w:w="108" w:type="dxa"/>
          </w:tblCellMar>
        </w:tblPrEx>
        <w:trPr>
          <w:trHeight w:val="300" w:hRule="atLeast"/>
        </w:trPr>
        <w:tc>
          <w:tcPr>
            <w:tcW w:w="5000" w:type="pct"/>
            <w:gridSpan w:val="9"/>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cs="宋体"/>
                <w:color w:val="000000"/>
                <w:kern w:val="0"/>
                <w:sz w:val="15"/>
                <w:szCs w:val="15"/>
              </w:rPr>
            </w:pPr>
            <w:r>
              <w:rPr>
                <w:rFonts w:hint="eastAsia" w:ascii="宋体" w:hAnsi="宋体" w:cs="宋体"/>
                <w:color w:val="000000"/>
                <w:kern w:val="0"/>
                <w:sz w:val="13"/>
                <w:szCs w:val="13"/>
              </w:rPr>
              <w:t>注：1.本表中最低资源量规模为规划期内矿山最低资源量准入条件，其资源量规模分类（大型、中型、小型）根据“国土资发〔2000〕133号”规模划分标准确定；</w:t>
            </w:r>
          </w:p>
        </w:tc>
      </w:tr>
    </w:tbl>
    <w:p>
      <w:pPr>
        <w:autoSpaceDE w:val="0"/>
        <w:autoSpaceDN w:val="0"/>
        <w:adjustRightInd w:val="0"/>
        <w:ind w:firstLine="0" w:firstLineChars="0"/>
        <w:rPr>
          <w:rFonts w:ascii="宋体" w:hAnsi="宋体" w:cs="宋体"/>
          <w:b/>
          <w:bCs/>
          <w:color w:val="000000"/>
          <w:kern w:val="0"/>
          <w:sz w:val="30"/>
          <w:szCs w:val="30"/>
        </w:rPr>
      </w:pPr>
    </w:p>
    <w:sectPr>
      <w:pgSz w:w="16838" w:h="11906" w:orient="landscape"/>
      <w:pgMar w:top="1800" w:right="1440" w:bottom="1800" w:left="144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黑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AdobeHeitiStd-Regular">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黑体g猀..">
    <w:altName w:val="黑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8544844"/>
      <w:docPartObj>
        <w:docPartGallery w:val="AutoText"/>
      </w:docPartObj>
    </w:sdtPr>
    <w:sdtContent>
      <w:p>
        <w:pPr>
          <w:pStyle w:val="15"/>
          <w:ind w:firstLine="360"/>
          <w:jc w:val="center"/>
        </w:pPr>
      </w:p>
    </w:sdtContent>
  </w:sdt>
  <w:p>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836686"/>
      <w:docPartObj>
        <w:docPartGallery w:val="AutoText"/>
      </w:docPartObj>
    </w:sdtPr>
    <w:sdtContent>
      <w:p>
        <w:pPr>
          <w:pStyle w:val="15"/>
          <w:ind w:firstLine="360"/>
          <w:jc w:val="center"/>
        </w:pPr>
      </w:p>
    </w:sdtContent>
  </w:sdt>
  <w:p>
    <w:pPr>
      <w:pStyle w:val="1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r>
      <w:rPr>
        <w:rFonts w:hint="eastAsia"/>
      </w:rPr>
      <w:t>1</w:t>
    </w:r>
  </w:p>
  <w:p>
    <w:pPr>
      <w:pStyle w:val="1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8544852"/>
      <w:docPartObj>
        <w:docPartGallery w:val="AutoText"/>
      </w:docPartObj>
    </w:sdtPr>
    <w:sdtContent>
      <w:p>
        <w:pPr>
          <w:pStyle w:val="15"/>
          <w:ind w:firstLine="360"/>
          <w:jc w:val="center"/>
        </w:pPr>
        <w:r>
          <w:fldChar w:fldCharType="begin"/>
        </w:r>
        <w:r>
          <w:instrText xml:space="preserve"> PAGE   \* MERGEFORMAT </w:instrText>
        </w:r>
        <w:r>
          <w:fldChar w:fldCharType="separate"/>
        </w:r>
        <w:r>
          <w:rPr>
            <w:lang w:val="zh-CN"/>
          </w:rPr>
          <w:t>32</w:t>
        </w:r>
        <w:r>
          <w:rPr>
            <w:lang w:val="zh-CN"/>
          </w:rPr>
          <w:fldChar w:fldCharType="end"/>
        </w:r>
      </w:p>
    </w:sdtContent>
  </w:sdt>
  <w:p>
    <w:pPr>
      <w:pStyle w:val="1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r>
      <w:fldChar w:fldCharType="begin"/>
    </w:r>
    <w:r>
      <w:instrText xml:space="preserve">PAGE   \* MERGEFORMAT</w:instrText>
    </w:r>
    <w:r>
      <w:fldChar w:fldCharType="separate"/>
    </w:r>
    <w:r>
      <w:rPr>
        <w:lang w:val="zh-CN"/>
      </w:rPr>
      <w:t>46</w:t>
    </w:r>
    <w:r>
      <w:rPr>
        <w:lang w:val="zh-CN"/>
      </w:rPr>
      <w:fldChar w:fldCharType="end"/>
    </w:r>
  </w:p>
  <w:p>
    <w:pPr>
      <w:pStyle w:val="1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96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I2OTg5NGZkNmIxZWI3Zjk2ZWFjNTkwZjdmNmE4ZTIifQ=="/>
  </w:docVars>
  <w:rsids>
    <w:rsidRoot w:val="00CA7143"/>
    <w:rsid w:val="00002F7A"/>
    <w:rsid w:val="00007AE1"/>
    <w:rsid w:val="000114B3"/>
    <w:rsid w:val="00015A90"/>
    <w:rsid w:val="00015E56"/>
    <w:rsid w:val="00021033"/>
    <w:rsid w:val="00031478"/>
    <w:rsid w:val="000434BA"/>
    <w:rsid w:val="00050ADF"/>
    <w:rsid w:val="00052CE3"/>
    <w:rsid w:val="00054218"/>
    <w:rsid w:val="00055589"/>
    <w:rsid w:val="0006095B"/>
    <w:rsid w:val="00062B7D"/>
    <w:rsid w:val="00064015"/>
    <w:rsid w:val="00070B8F"/>
    <w:rsid w:val="00072EFC"/>
    <w:rsid w:val="00075218"/>
    <w:rsid w:val="000826F8"/>
    <w:rsid w:val="0008325C"/>
    <w:rsid w:val="00085934"/>
    <w:rsid w:val="00093C43"/>
    <w:rsid w:val="00095183"/>
    <w:rsid w:val="00097BD8"/>
    <w:rsid w:val="000A0C58"/>
    <w:rsid w:val="000A0E49"/>
    <w:rsid w:val="000A46A9"/>
    <w:rsid w:val="000B01D4"/>
    <w:rsid w:val="000B052D"/>
    <w:rsid w:val="000B6841"/>
    <w:rsid w:val="000C1F44"/>
    <w:rsid w:val="000D240D"/>
    <w:rsid w:val="000D7210"/>
    <w:rsid w:val="000E38B4"/>
    <w:rsid w:val="000E4F2E"/>
    <w:rsid w:val="000E58A2"/>
    <w:rsid w:val="00107D73"/>
    <w:rsid w:val="0011348D"/>
    <w:rsid w:val="00116987"/>
    <w:rsid w:val="001172E9"/>
    <w:rsid w:val="0012165A"/>
    <w:rsid w:val="001245EA"/>
    <w:rsid w:val="00135C3A"/>
    <w:rsid w:val="0014004D"/>
    <w:rsid w:val="00140476"/>
    <w:rsid w:val="001441F4"/>
    <w:rsid w:val="0014764B"/>
    <w:rsid w:val="001507EC"/>
    <w:rsid w:val="00152DDF"/>
    <w:rsid w:val="0015310E"/>
    <w:rsid w:val="0015590A"/>
    <w:rsid w:val="001574E4"/>
    <w:rsid w:val="00162672"/>
    <w:rsid w:val="00171E9F"/>
    <w:rsid w:val="00174D06"/>
    <w:rsid w:val="00176757"/>
    <w:rsid w:val="0017737E"/>
    <w:rsid w:val="00186253"/>
    <w:rsid w:val="00190070"/>
    <w:rsid w:val="0019212E"/>
    <w:rsid w:val="00192F94"/>
    <w:rsid w:val="001A25CF"/>
    <w:rsid w:val="001A26D9"/>
    <w:rsid w:val="001A5BCD"/>
    <w:rsid w:val="001B105F"/>
    <w:rsid w:val="001B2493"/>
    <w:rsid w:val="001B2ACC"/>
    <w:rsid w:val="001B50B3"/>
    <w:rsid w:val="001B657E"/>
    <w:rsid w:val="001C1E07"/>
    <w:rsid w:val="001C3A9F"/>
    <w:rsid w:val="001C48E2"/>
    <w:rsid w:val="001D049F"/>
    <w:rsid w:val="001D0EB9"/>
    <w:rsid w:val="001D3042"/>
    <w:rsid w:val="001D4217"/>
    <w:rsid w:val="001D5904"/>
    <w:rsid w:val="001E324F"/>
    <w:rsid w:val="001E49DF"/>
    <w:rsid w:val="001E76E1"/>
    <w:rsid w:val="001F59E7"/>
    <w:rsid w:val="00206905"/>
    <w:rsid w:val="00207D99"/>
    <w:rsid w:val="002141B1"/>
    <w:rsid w:val="00220308"/>
    <w:rsid w:val="00225D61"/>
    <w:rsid w:val="002345D2"/>
    <w:rsid w:val="00235E77"/>
    <w:rsid w:val="002408C3"/>
    <w:rsid w:val="00240A37"/>
    <w:rsid w:val="002529AB"/>
    <w:rsid w:val="0025445D"/>
    <w:rsid w:val="002560EF"/>
    <w:rsid w:val="00257F76"/>
    <w:rsid w:val="00260DF7"/>
    <w:rsid w:val="00261626"/>
    <w:rsid w:val="0026373A"/>
    <w:rsid w:val="00263BAB"/>
    <w:rsid w:val="00266B2D"/>
    <w:rsid w:val="00273CB4"/>
    <w:rsid w:val="0028040B"/>
    <w:rsid w:val="00281BB3"/>
    <w:rsid w:val="00285C8C"/>
    <w:rsid w:val="00286EA2"/>
    <w:rsid w:val="00290B5E"/>
    <w:rsid w:val="00294FA5"/>
    <w:rsid w:val="002964AD"/>
    <w:rsid w:val="002A379C"/>
    <w:rsid w:val="002A3D33"/>
    <w:rsid w:val="002A4B4F"/>
    <w:rsid w:val="002A6236"/>
    <w:rsid w:val="002A6BE5"/>
    <w:rsid w:val="002B1EF8"/>
    <w:rsid w:val="002B43FB"/>
    <w:rsid w:val="002B4CC6"/>
    <w:rsid w:val="002B6B76"/>
    <w:rsid w:val="002B7333"/>
    <w:rsid w:val="002B7614"/>
    <w:rsid w:val="002C03DB"/>
    <w:rsid w:val="002C1F01"/>
    <w:rsid w:val="002C3784"/>
    <w:rsid w:val="002C433C"/>
    <w:rsid w:val="002C7B9B"/>
    <w:rsid w:val="002D2DEB"/>
    <w:rsid w:val="002D362F"/>
    <w:rsid w:val="002D55F6"/>
    <w:rsid w:val="002D6573"/>
    <w:rsid w:val="002D7816"/>
    <w:rsid w:val="002E53A3"/>
    <w:rsid w:val="002F0580"/>
    <w:rsid w:val="002F332E"/>
    <w:rsid w:val="002F3595"/>
    <w:rsid w:val="002F5768"/>
    <w:rsid w:val="002F7D86"/>
    <w:rsid w:val="0030347F"/>
    <w:rsid w:val="0030727B"/>
    <w:rsid w:val="00310A23"/>
    <w:rsid w:val="00317B98"/>
    <w:rsid w:val="00325D2F"/>
    <w:rsid w:val="00333675"/>
    <w:rsid w:val="00342411"/>
    <w:rsid w:val="003439FE"/>
    <w:rsid w:val="00346FAA"/>
    <w:rsid w:val="003501B4"/>
    <w:rsid w:val="00355DE4"/>
    <w:rsid w:val="00357A8E"/>
    <w:rsid w:val="00360987"/>
    <w:rsid w:val="00366485"/>
    <w:rsid w:val="00373F04"/>
    <w:rsid w:val="00377B33"/>
    <w:rsid w:val="0038269E"/>
    <w:rsid w:val="00392C3F"/>
    <w:rsid w:val="003A2E63"/>
    <w:rsid w:val="003A442C"/>
    <w:rsid w:val="003A6FC3"/>
    <w:rsid w:val="003B0AAB"/>
    <w:rsid w:val="003B1307"/>
    <w:rsid w:val="003B2027"/>
    <w:rsid w:val="003B3E6B"/>
    <w:rsid w:val="003C29AD"/>
    <w:rsid w:val="003C2E82"/>
    <w:rsid w:val="003C3338"/>
    <w:rsid w:val="003C7583"/>
    <w:rsid w:val="003D0840"/>
    <w:rsid w:val="003D78CF"/>
    <w:rsid w:val="003E1E6F"/>
    <w:rsid w:val="003E785E"/>
    <w:rsid w:val="003F1F38"/>
    <w:rsid w:val="003F393A"/>
    <w:rsid w:val="00406DD2"/>
    <w:rsid w:val="0040762F"/>
    <w:rsid w:val="004107DE"/>
    <w:rsid w:val="0042177E"/>
    <w:rsid w:val="00424921"/>
    <w:rsid w:val="00427A9F"/>
    <w:rsid w:val="004311D2"/>
    <w:rsid w:val="00432C78"/>
    <w:rsid w:val="0043472F"/>
    <w:rsid w:val="00435322"/>
    <w:rsid w:val="0043620E"/>
    <w:rsid w:val="00436755"/>
    <w:rsid w:val="0043721C"/>
    <w:rsid w:val="00442B9E"/>
    <w:rsid w:val="004448E5"/>
    <w:rsid w:val="00447115"/>
    <w:rsid w:val="00451355"/>
    <w:rsid w:val="00453DD5"/>
    <w:rsid w:val="004551D3"/>
    <w:rsid w:val="004670A1"/>
    <w:rsid w:val="00470733"/>
    <w:rsid w:val="004717CC"/>
    <w:rsid w:val="00471E70"/>
    <w:rsid w:val="00483C08"/>
    <w:rsid w:val="00484796"/>
    <w:rsid w:val="00490035"/>
    <w:rsid w:val="00494F00"/>
    <w:rsid w:val="00497D63"/>
    <w:rsid w:val="004A17C7"/>
    <w:rsid w:val="004A6EF8"/>
    <w:rsid w:val="004B4735"/>
    <w:rsid w:val="004B7187"/>
    <w:rsid w:val="004B75A5"/>
    <w:rsid w:val="004C3DF3"/>
    <w:rsid w:val="004C5715"/>
    <w:rsid w:val="004C5C65"/>
    <w:rsid w:val="004C6357"/>
    <w:rsid w:val="004C647C"/>
    <w:rsid w:val="004C67C2"/>
    <w:rsid w:val="004C7B9B"/>
    <w:rsid w:val="004D1535"/>
    <w:rsid w:val="004D5D75"/>
    <w:rsid w:val="004D69CD"/>
    <w:rsid w:val="004E791B"/>
    <w:rsid w:val="004F672D"/>
    <w:rsid w:val="00501B66"/>
    <w:rsid w:val="0050388E"/>
    <w:rsid w:val="005058E6"/>
    <w:rsid w:val="00516E9D"/>
    <w:rsid w:val="00517D27"/>
    <w:rsid w:val="00520B45"/>
    <w:rsid w:val="00523EB5"/>
    <w:rsid w:val="0053046E"/>
    <w:rsid w:val="00532EA2"/>
    <w:rsid w:val="00536D2B"/>
    <w:rsid w:val="00543223"/>
    <w:rsid w:val="00544889"/>
    <w:rsid w:val="005542C6"/>
    <w:rsid w:val="00557856"/>
    <w:rsid w:val="00561D47"/>
    <w:rsid w:val="005637AE"/>
    <w:rsid w:val="00564527"/>
    <w:rsid w:val="00565E22"/>
    <w:rsid w:val="005671BB"/>
    <w:rsid w:val="00570FC8"/>
    <w:rsid w:val="0058383A"/>
    <w:rsid w:val="005935F6"/>
    <w:rsid w:val="005973C5"/>
    <w:rsid w:val="005A1615"/>
    <w:rsid w:val="005A3499"/>
    <w:rsid w:val="005B1BFA"/>
    <w:rsid w:val="005B39BF"/>
    <w:rsid w:val="005B483F"/>
    <w:rsid w:val="005C2280"/>
    <w:rsid w:val="005C3C44"/>
    <w:rsid w:val="005C4802"/>
    <w:rsid w:val="005C4ADE"/>
    <w:rsid w:val="005D2351"/>
    <w:rsid w:val="005D6511"/>
    <w:rsid w:val="005E359D"/>
    <w:rsid w:val="005E364B"/>
    <w:rsid w:val="005E6B79"/>
    <w:rsid w:val="005F28C3"/>
    <w:rsid w:val="005F30CF"/>
    <w:rsid w:val="005F68B1"/>
    <w:rsid w:val="005F772F"/>
    <w:rsid w:val="00603719"/>
    <w:rsid w:val="006047A7"/>
    <w:rsid w:val="00607E2F"/>
    <w:rsid w:val="0061139A"/>
    <w:rsid w:val="00615AE6"/>
    <w:rsid w:val="0061785D"/>
    <w:rsid w:val="00626A53"/>
    <w:rsid w:val="006308D8"/>
    <w:rsid w:val="00630A92"/>
    <w:rsid w:val="00632793"/>
    <w:rsid w:val="00633739"/>
    <w:rsid w:val="00634755"/>
    <w:rsid w:val="00634B98"/>
    <w:rsid w:val="00637749"/>
    <w:rsid w:val="00640158"/>
    <w:rsid w:val="006476AC"/>
    <w:rsid w:val="006513F7"/>
    <w:rsid w:val="0065183C"/>
    <w:rsid w:val="0065272A"/>
    <w:rsid w:val="006531D4"/>
    <w:rsid w:val="00653326"/>
    <w:rsid w:val="00656185"/>
    <w:rsid w:val="00657C3D"/>
    <w:rsid w:val="00661981"/>
    <w:rsid w:val="00663663"/>
    <w:rsid w:val="00663E1C"/>
    <w:rsid w:val="006675DB"/>
    <w:rsid w:val="00681891"/>
    <w:rsid w:val="006867AD"/>
    <w:rsid w:val="00690648"/>
    <w:rsid w:val="0069255F"/>
    <w:rsid w:val="00694A62"/>
    <w:rsid w:val="00694AA5"/>
    <w:rsid w:val="00696342"/>
    <w:rsid w:val="006A09E4"/>
    <w:rsid w:val="006A29A9"/>
    <w:rsid w:val="006A5507"/>
    <w:rsid w:val="006B40EF"/>
    <w:rsid w:val="006C54E8"/>
    <w:rsid w:val="006D5C7C"/>
    <w:rsid w:val="006D77BF"/>
    <w:rsid w:val="006E268D"/>
    <w:rsid w:val="006E5739"/>
    <w:rsid w:val="006F6D93"/>
    <w:rsid w:val="007007EF"/>
    <w:rsid w:val="00706073"/>
    <w:rsid w:val="0071047E"/>
    <w:rsid w:val="00714D9A"/>
    <w:rsid w:val="00716625"/>
    <w:rsid w:val="00717EFF"/>
    <w:rsid w:val="00732F30"/>
    <w:rsid w:val="00733269"/>
    <w:rsid w:val="00734527"/>
    <w:rsid w:val="007376DF"/>
    <w:rsid w:val="007401E5"/>
    <w:rsid w:val="00743032"/>
    <w:rsid w:val="0074419B"/>
    <w:rsid w:val="00745385"/>
    <w:rsid w:val="00756131"/>
    <w:rsid w:val="00756FC2"/>
    <w:rsid w:val="007600CD"/>
    <w:rsid w:val="007624C6"/>
    <w:rsid w:val="00763294"/>
    <w:rsid w:val="00765321"/>
    <w:rsid w:val="00771824"/>
    <w:rsid w:val="00771F2D"/>
    <w:rsid w:val="00773A74"/>
    <w:rsid w:val="00773F71"/>
    <w:rsid w:val="007745EB"/>
    <w:rsid w:val="007805F4"/>
    <w:rsid w:val="007860EF"/>
    <w:rsid w:val="0079042C"/>
    <w:rsid w:val="00793893"/>
    <w:rsid w:val="007A7CBA"/>
    <w:rsid w:val="007B23E8"/>
    <w:rsid w:val="007B2AFC"/>
    <w:rsid w:val="007B4211"/>
    <w:rsid w:val="007B42A0"/>
    <w:rsid w:val="007B4598"/>
    <w:rsid w:val="007C08B8"/>
    <w:rsid w:val="007C115D"/>
    <w:rsid w:val="007C1C2B"/>
    <w:rsid w:val="007C20C7"/>
    <w:rsid w:val="007C63EA"/>
    <w:rsid w:val="007D1158"/>
    <w:rsid w:val="007D3E29"/>
    <w:rsid w:val="007D3ED4"/>
    <w:rsid w:val="007D4036"/>
    <w:rsid w:val="007D66C8"/>
    <w:rsid w:val="007E385F"/>
    <w:rsid w:val="007E7377"/>
    <w:rsid w:val="007F408C"/>
    <w:rsid w:val="007F74FE"/>
    <w:rsid w:val="007F77C9"/>
    <w:rsid w:val="00807D71"/>
    <w:rsid w:val="008119E6"/>
    <w:rsid w:val="00817C2A"/>
    <w:rsid w:val="00832626"/>
    <w:rsid w:val="00836DAD"/>
    <w:rsid w:val="008374CD"/>
    <w:rsid w:val="00843E95"/>
    <w:rsid w:val="008518E0"/>
    <w:rsid w:val="00851942"/>
    <w:rsid w:val="00852C35"/>
    <w:rsid w:val="008532D8"/>
    <w:rsid w:val="00855C29"/>
    <w:rsid w:val="00856026"/>
    <w:rsid w:val="00863BB0"/>
    <w:rsid w:val="00865273"/>
    <w:rsid w:val="0087017C"/>
    <w:rsid w:val="00875A2F"/>
    <w:rsid w:val="00876A79"/>
    <w:rsid w:val="00876FB4"/>
    <w:rsid w:val="00886ABC"/>
    <w:rsid w:val="0089222B"/>
    <w:rsid w:val="00895E1E"/>
    <w:rsid w:val="00895E94"/>
    <w:rsid w:val="008B6439"/>
    <w:rsid w:val="008D13B2"/>
    <w:rsid w:val="008D3652"/>
    <w:rsid w:val="008D7F22"/>
    <w:rsid w:val="008E1A86"/>
    <w:rsid w:val="008E45D9"/>
    <w:rsid w:val="008F5481"/>
    <w:rsid w:val="008F7E2D"/>
    <w:rsid w:val="00900BAC"/>
    <w:rsid w:val="00905B1B"/>
    <w:rsid w:val="00905B57"/>
    <w:rsid w:val="009072EB"/>
    <w:rsid w:val="009109ED"/>
    <w:rsid w:val="009114B6"/>
    <w:rsid w:val="009130F3"/>
    <w:rsid w:val="00913A64"/>
    <w:rsid w:val="009143A9"/>
    <w:rsid w:val="009155C0"/>
    <w:rsid w:val="009203F8"/>
    <w:rsid w:val="00924A85"/>
    <w:rsid w:val="009375E4"/>
    <w:rsid w:val="00943595"/>
    <w:rsid w:val="00943B8D"/>
    <w:rsid w:val="00945F5B"/>
    <w:rsid w:val="009476DF"/>
    <w:rsid w:val="009552D2"/>
    <w:rsid w:val="00961059"/>
    <w:rsid w:val="00962C75"/>
    <w:rsid w:val="009655E6"/>
    <w:rsid w:val="00966853"/>
    <w:rsid w:val="00966BAB"/>
    <w:rsid w:val="00976DEC"/>
    <w:rsid w:val="009808DF"/>
    <w:rsid w:val="00980D36"/>
    <w:rsid w:val="00987783"/>
    <w:rsid w:val="0099190E"/>
    <w:rsid w:val="00994BF0"/>
    <w:rsid w:val="00995E9B"/>
    <w:rsid w:val="00996263"/>
    <w:rsid w:val="009A1FC2"/>
    <w:rsid w:val="009A3D72"/>
    <w:rsid w:val="009A55C4"/>
    <w:rsid w:val="009A767D"/>
    <w:rsid w:val="009B0BDB"/>
    <w:rsid w:val="009B0F42"/>
    <w:rsid w:val="009B395F"/>
    <w:rsid w:val="009B4B09"/>
    <w:rsid w:val="009B5382"/>
    <w:rsid w:val="009C3E93"/>
    <w:rsid w:val="009C50C3"/>
    <w:rsid w:val="009C5F6D"/>
    <w:rsid w:val="009C73C6"/>
    <w:rsid w:val="009D3319"/>
    <w:rsid w:val="009D6ACA"/>
    <w:rsid w:val="009E2DA8"/>
    <w:rsid w:val="009E4784"/>
    <w:rsid w:val="009F2B7A"/>
    <w:rsid w:val="009F4D5E"/>
    <w:rsid w:val="00A022D9"/>
    <w:rsid w:val="00A0243A"/>
    <w:rsid w:val="00A03476"/>
    <w:rsid w:val="00A13524"/>
    <w:rsid w:val="00A13D90"/>
    <w:rsid w:val="00A141E8"/>
    <w:rsid w:val="00A15A4F"/>
    <w:rsid w:val="00A219C3"/>
    <w:rsid w:val="00A22030"/>
    <w:rsid w:val="00A222BF"/>
    <w:rsid w:val="00A26DE9"/>
    <w:rsid w:val="00A45E51"/>
    <w:rsid w:val="00A550F7"/>
    <w:rsid w:val="00A574E3"/>
    <w:rsid w:val="00A6178C"/>
    <w:rsid w:val="00A718A4"/>
    <w:rsid w:val="00A76C6F"/>
    <w:rsid w:val="00A8381E"/>
    <w:rsid w:val="00AA1439"/>
    <w:rsid w:val="00AA14DC"/>
    <w:rsid w:val="00AA3229"/>
    <w:rsid w:val="00AA7596"/>
    <w:rsid w:val="00AA7B4D"/>
    <w:rsid w:val="00AB09A6"/>
    <w:rsid w:val="00AB0E8A"/>
    <w:rsid w:val="00AB17D3"/>
    <w:rsid w:val="00AB2F69"/>
    <w:rsid w:val="00AB393E"/>
    <w:rsid w:val="00AB4517"/>
    <w:rsid w:val="00AB4E5C"/>
    <w:rsid w:val="00AB6628"/>
    <w:rsid w:val="00AC41E6"/>
    <w:rsid w:val="00AC4EAE"/>
    <w:rsid w:val="00AC4F38"/>
    <w:rsid w:val="00AC69DC"/>
    <w:rsid w:val="00AD034A"/>
    <w:rsid w:val="00AD1BDA"/>
    <w:rsid w:val="00AD32D5"/>
    <w:rsid w:val="00AE0096"/>
    <w:rsid w:val="00AE5350"/>
    <w:rsid w:val="00AE5F83"/>
    <w:rsid w:val="00AF41A6"/>
    <w:rsid w:val="00B00A13"/>
    <w:rsid w:val="00B11BDD"/>
    <w:rsid w:val="00B16FDA"/>
    <w:rsid w:val="00B204B9"/>
    <w:rsid w:val="00B20891"/>
    <w:rsid w:val="00B239F0"/>
    <w:rsid w:val="00B24F8E"/>
    <w:rsid w:val="00B25B4F"/>
    <w:rsid w:val="00B26BB3"/>
    <w:rsid w:val="00B27D92"/>
    <w:rsid w:val="00B32ADD"/>
    <w:rsid w:val="00B35624"/>
    <w:rsid w:val="00B42BA0"/>
    <w:rsid w:val="00B4381A"/>
    <w:rsid w:val="00B51784"/>
    <w:rsid w:val="00B525A9"/>
    <w:rsid w:val="00B55930"/>
    <w:rsid w:val="00B559CF"/>
    <w:rsid w:val="00B565E5"/>
    <w:rsid w:val="00B60E93"/>
    <w:rsid w:val="00B6124F"/>
    <w:rsid w:val="00B6510D"/>
    <w:rsid w:val="00B66A1D"/>
    <w:rsid w:val="00B6730E"/>
    <w:rsid w:val="00B70310"/>
    <w:rsid w:val="00B7156B"/>
    <w:rsid w:val="00B71806"/>
    <w:rsid w:val="00B73852"/>
    <w:rsid w:val="00B74A3E"/>
    <w:rsid w:val="00B769A6"/>
    <w:rsid w:val="00B77758"/>
    <w:rsid w:val="00B80922"/>
    <w:rsid w:val="00B815BF"/>
    <w:rsid w:val="00B9013C"/>
    <w:rsid w:val="00B9090D"/>
    <w:rsid w:val="00B920EE"/>
    <w:rsid w:val="00B954BC"/>
    <w:rsid w:val="00B969D3"/>
    <w:rsid w:val="00B97E23"/>
    <w:rsid w:val="00BA1F88"/>
    <w:rsid w:val="00BA42DD"/>
    <w:rsid w:val="00BB0A91"/>
    <w:rsid w:val="00BB2602"/>
    <w:rsid w:val="00BB5DF5"/>
    <w:rsid w:val="00BC1A9F"/>
    <w:rsid w:val="00BC2025"/>
    <w:rsid w:val="00BD0BA8"/>
    <w:rsid w:val="00BD0DF0"/>
    <w:rsid w:val="00BD35FD"/>
    <w:rsid w:val="00BD364A"/>
    <w:rsid w:val="00BD596F"/>
    <w:rsid w:val="00BD74AF"/>
    <w:rsid w:val="00BD7DE7"/>
    <w:rsid w:val="00BE3487"/>
    <w:rsid w:val="00BE4CC4"/>
    <w:rsid w:val="00BF0994"/>
    <w:rsid w:val="00BF740B"/>
    <w:rsid w:val="00C00BEC"/>
    <w:rsid w:val="00C011B6"/>
    <w:rsid w:val="00C01C66"/>
    <w:rsid w:val="00C03A81"/>
    <w:rsid w:val="00C06710"/>
    <w:rsid w:val="00C067B0"/>
    <w:rsid w:val="00C139A7"/>
    <w:rsid w:val="00C209FC"/>
    <w:rsid w:val="00C27558"/>
    <w:rsid w:val="00C31A40"/>
    <w:rsid w:val="00C33A95"/>
    <w:rsid w:val="00C3518F"/>
    <w:rsid w:val="00C35584"/>
    <w:rsid w:val="00C3761D"/>
    <w:rsid w:val="00C37F4E"/>
    <w:rsid w:val="00C41E14"/>
    <w:rsid w:val="00C4346B"/>
    <w:rsid w:val="00C57706"/>
    <w:rsid w:val="00C65D86"/>
    <w:rsid w:val="00C7006C"/>
    <w:rsid w:val="00C72D11"/>
    <w:rsid w:val="00C73BF9"/>
    <w:rsid w:val="00C8260F"/>
    <w:rsid w:val="00C90833"/>
    <w:rsid w:val="00C90A46"/>
    <w:rsid w:val="00C91B7D"/>
    <w:rsid w:val="00C94F97"/>
    <w:rsid w:val="00C973A5"/>
    <w:rsid w:val="00CA166C"/>
    <w:rsid w:val="00CA6A81"/>
    <w:rsid w:val="00CA7143"/>
    <w:rsid w:val="00CB26B4"/>
    <w:rsid w:val="00CB429B"/>
    <w:rsid w:val="00CC3D5F"/>
    <w:rsid w:val="00CC4588"/>
    <w:rsid w:val="00CC4F2A"/>
    <w:rsid w:val="00CD6A96"/>
    <w:rsid w:val="00CE1BF3"/>
    <w:rsid w:val="00CE2746"/>
    <w:rsid w:val="00CE39F7"/>
    <w:rsid w:val="00CE4810"/>
    <w:rsid w:val="00CE4CAA"/>
    <w:rsid w:val="00CE61B2"/>
    <w:rsid w:val="00CF3AEC"/>
    <w:rsid w:val="00CF4BC8"/>
    <w:rsid w:val="00CF5C23"/>
    <w:rsid w:val="00CF6AED"/>
    <w:rsid w:val="00D13C75"/>
    <w:rsid w:val="00D24887"/>
    <w:rsid w:val="00D3243D"/>
    <w:rsid w:val="00D37530"/>
    <w:rsid w:val="00D44590"/>
    <w:rsid w:val="00D50765"/>
    <w:rsid w:val="00D544D5"/>
    <w:rsid w:val="00D54ACD"/>
    <w:rsid w:val="00D66A89"/>
    <w:rsid w:val="00D743E0"/>
    <w:rsid w:val="00D767AD"/>
    <w:rsid w:val="00D80CF2"/>
    <w:rsid w:val="00D83FD8"/>
    <w:rsid w:val="00D8752C"/>
    <w:rsid w:val="00DA1866"/>
    <w:rsid w:val="00DA279F"/>
    <w:rsid w:val="00DA5728"/>
    <w:rsid w:val="00DA6C0E"/>
    <w:rsid w:val="00DB27CB"/>
    <w:rsid w:val="00DB311A"/>
    <w:rsid w:val="00DB4066"/>
    <w:rsid w:val="00DB439E"/>
    <w:rsid w:val="00DB514F"/>
    <w:rsid w:val="00DC0FB3"/>
    <w:rsid w:val="00DD4D57"/>
    <w:rsid w:val="00DD4ECB"/>
    <w:rsid w:val="00DD7578"/>
    <w:rsid w:val="00DE1031"/>
    <w:rsid w:val="00DE29CD"/>
    <w:rsid w:val="00DE7176"/>
    <w:rsid w:val="00DF192C"/>
    <w:rsid w:val="00DF6CE2"/>
    <w:rsid w:val="00DF74DD"/>
    <w:rsid w:val="00E0261B"/>
    <w:rsid w:val="00E10C59"/>
    <w:rsid w:val="00E17767"/>
    <w:rsid w:val="00E20A50"/>
    <w:rsid w:val="00E22183"/>
    <w:rsid w:val="00E23600"/>
    <w:rsid w:val="00E31A5F"/>
    <w:rsid w:val="00E31F15"/>
    <w:rsid w:val="00E42285"/>
    <w:rsid w:val="00E44F6A"/>
    <w:rsid w:val="00E5234C"/>
    <w:rsid w:val="00E55E5B"/>
    <w:rsid w:val="00E56D05"/>
    <w:rsid w:val="00E57AC9"/>
    <w:rsid w:val="00E57CE5"/>
    <w:rsid w:val="00E61283"/>
    <w:rsid w:val="00E62432"/>
    <w:rsid w:val="00E71414"/>
    <w:rsid w:val="00E716B9"/>
    <w:rsid w:val="00E7567A"/>
    <w:rsid w:val="00E76B5C"/>
    <w:rsid w:val="00E77941"/>
    <w:rsid w:val="00E83495"/>
    <w:rsid w:val="00E861AC"/>
    <w:rsid w:val="00E90B25"/>
    <w:rsid w:val="00E939DA"/>
    <w:rsid w:val="00E93C68"/>
    <w:rsid w:val="00E960C1"/>
    <w:rsid w:val="00E970CB"/>
    <w:rsid w:val="00EA2349"/>
    <w:rsid w:val="00EA3FB2"/>
    <w:rsid w:val="00EA478D"/>
    <w:rsid w:val="00EB2602"/>
    <w:rsid w:val="00EB6966"/>
    <w:rsid w:val="00EC1F13"/>
    <w:rsid w:val="00EC36AF"/>
    <w:rsid w:val="00ED11DE"/>
    <w:rsid w:val="00ED1CE6"/>
    <w:rsid w:val="00ED49AE"/>
    <w:rsid w:val="00ED5236"/>
    <w:rsid w:val="00EE30E5"/>
    <w:rsid w:val="00EE43BA"/>
    <w:rsid w:val="00EE6654"/>
    <w:rsid w:val="00EE7221"/>
    <w:rsid w:val="00EE796C"/>
    <w:rsid w:val="00EF2DA2"/>
    <w:rsid w:val="00F035D8"/>
    <w:rsid w:val="00F05086"/>
    <w:rsid w:val="00F06897"/>
    <w:rsid w:val="00F13BC5"/>
    <w:rsid w:val="00F160D5"/>
    <w:rsid w:val="00F16EDC"/>
    <w:rsid w:val="00F175C1"/>
    <w:rsid w:val="00F21FA8"/>
    <w:rsid w:val="00F26952"/>
    <w:rsid w:val="00F26A86"/>
    <w:rsid w:val="00F27A9C"/>
    <w:rsid w:val="00F33744"/>
    <w:rsid w:val="00F33847"/>
    <w:rsid w:val="00F35927"/>
    <w:rsid w:val="00F37CFB"/>
    <w:rsid w:val="00F4089D"/>
    <w:rsid w:val="00F4294A"/>
    <w:rsid w:val="00F47960"/>
    <w:rsid w:val="00F60EBC"/>
    <w:rsid w:val="00F62129"/>
    <w:rsid w:val="00F641CC"/>
    <w:rsid w:val="00F75EF0"/>
    <w:rsid w:val="00F83855"/>
    <w:rsid w:val="00F845D2"/>
    <w:rsid w:val="00F850B1"/>
    <w:rsid w:val="00F90E37"/>
    <w:rsid w:val="00F92185"/>
    <w:rsid w:val="00F97415"/>
    <w:rsid w:val="00FA6DAD"/>
    <w:rsid w:val="00FA7E46"/>
    <w:rsid w:val="00FC029F"/>
    <w:rsid w:val="00FC42BE"/>
    <w:rsid w:val="00FC79C0"/>
    <w:rsid w:val="00FD4A93"/>
    <w:rsid w:val="00FF737A"/>
    <w:rsid w:val="00FF7BDD"/>
    <w:rsid w:val="1A490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3"/>
    <w:qFormat/>
    <w:uiPriority w:val="0"/>
    <w:pPr>
      <w:keepNext/>
      <w:keepLines/>
      <w:ind w:right="374" w:firstLine="0" w:firstLineChars="0"/>
      <w:jc w:val="center"/>
      <w:outlineLvl w:val="0"/>
    </w:pPr>
    <w:rPr>
      <w:rFonts w:ascii="黑体" w:hAnsi="黑体" w:eastAsia="黑体" w:cs="黑体"/>
      <w:b/>
      <w:bCs/>
      <w:kern w:val="44"/>
      <w:sz w:val="36"/>
      <w:szCs w:val="32"/>
    </w:rPr>
  </w:style>
  <w:style w:type="paragraph" w:styleId="3">
    <w:name w:val="heading 2"/>
    <w:basedOn w:val="1"/>
    <w:next w:val="1"/>
    <w:link w:val="34"/>
    <w:qFormat/>
    <w:uiPriority w:val="0"/>
    <w:pPr>
      <w:keepNext/>
      <w:keepLines/>
      <w:spacing w:beforeLines="50" w:afterLines="50"/>
      <w:ind w:firstLine="0" w:firstLineChars="0"/>
      <w:jc w:val="center"/>
      <w:outlineLvl w:val="1"/>
    </w:pPr>
    <w:rPr>
      <w:rFonts w:eastAsia="黑体"/>
      <w:b/>
      <w:bCs/>
      <w:color w:val="000000"/>
      <w:sz w:val="32"/>
      <w:szCs w:val="30"/>
      <w:lang w:val="zh-CN"/>
    </w:rPr>
  </w:style>
  <w:style w:type="paragraph" w:styleId="4">
    <w:name w:val="heading 3"/>
    <w:basedOn w:val="1"/>
    <w:next w:val="1"/>
    <w:link w:val="30"/>
    <w:unhideWhenUsed/>
    <w:qFormat/>
    <w:uiPriority w:val="0"/>
    <w:pPr>
      <w:keepNext/>
      <w:keepLines/>
      <w:spacing w:before="260" w:after="260" w:line="416" w:lineRule="auto"/>
      <w:ind w:firstLine="0" w:firstLineChars="0"/>
      <w:outlineLvl w:val="2"/>
    </w:pPr>
    <w:rPr>
      <w:rFonts w:ascii="方正大标宋简体" w:hAnsi="方正大标宋简体" w:cs="方正大标宋简体"/>
      <w:b/>
      <w:bCs/>
      <w:sz w:val="32"/>
      <w:szCs w:val="32"/>
    </w:rPr>
  </w:style>
  <w:style w:type="paragraph" w:styleId="5">
    <w:name w:val="heading 4"/>
    <w:basedOn w:val="1"/>
    <w:next w:val="1"/>
    <w:link w:val="3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5"/>
    <w:qFormat/>
    <w:uiPriority w:val="0"/>
    <w:pPr>
      <w:keepNext/>
      <w:keepLines/>
      <w:spacing w:before="120" w:after="120"/>
      <w:ind w:left="284" w:firstLine="0" w:firstLineChars="0"/>
      <w:outlineLvl w:val="4"/>
    </w:pPr>
    <w:rPr>
      <w:b/>
      <w:bCs/>
      <w:sz w:val="28"/>
      <w:szCs w:val="28"/>
    </w:rPr>
  </w:style>
  <w:style w:type="paragraph" w:styleId="7">
    <w:name w:val="heading 6"/>
    <w:basedOn w:val="1"/>
    <w:next w:val="1"/>
    <w:link w:val="36"/>
    <w:qFormat/>
    <w:uiPriority w:val="0"/>
    <w:pPr>
      <w:keepNext/>
      <w:keepLines/>
      <w:spacing w:before="240" w:after="64" w:line="320" w:lineRule="auto"/>
      <w:ind w:left="142" w:firstLine="0" w:firstLineChars="0"/>
      <w:outlineLvl w:val="5"/>
    </w:pPr>
    <w:rPr>
      <w:rFonts w:ascii="Arial" w:hAnsi="Arial" w:eastAsia="黑体"/>
      <w:b/>
      <w:bCs/>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uiPriority w:val="39"/>
    <w:pPr>
      <w:ind w:left="1440"/>
      <w:jc w:val="left"/>
    </w:pPr>
    <w:rPr>
      <w:rFonts w:asciiTheme="minorHAnsi" w:hAnsiTheme="minorHAnsi" w:cstheme="minorHAnsi"/>
      <w:sz w:val="18"/>
      <w:szCs w:val="18"/>
    </w:rPr>
  </w:style>
  <w:style w:type="paragraph" w:styleId="9">
    <w:name w:val="Document Map"/>
    <w:basedOn w:val="1"/>
    <w:link w:val="28"/>
    <w:semiHidden/>
    <w:unhideWhenUsed/>
    <w:qFormat/>
    <w:uiPriority w:val="0"/>
    <w:rPr>
      <w:rFonts w:ascii="宋体"/>
      <w:sz w:val="18"/>
      <w:szCs w:val="18"/>
    </w:rPr>
  </w:style>
  <w:style w:type="paragraph" w:styleId="10">
    <w:name w:val="Body Text"/>
    <w:basedOn w:val="1"/>
    <w:link w:val="31"/>
    <w:qFormat/>
    <w:uiPriority w:val="0"/>
    <w:pPr>
      <w:autoSpaceDE w:val="0"/>
      <w:autoSpaceDN w:val="0"/>
      <w:spacing w:line="240" w:lineRule="auto"/>
      <w:ind w:firstLine="0" w:firstLineChars="0"/>
      <w:jc w:val="left"/>
    </w:pPr>
    <w:rPr>
      <w:rFonts w:ascii="宋体" w:hAnsi="宋体" w:cs="宋体"/>
      <w:kern w:val="0"/>
      <w:sz w:val="33"/>
      <w:szCs w:val="33"/>
      <w:lang w:eastAsia="en-US"/>
    </w:rPr>
  </w:style>
  <w:style w:type="paragraph" w:styleId="11">
    <w:name w:val="toc 5"/>
    <w:basedOn w:val="1"/>
    <w:next w:val="1"/>
    <w:unhideWhenUsed/>
    <w:uiPriority w:val="39"/>
    <w:pPr>
      <w:ind w:left="960"/>
      <w:jc w:val="left"/>
    </w:pPr>
    <w:rPr>
      <w:rFonts w:asciiTheme="minorHAnsi" w:hAnsiTheme="minorHAnsi" w:cstheme="minorHAnsi"/>
      <w:sz w:val="18"/>
      <w:szCs w:val="18"/>
    </w:rPr>
  </w:style>
  <w:style w:type="paragraph" w:styleId="12">
    <w:name w:val="toc 3"/>
    <w:basedOn w:val="1"/>
    <w:next w:val="1"/>
    <w:unhideWhenUsed/>
    <w:uiPriority w:val="39"/>
    <w:pPr>
      <w:ind w:left="480"/>
      <w:jc w:val="left"/>
    </w:pPr>
    <w:rPr>
      <w:rFonts w:asciiTheme="minorHAnsi" w:hAnsiTheme="minorHAnsi" w:cstheme="minorHAnsi"/>
      <w:i/>
      <w:iCs/>
      <w:sz w:val="20"/>
      <w:szCs w:val="20"/>
    </w:rPr>
  </w:style>
  <w:style w:type="paragraph" w:styleId="13">
    <w:name w:val="toc 8"/>
    <w:basedOn w:val="1"/>
    <w:next w:val="1"/>
    <w:unhideWhenUsed/>
    <w:uiPriority w:val="39"/>
    <w:pPr>
      <w:ind w:left="1680"/>
      <w:jc w:val="left"/>
    </w:pPr>
    <w:rPr>
      <w:rFonts w:asciiTheme="minorHAnsi" w:hAnsiTheme="minorHAnsi" w:cstheme="minorHAnsi"/>
      <w:sz w:val="18"/>
      <w:szCs w:val="18"/>
    </w:rPr>
  </w:style>
  <w:style w:type="paragraph" w:styleId="14">
    <w:name w:val="Balloon Text"/>
    <w:basedOn w:val="1"/>
    <w:link w:val="38"/>
    <w:semiHidden/>
    <w:unhideWhenUsed/>
    <w:uiPriority w:val="99"/>
    <w:pPr>
      <w:spacing w:line="240" w:lineRule="auto"/>
    </w:pPr>
    <w:rPr>
      <w:sz w:val="18"/>
      <w:szCs w:val="18"/>
    </w:rPr>
  </w:style>
  <w:style w:type="paragraph" w:styleId="15">
    <w:name w:val="footer"/>
    <w:basedOn w:val="1"/>
    <w:link w:val="27"/>
    <w:unhideWhenUsed/>
    <w:uiPriority w:val="99"/>
    <w:pPr>
      <w:tabs>
        <w:tab w:val="center" w:pos="4153"/>
        <w:tab w:val="right" w:pos="8306"/>
      </w:tabs>
      <w:snapToGrid w:val="0"/>
      <w:jc w:val="left"/>
    </w:pPr>
    <w:rPr>
      <w:sz w:val="18"/>
      <w:szCs w:val="18"/>
    </w:rPr>
  </w:style>
  <w:style w:type="paragraph" w:styleId="16">
    <w:name w:val="header"/>
    <w:basedOn w:val="1"/>
    <w:link w:val="26"/>
    <w:semiHidden/>
    <w:unhideWhenUsed/>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uiPriority w:val="39"/>
    <w:pPr>
      <w:spacing w:before="120" w:after="120"/>
      <w:jc w:val="left"/>
    </w:pPr>
    <w:rPr>
      <w:rFonts w:asciiTheme="minorHAnsi" w:hAnsiTheme="minorHAnsi" w:cstheme="minorHAnsi"/>
      <w:b/>
      <w:bCs/>
      <w:caps/>
      <w:sz w:val="20"/>
      <w:szCs w:val="20"/>
    </w:rPr>
  </w:style>
  <w:style w:type="paragraph" w:styleId="18">
    <w:name w:val="toc 4"/>
    <w:basedOn w:val="1"/>
    <w:next w:val="1"/>
    <w:unhideWhenUsed/>
    <w:uiPriority w:val="39"/>
    <w:pPr>
      <w:ind w:left="720"/>
      <w:jc w:val="left"/>
    </w:pPr>
    <w:rPr>
      <w:rFonts w:asciiTheme="minorHAnsi" w:hAnsiTheme="minorHAnsi" w:cstheme="minorHAnsi"/>
      <w:sz w:val="18"/>
      <w:szCs w:val="18"/>
    </w:rPr>
  </w:style>
  <w:style w:type="paragraph" w:styleId="19">
    <w:name w:val="toc 6"/>
    <w:basedOn w:val="1"/>
    <w:next w:val="1"/>
    <w:unhideWhenUsed/>
    <w:uiPriority w:val="39"/>
    <w:pPr>
      <w:ind w:left="1200"/>
      <w:jc w:val="left"/>
    </w:pPr>
    <w:rPr>
      <w:rFonts w:asciiTheme="minorHAnsi" w:hAnsiTheme="minorHAnsi" w:cstheme="minorHAnsi"/>
      <w:sz w:val="18"/>
      <w:szCs w:val="18"/>
    </w:rPr>
  </w:style>
  <w:style w:type="paragraph" w:styleId="20">
    <w:name w:val="toc 2"/>
    <w:basedOn w:val="1"/>
    <w:next w:val="1"/>
    <w:unhideWhenUsed/>
    <w:uiPriority w:val="39"/>
    <w:pPr>
      <w:tabs>
        <w:tab w:val="right" w:leader="dot" w:pos="8296"/>
      </w:tabs>
      <w:ind w:left="240" w:firstLine="560"/>
      <w:jc w:val="left"/>
    </w:pPr>
    <w:rPr>
      <w:rFonts w:ascii="仿宋_GB2312" w:hAnsi="黑体" w:eastAsia="仿宋_GB2312" w:cs="宋体"/>
      <w:bCs/>
      <w:smallCaps/>
      <w:color w:val="000000"/>
      <w:kern w:val="0"/>
      <w:sz w:val="28"/>
      <w:szCs w:val="28"/>
    </w:rPr>
  </w:style>
  <w:style w:type="paragraph" w:styleId="21">
    <w:name w:val="toc 9"/>
    <w:basedOn w:val="1"/>
    <w:next w:val="1"/>
    <w:unhideWhenUsed/>
    <w:uiPriority w:val="39"/>
    <w:pPr>
      <w:ind w:left="1920"/>
      <w:jc w:val="left"/>
    </w:pPr>
    <w:rPr>
      <w:rFonts w:asciiTheme="minorHAnsi" w:hAnsiTheme="minorHAnsi" w:cstheme="minorHAnsi"/>
      <w:sz w:val="18"/>
      <w:szCs w:val="18"/>
    </w:rPr>
  </w:style>
  <w:style w:type="paragraph" w:styleId="22">
    <w:name w:val="Normal (Web)"/>
    <w:basedOn w:val="1"/>
    <w:link w:val="47"/>
    <w:qFormat/>
    <w:uiPriority w:val="0"/>
    <w:pPr>
      <w:widowControl/>
      <w:spacing w:before="100" w:beforeAutospacing="1" w:after="100" w:afterAutospacing="1"/>
      <w:jc w:val="left"/>
    </w:pPr>
    <w:rPr>
      <w:rFonts w:ascii="宋体" w:hAnsi="宋体" w:cs="宋体"/>
      <w:color w:val="000000"/>
      <w:kern w:val="0"/>
      <w:sz w:val="20"/>
      <w:szCs w:val="20"/>
    </w:rPr>
  </w:style>
  <w:style w:type="table" w:styleId="24">
    <w:name w:val="Table Grid"/>
    <w:basedOn w:val="2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26">
    <w:name w:val="页眉 Char"/>
    <w:basedOn w:val="25"/>
    <w:link w:val="16"/>
    <w:semiHidden/>
    <w:qFormat/>
    <w:uiPriority w:val="99"/>
    <w:rPr>
      <w:sz w:val="18"/>
      <w:szCs w:val="18"/>
    </w:rPr>
  </w:style>
  <w:style w:type="character" w:customStyle="1" w:styleId="27">
    <w:name w:val="页脚 Char"/>
    <w:basedOn w:val="25"/>
    <w:link w:val="15"/>
    <w:uiPriority w:val="99"/>
    <w:rPr>
      <w:sz w:val="18"/>
      <w:szCs w:val="18"/>
    </w:rPr>
  </w:style>
  <w:style w:type="character" w:customStyle="1" w:styleId="28">
    <w:name w:val="文档结构图 Char"/>
    <w:basedOn w:val="25"/>
    <w:link w:val="9"/>
    <w:semiHidden/>
    <w:qFormat/>
    <w:uiPriority w:val="0"/>
    <w:rPr>
      <w:rFonts w:ascii="宋体" w:hAnsi="Times New Roman" w:eastAsia="宋体" w:cs="Times New Roman"/>
      <w:sz w:val="18"/>
      <w:szCs w:val="18"/>
    </w:rPr>
  </w:style>
  <w:style w:type="paragraph" w:customStyle="1" w:styleId="29">
    <w:name w:val="Defaul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30">
    <w:name w:val="标题 3 Char"/>
    <w:basedOn w:val="25"/>
    <w:link w:val="4"/>
    <w:qFormat/>
    <w:uiPriority w:val="9"/>
    <w:rPr>
      <w:rFonts w:ascii="方正大标宋简体" w:hAnsi="方正大标宋简体" w:eastAsia="宋体" w:cs="方正大标宋简体"/>
      <w:b/>
      <w:bCs/>
      <w:sz w:val="32"/>
      <w:szCs w:val="32"/>
    </w:rPr>
  </w:style>
  <w:style w:type="character" w:customStyle="1" w:styleId="31">
    <w:name w:val="正文文本 Char"/>
    <w:basedOn w:val="25"/>
    <w:link w:val="10"/>
    <w:uiPriority w:val="1"/>
    <w:rPr>
      <w:rFonts w:ascii="宋体" w:hAnsi="宋体" w:eastAsia="宋体" w:cs="宋体"/>
      <w:kern w:val="0"/>
      <w:sz w:val="33"/>
      <w:szCs w:val="33"/>
      <w:lang w:eastAsia="en-US"/>
    </w:rPr>
  </w:style>
  <w:style w:type="character" w:customStyle="1" w:styleId="32">
    <w:name w:val="标题 4 Char"/>
    <w:basedOn w:val="25"/>
    <w:link w:val="5"/>
    <w:semiHidden/>
    <w:uiPriority w:val="9"/>
    <w:rPr>
      <w:rFonts w:asciiTheme="majorHAnsi" w:hAnsiTheme="majorHAnsi" w:eastAsiaTheme="majorEastAsia" w:cstheme="majorBidi"/>
      <w:b/>
      <w:bCs/>
      <w:sz w:val="28"/>
      <w:szCs w:val="28"/>
    </w:rPr>
  </w:style>
  <w:style w:type="character" w:customStyle="1" w:styleId="33">
    <w:name w:val="标题 1 Char"/>
    <w:basedOn w:val="25"/>
    <w:link w:val="2"/>
    <w:uiPriority w:val="0"/>
    <w:rPr>
      <w:rFonts w:ascii="黑体" w:hAnsi="黑体" w:eastAsia="黑体" w:cs="黑体"/>
      <w:b/>
      <w:bCs/>
      <w:kern w:val="44"/>
      <w:sz w:val="36"/>
      <w:szCs w:val="32"/>
    </w:rPr>
  </w:style>
  <w:style w:type="character" w:customStyle="1" w:styleId="34">
    <w:name w:val="标题 2 Char"/>
    <w:basedOn w:val="25"/>
    <w:link w:val="3"/>
    <w:uiPriority w:val="0"/>
    <w:rPr>
      <w:rFonts w:ascii="Times New Roman" w:hAnsi="Times New Roman" w:eastAsia="黑体" w:cs="Times New Roman"/>
      <w:b/>
      <w:bCs/>
      <w:color w:val="000000"/>
      <w:sz w:val="32"/>
      <w:szCs w:val="30"/>
      <w:lang w:val="zh-CN"/>
    </w:rPr>
  </w:style>
  <w:style w:type="character" w:customStyle="1" w:styleId="35">
    <w:name w:val="标题 5 Char"/>
    <w:basedOn w:val="25"/>
    <w:link w:val="6"/>
    <w:uiPriority w:val="0"/>
    <w:rPr>
      <w:rFonts w:ascii="Times New Roman" w:hAnsi="Times New Roman" w:eastAsia="宋体" w:cs="Times New Roman"/>
      <w:b/>
      <w:bCs/>
      <w:sz w:val="28"/>
      <w:szCs w:val="28"/>
    </w:rPr>
  </w:style>
  <w:style w:type="character" w:customStyle="1" w:styleId="36">
    <w:name w:val="标题 6 Char"/>
    <w:basedOn w:val="25"/>
    <w:link w:val="7"/>
    <w:uiPriority w:val="0"/>
    <w:rPr>
      <w:rFonts w:ascii="Arial" w:hAnsi="Arial" w:eastAsia="黑体" w:cs="Times New Roman"/>
      <w:b/>
      <w:bCs/>
      <w:sz w:val="24"/>
      <w:szCs w:val="24"/>
    </w:rPr>
  </w:style>
  <w:style w:type="paragraph" w:customStyle="1" w:styleId="37">
    <w:name w:val="正本"/>
    <w:qFormat/>
    <w:uiPriority w:val="0"/>
    <w:pPr>
      <w:widowControl w:val="0"/>
      <w:spacing w:beforeLines="50" w:line="600" w:lineRule="exact"/>
      <w:ind w:firstLine="640" w:firstLineChars="200"/>
      <w:contextualSpacing/>
      <w:jc w:val="center"/>
    </w:pPr>
    <w:rPr>
      <w:rFonts w:ascii="黑体" w:hAnsi="黑体" w:eastAsia="黑体" w:cs="Times New Roman"/>
      <w:kern w:val="2"/>
      <w:sz w:val="32"/>
      <w:szCs w:val="32"/>
      <w:lang w:val="en-US" w:eastAsia="zh-CN" w:bidi="ar-SA"/>
    </w:rPr>
  </w:style>
  <w:style w:type="character" w:customStyle="1" w:styleId="38">
    <w:name w:val="批注框文本 Char"/>
    <w:basedOn w:val="25"/>
    <w:link w:val="14"/>
    <w:semiHidden/>
    <w:uiPriority w:val="99"/>
    <w:rPr>
      <w:rFonts w:ascii="Times New Roman" w:hAnsi="Times New Roman" w:eastAsia="宋体" w:cs="Times New Roman"/>
      <w:sz w:val="18"/>
      <w:szCs w:val="18"/>
    </w:rPr>
  </w:style>
  <w:style w:type="paragraph" w:customStyle="1" w:styleId="39">
    <w:name w:val="Azheng"/>
    <w:basedOn w:val="1"/>
    <w:qFormat/>
    <w:uiPriority w:val="0"/>
    <w:pPr>
      <w:spacing w:before="120"/>
      <w:ind w:firstLine="0" w:firstLineChars="0"/>
    </w:pPr>
    <w:rPr>
      <w:rFonts w:ascii="仿宋" w:hAnsi="仿宋" w:eastAsia="仿宋"/>
      <w:b/>
      <w:bCs/>
      <w:snapToGrid w:val="0"/>
      <w:kern w:val="0"/>
      <w:sz w:val="30"/>
      <w:szCs w:val="32"/>
    </w:rPr>
  </w:style>
  <w:style w:type="character" w:customStyle="1" w:styleId="40">
    <w:name w:val="kaiti"/>
    <w:basedOn w:val="25"/>
    <w:qFormat/>
    <w:uiPriority w:val="0"/>
    <w:rPr>
      <w:rFonts w:eastAsia="仿宋"/>
      <w:b/>
      <w:sz w:val="24"/>
    </w:rPr>
  </w:style>
  <w:style w:type="paragraph" w:customStyle="1" w:styleId="41">
    <w:name w:val="专栏标题"/>
    <w:basedOn w:val="22"/>
    <w:link w:val="43"/>
    <w:qFormat/>
    <w:uiPriority w:val="0"/>
    <w:pPr>
      <w:spacing w:before="0" w:beforeAutospacing="0" w:after="0" w:afterAutospacing="0"/>
      <w:ind w:left="98" w:firstLine="56" w:firstLineChars="20"/>
      <w:jc w:val="center"/>
    </w:pPr>
    <w:rPr>
      <w:rFonts w:ascii="黑体" w:hAnsi="黑体" w:eastAsia="黑体"/>
      <w:sz w:val="28"/>
      <w:szCs w:val="28"/>
    </w:rPr>
  </w:style>
  <w:style w:type="paragraph" w:customStyle="1" w:styleId="42">
    <w:name w:val="专栏内容"/>
    <w:basedOn w:val="22"/>
    <w:link w:val="45"/>
    <w:qFormat/>
    <w:uiPriority w:val="0"/>
    <w:pPr>
      <w:spacing w:before="0" w:beforeAutospacing="0" w:after="0" w:afterAutospacing="0" w:line="240" w:lineRule="auto"/>
      <w:ind w:firstLine="0" w:firstLineChars="0"/>
      <w:jc w:val="center"/>
    </w:pPr>
    <w:rPr>
      <w:rFonts w:ascii="仿宋" w:hAnsi="仿宋" w:eastAsia="仿宋"/>
      <w:sz w:val="24"/>
      <w:szCs w:val="24"/>
    </w:rPr>
  </w:style>
  <w:style w:type="character" w:customStyle="1" w:styleId="43">
    <w:name w:val="专栏标题 Char"/>
    <w:basedOn w:val="25"/>
    <w:link w:val="41"/>
    <w:uiPriority w:val="0"/>
    <w:rPr>
      <w:rFonts w:ascii="黑体" w:hAnsi="黑体" w:eastAsia="黑体" w:cs="宋体"/>
      <w:color w:val="000000"/>
      <w:kern w:val="0"/>
      <w:sz w:val="28"/>
      <w:szCs w:val="28"/>
    </w:rPr>
  </w:style>
  <w:style w:type="paragraph" w:customStyle="1" w:styleId="44">
    <w:name w:val="专栏内容2"/>
    <w:basedOn w:val="42"/>
    <w:link w:val="46"/>
    <w:qFormat/>
    <w:uiPriority w:val="0"/>
    <w:pPr>
      <w:ind w:firstLine="480" w:firstLineChars="200"/>
      <w:jc w:val="both"/>
    </w:pPr>
  </w:style>
  <w:style w:type="character" w:customStyle="1" w:styleId="45">
    <w:name w:val="专栏内容 Char"/>
    <w:basedOn w:val="25"/>
    <w:link w:val="42"/>
    <w:qFormat/>
    <w:uiPriority w:val="0"/>
    <w:rPr>
      <w:rFonts w:ascii="仿宋" w:hAnsi="仿宋" w:eastAsia="仿宋" w:cs="宋体"/>
      <w:color w:val="000000"/>
      <w:kern w:val="0"/>
      <w:sz w:val="24"/>
      <w:szCs w:val="24"/>
    </w:rPr>
  </w:style>
  <w:style w:type="character" w:customStyle="1" w:styleId="46">
    <w:name w:val="专栏内容2 Char"/>
    <w:basedOn w:val="45"/>
    <w:link w:val="44"/>
    <w:uiPriority w:val="0"/>
  </w:style>
  <w:style w:type="character" w:customStyle="1" w:styleId="47">
    <w:name w:val="普通(网站) Char"/>
    <w:basedOn w:val="25"/>
    <w:link w:val="22"/>
    <w:uiPriority w:val="0"/>
    <w:rPr>
      <w:rFonts w:ascii="宋体" w:hAnsi="宋体" w:eastAsia="宋体" w:cs="宋体"/>
      <w:color w:val="000000"/>
      <w:kern w:val="0"/>
      <w:sz w:val="20"/>
      <w:szCs w:val="20"/>
    </w:rPr>
  </w:style>
  <w:style w:type="paragraph" w:customStyle="1" w:styleId="48">
    <w:name w:val="表格"/>
    <w:basedOn w:val="1"/>
    <w:link w:val="49"/>
    <w:qFormat/>
    <w:uiPriority w:val="0"/>
    <w:pPr>
      <w:autoSpaceDE w:val="0"/>
      <w:autoSpaceDN w:val="0"/>
      <w:adjustRightInd w:val="0"/>
      <w:spacing w:line="400" w:lineRule="exact"/>
      <w:jc w:val="left"/>
      <w:textAlignment w:val="baseline"/>
    </w:pPr>
    <w:rPr>
      <w:rFonts w:ascii="宋体" w:eastAsia="仿宋"/>
      <w:kern w:val="0"/>
      <w:sz w:val="30"/>
      <w:szCs w:val="20"/>
    </w:rPr>
  </w:style>
  <w:style w:type="character" w:customStyle="1" w:styleId="49">
    <w:name w:val="表格 Char"/>
    <w:link w:val="48"/>
    <w:qFormat/>
    <w:uiPriority w:val="0"/>
    <w:rPr>
      <w:rFonts w:ascii="宋体" w:hAnsi="Times New Roman" w:eastAsia="仿宋" w:cs="Times New Roman"/>
      <w:kern w:val="0"/>
      <w:sz w:val="30"/>
      <w:szCs w:val="20"/>
    </w:rPr>
  </w:style>
  <w:style w:type="paragraph" w:customStyle="1" w:styleId="50">
    <w:name w:val="列出段落1"/>
    <w:basedOn w:val="1"/>
    <w:qFormat/>
    <w:uiPriority w:val="34"/>
    <w:pPr>
      <w:spacing w:line="240" w:lineRule="auto"/>
      <w:ind w:firstLine="420"/>
    </w:pPr>
    <w:rPr>
      <w:rFonts w:ascii="Calibri" w:hAnsi="Calibr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853FC-F27A-4A02-A70E-FF84782087D1}">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19244</Words>
  <Characters>19863</Characters>
  <Lines>161</Lines>
  <Paragraphs>45</Paragraphs>
  <TotalTime>16199</TotalTime>
  <ScaleCrop>false</ScaleCrop>
  <LinksUpToDate>false</LinksUpToDate>
  <CharactersWithSpaces>20255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2021-03-04T07:20:00Z</dcterms:created>
  <dc:creator>ASUS</dc:creator>
  <cp:lastModifiedBy>Administrator</cp:lastModifiedBy>
  <dcterms:modified xsi:type="dcterms:W3CDTF">2023-03-15T03:10:01Z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261ECE89A72B4C898F0303A3B20B13F7</vt:lpwstr>
  </property>
</Properties>
</file>