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ACA2908">
      <w:pPr>
        <w:rPr>
          <w:rFonts w:hint="eastAsia" w:ascii="黑体" w:hAnsi="黑体" w:eastAsia="黑体" w:cs="黑体"/>
          <w:highlight w:val="none"/>
          <w:lang w:val="en-US" w:eastAsia="zh-CN"/>
        </w:rPr>
      </w:pPr>
      <w:r>
        <w:rPr>
          <w:rFonts w:hint="eastAsia" w:ascii="黑体" w:hAnsi="黑体" w:eastAsia="黑体" w:cs="黑体"/>
          <w:szCs w:val="32"/>
          <w:highlight w:val="none"/>
          <w:lang w:val="zh-CN"/>
        </w:rPr>
        <w:t>附件</w:t>
      </w:r>
      <w:r>
        <w:rPr>
          <w:rFonts w:hint="eastAsia" w:ascii="黑体" w:hAnsi="黑体" w:eastAsia="黑体" w:cs="黑体"/>
          <w:szCs w:val="32"/>
          <w:highlight w:val="none"/>
          <w:lang w:val="en-US" w:eastAsia="zh-CN"/>
        </w:rPr>
        <w:t>3</w:t>
      </w:r>
    </w:p>
    <w:p w14:paraId="467F5DAE">
      <w:pPr>
        <w:widowControl/>
        <w:spacing w:line="580" w:lineRule="exact"/>
        <w:contextualSpacing/>
        <w:jc w:val="both"/>
        <w:rPr>
          <w:rFonts w:hint="eastAsia" w:ascii="宋体" w:hAnsi="宋体" w:eastAsia="宋体"/>
          <w:b/>
          <w:sz w:val="44"/>
          <w:szCs w:val="44"/>
          <w:highlight w:val="none"/>
          <w:shd w:val="clear" w:color="auto" w:fill="FFFFFF"/>
          <w:lang w:eastAsia="zh-CN"/>
        </w:rPr>
      </w:pPr>
    </w:p>
    <w:p w14:paraId="06A9BF7E">
      <w:pPr>
        <w:widowControl/>
        <w:spacing w:line="580" w:lineRule="exact"/>
        <w:contextualSpacing/>
        <w:jc w:val="center"/>
        <w:rPr>
          <w:rFonts w:hint="eastAsia" w:ascii="方正小标宋简体" w:hAnsi="方正小标宋简体" w:eastAsia="方正小标宋简体" w:cs="方正小标宋简体"/>
          <w:b w:val="0"/>
          <w:bCs/>
          <w:sz w:val="44"/>
          <w:szCs w:val="44"/>
          <w:highlight w:val="none"/>
          <w:shd w:val="clear" w:color="auto" w:fill="FFFFFF"/>
          <w:lang w:val="en-US" w:eastAsia="zh-CN"/>
        </w:rPr>
      </w:pPr>
      <w:r>
        <w:rPr>
          <w:rFonts w:hint="eastAsia" w:ascii="方正小标宋简体" w:hAnsi="方正小标宋简体" w:eastAsia="方正小标宋简体" w:cs="方正小标宋简体"/>
          <w:b w:val="0"/>
          <w:bCs/>
          <w:sz w:val="44"/>
          <w:szCs w:val="44"/>
          <w:highlight w:val="none"/>
          <w:shd w:val="clear" w:color="auto" w:fill="FFFFFF"/>
          <w:lang w:eastAsia="zh-CN"/>
        </w:rPr>
        <w:t>峨边彝族自治县</w:t>
      </w:r>
      <w:r>
        <w:rPr>
          <w:rFonts w:hint="eastAsia" w:ascii="方正小标宋简体" w:hAnsi="方正小标宋简体" w:eastAsia="方正小标宋简体" w:cs="方正小标宋简体"/>
          <w:b w:val="0"/>
          <w:bCs/>
          <w:sz w:val="44"/>
          <w:szCs w:val="44"/>
          <w:highlight w:val="none"/>
          <w:shd w:val="clear" w:color="auto" w:fill="FFFFFF"/>
          <w:lang w:val="en-US" w:eastAsia="zh-CN"/>
        </w:rPr>
        <w:t>综合行政执法局</w:t>
      </w:r>
    </w:p>
    <w:p w14:paraId="53786C48">
      <w:pPr>
        <w:widowControl/>
        <w:spacing w:line="580" w:lineRule="exact"/>
        <w:contextualSpacing/>
        <w:jc w:val="center"/>
        <w:rPr>
          <w:rFonts w:hint="eastAsia" w:ascii="方正小标宋简体" w:hAnsi="方正小标宋简体" w:eastAsia="方正小标宋简体" w:cs="方正小标宋简体"/>
          <w:b w:val="0"/>
          <w:bCs/>
          <w:sz w:val="44"/>
          <w:szCs w:val="44"/>
          <w:highlight w:val="none"/>
          <w:shd w:val="clear" w:color="auto" w:fill="FFFFFF"/>
        </w:rPr>
      </w:pPr>
      <w:r>
        <w:rPr>
          <w:rFonts w:hint="eastAsia" w:ascii="方正小标宋简体" w:hAnsi="方正小标宋简体" w:eastAsia="方正小标宋简体" w:cs="方正小标宋简体"/>
          <w:b w:val="0"/>
          <w:bCs/>
          <w:sz w:val="44"/>
          <w:szCs w:val="44"/>
          <w:highlight w:val="none"/>
          <w:shd w:val="clear" w:color="auto" w:fill="FFFFFF"/>
          <w:lang w:eastAsia="zh-CN"/>
        </w:rPr>
        <w:t>2023年</w:t>
      </w:r>
      <w:r>
        <w:rPr>
          <w:rFonts w:hint="eastAsia" w:ascii="方正小标宋简体" w:hAnsi="方正小标宋简体" w:eastAsia="方正小标宋简体" w:cs="方正小标宋简体"/>
          <w:b w:val="0"/>
          <w:bCs/>
          <w:sz w:val="44"/>
          <w:szCs w:val="44"/>
          <w:highlight w:val="none"/>
          <w:shd w:val="clear" w:color="auto" w:fill="FFFFFF"/>
        </w:rPr>
        <w:t>度部门整体支出绩效评价</w:t>
      </w:r>
    </w:p>
    <w:p w14:paraId="5CFA183E">
      <w:pPr>
        <w:widowControl/>
        <w:spacing w:line="580" w:lineRule="exact"/>
        <w:contextualSpacing/>
        <w:jc w:val="center"/>
        <w:rPr>
          <w:rFonts w:hint="eastAsia" w:ascii="方正小标宋简体" w:hAnsi="方正小标宋简体" w:eastAsia="方正小标宋简体" w:cs="方正小标宋简体"/>
          <w:b w:val="0"/>
          <w:bCs/>
          <w:sz w:val="44"/>
          <w:szCs w:val="44"/>
          <w:highlight w:val="none"/>
          <w:shd w:val="clear" w:color="auto" w:fill="FFFFFF"/>
        </w:rPr>
      </w:pPr>
      <w:r>
        <w:rPr>
          <w:rFonts w:hint="eastAsia" w:ascii="方正小标宋简体" w:hAnsi="方正小标宋简体" w:eastAsia="方正小标宋简体" w:cs="方正小标宋简体"/>
          <w:b w:val="0"/>
          <w:bCs/>
          <w:sz w:val="44"/>
          <w:szCs w:val="44"/>
          <w:highlight w:val="none"/>
          <w:shd w:val="clear" w:color="auto" w:fill="FFFFFF"/>
        </w:rPr>
        <w:t>报</w:t>
      </w:r>
      <w:r>
        <w:rPr>
          <w:rFonts w:hint="eastAsia" w:ascii="方正小标宋简体" w:hAnsi="方正小标宋简体" w:eastAsia="方正小标宋简体" w:cs="方正小标宋简体"/>
          <w:b w:val="0"/>
          <w:bCs/>
          <w:sz w:val="44"/>
          <w:szCs w:val="44"/>
          <w:highlight w:val="none"/>
          <w:shd w:val="clear" w:color="auto" w:fill="FFFFFF"/>
          <w:lang w:val="en-US" w:eastAsia="zh-CN"/>
        </w:rPr>
        <w:t xml:space="preserve">  </w:t>
      </w:r>
      <w:r>
        <w:rPr>
          <w:rFonts w:hint="eastAsia" w:ascii="方正小标宋简体" w:hAnsi="方正小标宋简体" w:eastAsia="方正小标宋简体" w:cs="方正小标宋简体"/>
          <w:b w:val="0"/>
          <w:bCs/>
          <w:sz w:val="44"/>
          <w:szCs w:val="44"/>
          <w:highlight w:val="none"/>
          <w:shd w:val="clear" w:color="auto" w:fill="FFFFFF"/>
        </w:rPr>
        <w:t>告</w:t>
      </w:r>
    </w:p>
    <w:p w14:paraId="78E5BA60">
      <w:pPr>
        <w:widowControl/>
        <w:adjustRightInd w:val="0"/>
        <w:snapToGrid w:val="0"/>
        <w:spacing w:line="580" w:lineRule="exact"/>
        <w:ind w:firstLine="480" w:firstLineChars="200"/>
        <w:contextualSpacing/>
        <w:jc w:val="left"/>
        <w:rPr>
          <w:rFonts w:ascii="黑体" w:hAnsi="宋体" w:eastAsia="黑体" w:cs="宋体"/>
          <w:color w:val="000000"/>
          <w:kern w:val="0"/>
          <w:sz w:val="24"/>
          <w:szCs w:val="32"/>
          <w:highlight w:val="none"/>
          <w:shd w:val="clear" w:color="auto" w:fill="FFFFFF"/>
        </w:rPr>
      </w:pPr>
    </w:p>
    <w:p w14:paraId="7455D35A">
      <w:pPr>
        <w:widowControl/>
        <w:adjustRightInd w:val="0"/>
        <w:snapToGrid w:val="0"/>
        <w:spacing w:line="580" w:lineRule="exact"/>
        <w:ind w:firstLine="640" w:firstLineChars="200"/>
        <w:contextualSpacing/>
        <w:jc w:val="left"/>
        <w:rPr>
          <w:rFonts w:ascii="黑体" w:hAnsi="宋体" w:eastAsia="黑体" w:cs="宋体"/>
          <w:color w:val="000000"/>
          <w:kern w:val="0"/>
          <w:szCs w:val="32"/>
          <w:highlight w:val="none"/>
          <w:shd w:val="clear" w:color="auto" w:fill="FFFFFF"/>
          <w:lang w:val="zh-CN"/>
        </w:rPr>
      </w:pPr>
      <w:r>
        <w:rPr>
          <w:rFonts w:hint="eastAsia" w:ascii="黑体" w:hAnsi="宋体" w:eastAsia="黑体" w:cs="宋体"/>
          <w:color w:val="000000"/>
          <w:kern w:val="0"/>
          <w:szCs w:val="32"/>
          <w:highlight w:val="none"/>
          <w:shd w:val="clear" w:color="auto" w:fill="FFFFFF"/>
        </w:rPr>
        <w:t>一、</w:t>
      </w:r>
      <w:r>
        <w:rPr>
          <w:rFonts w:hint="eastAsia" w:ascii="黑体" w:hAnsi="宋体" w:eastAsia="黑体" w:cs="宋体"/>
          <w:color w:val="000000"/>
          <w:kern w:val="0"/>
          <w:szCs w:val="32"/>
          <w:highlight w:val="none"/>
          <w:shd w:val="clear" w:color="auto" w:fill="FFFFFF"/>
          <w:lang w:val="zh-CN"/>
        </w:rPr>
        <w:t>部门（单位）概况</w:t>
      </w:r>
    </w:p>
    <w:p w14:paraId="3B0368FE">
      <w:pPr>
        <w:keepNext w:val="0"/>
        <w:keepLines w:val="0"/>
        <w:pageBreakBefore w:val="0"/>
        <w:widowControl/>
        <w:kinsoku/>
        <w:wordWrap/>
        <w:overflowPunct/>
        <w:topLinePunct w:val="0"/>
        <w:autoSpaceDE/>
        <w:autoSpaceDN/>
        <w:bidi w:val="0"/>
        <w:adjustRightInd w:val="0"/>
        <w:snapToGrid w:val="0"/>
        <w:spacing w:line="580" w:lineRule="exact"/>
        <w:ind w:firstLine="640" w:firstLineChars="200"/>
        <w:contextualSpacing/>
        <w:jc w:val="left"/>
        <w:textAlignment w:val="auto"/>
        <w:rPr>
          <w:rFonts w:hint="eastAsia" w:ascii="仿宋_GB2312" w:hAnsi="宋体" w:cs="宋体"/>
          <w:color w:val="000000"/>
          <w:kern w:val="0"/>
          <w:szCs w:val="32"/>
          <w:highlight w:val="none"/>
          <w:shd w:val="clear" w:color="auto" w:fill="FFFFFF"/>
          <w:lang w:val="zh-CN"/>
        </w:rPr>
      </w:pPr>
      <w:r>
        <w:rPr>
          <w:rFonts w:hint="eastAsia" w:ascii="仿宋_GB2312" w:hAnsi="宋体" w:cs="宋体"/>
          <w:color w:val="000000"/>
          <w:kern w:val="0"/>
          <w:szCs w:val="32"/>
          <w:highlight w:val="none"/>
          <w:shd w:val="clear" w:color="auto" w:fill="FFFFFF"/>
          <w:lang w:val="zh-CN"/>
        </w:rPr>
        <w:t>（一）机构组成</w:t>
      </w:r>
    </w:p>
    <w:p w14:paraId="152EFF10">
      <w:pPr>
        <w:keepNext w:val="0"/>
        <w:keepLines w:val="0"/>
        <w:pageBreakBefore w:val="0"/>
        <w:widowControl/>
        <w:kinsoku/>
        <w:wordWrap/>
        <w:overflowPunct/>
        <w:topLinePunct w:val="0"/>
        <w:autoSpaceDE/>
        <w:autoSpaceDN/>
        <w:bidi w:val="0"/>
        <w:adjustRightInd w:val="0"/>
        <w:snapToGrid w:val="0"/>
        <w:spacing w:line="580" w:lineRule="exact"/>
        <w:ind w:firstLine="640" w:firstLineChars="200"/>
        <w:contextualSpacing/>
        <w:jc w:val="left"/>
        <w:textAlignment w:val="auto"/>
        <w:rPr>
          <w:rFonts w:hint="eastAsia" w:ascii="仿宋_GB2312" w:hAnsi="宋体" w:cs="宋体"/>
          <w:color w:val="000000"/>
          <w:kern w:val="0"/>
          <w:szCs w:val="32"/>
          <w:highlight w:val="none"/>
          <w:shd w:val="clear" w:color="auto" w:fill="FFFFFF"/>
          <w:lang w:val="zh-CN"/>
        </w:rPr>
      </w:pPr>
      <w:r>
        <w:rPr>
          <w:rFonts w:hint="eastAsia" w:ascii="仿宋_GB2312" w:hAnsi="宋体" w:cs="宋体"/>
          <w:color w:val="000000"/>
          <w:kern w:val="0"/>
          <w:szCs w:val="32"/>
          <w:highlight w:val="none"/>
          <w:shd w:val="clear" w:color="auto" w:fill="FFFFFF"/>
          <w:lang w:val="en-US" w:eastAsia="zh-CN"/>
        </w:rPr>
        <w:t>1.</w:t>
      </w:r>
      <w:r>
        <w:rPr>
          <w:rFonts w:hint="eastAsia" w:ascii="仿宋_GB2312" w:hAnsi="宋体" w:cs="宋体"/>
          <w:color w:val="000000"/>
          <w:kern w:val="0"/>
          <w:szCs w:val="32"/>
          <w:highlight w:val="none"/>
          <w:shd w:val="clear" w:color="auto" w:fill="FFFFFF"/>
          <w:lang w:val="zh-CN"/>
        </w:rPr>
        <w:t xml:space="preserve">办公室：负责综合协调机关的行政事务工作和文秘、人事、统计、档案、信访、对外联络、接待、机关后勤和部门离退休人员服务管理等工作。负责本部门财务管理和固定资产管理；制定和组织本部门工作目标管理；负责部门党风．廉政建设和精神文明建设工作。    </w:t>
      </w:r>
    </w:p>
    <w:p w14:paraId="3FF40010">
      <w:pPr>
        <w:keepNext w:val="0"/>
        <w:keepLines w:val="0"/>
        <w:pageBreakBefore w:val="0"/>
        <w:widowControl/>
        <w:kinsoku/>
        <w:wordWrap/>
        <w:overflowPunct/>
        <w:topLinePunct w:val="0"/>
        <w:autoSpaceDE/>
        <w:autoSpaceDN/>
        <w:bidi w:val="0"/>
        <w:adjustRightInd w:val="0"/>
        <w:snapToGrid w:val="0"/>
        <w:spacing w:line="580" w:lineRule="exact"/>
        <w:ind w:firstLine="640" w:firstLineChars="200"/>
        <w:contextualSpacing/>
        <w:jc w:val="left"/>
        <w:textAlignment w:val="auto"/>
        <w:rPr>
          <w:rFonts w:hint="eastAsia" w:ascii="仿宋_GB2312" w:hAnsi="宋体" w:cs="宋体"/>
          <w:color w:val="000000"/>
          <w:kern w:val="0"/>
          <w:szCs w:val="32"/>
          <w:highlight w:val="none"/>
          <w:shd w:val="clear" w:color="auto" w:fill="FFFFFF"/>
          <w:lang w:val="zh-CN"/>
        </w:rPr>
      </w:pPr>
      <w:r>
        <w:rPr>
          <w:rFonts w:hint="eastAsia" w:ascii="仿宋_GB2312" w:hAnsi="宋体" w:cs="宋体"/>
          <w:color w:val="000000"/>
          <w:kern w:val="0"/>
          <w:szCs w:val="32"/>
          <w:highlight w:val="none"/>
          <w:shd w:val="clear" w:color="auto" w:fill="FFFFFF"/>
          <w:lang w:val="en-US" w:eastAsia="zh-CN"/>
        </w:rPr>
        <w:t>2.</w:t>
      </w:r>
      <w:r>
        <w:rPr>
          <w:rFonts w:hint="eastAsia" w:ascii="仿宋_GB2312" w:hAnsi="宋体" w:cs="宋体"/>
          <w:color w:val="000000"/>
          <w:kern w:val="0"/>
          <w:szCs w:val="32"/>
          <w:highlight w:val="none"/>
          <w:shd w:val="clear" w:color="auto" w:fill="FFFFFF"/>
          <w:lang w:val="zh-CN"/>
        </w:rPr>
        <w:t>综合管理股：负责组织实施市容市貌和环境卫生管理，城市建筑物容貌管理、户外广告定点管理、城市园林绿化管理、城市建设工程文明施工管理；负责市容环境卫生、园林绿化中长期规划、年度计划的制定和实施，起草城市综合管理方面公益性文件，并经批准后组织实施；指导抓好门前三包管理工作；负责市政设施维护、管理和城市道路占用挖掘审批工作；负责市政设施损失赔偿、处罚工作。</w:t>
      </w:r>
    </w:p>
    <w:p w14:paraId="2AB1EAE8">
      <w:pPr>
        <w:keepNext w:val="0"/>
        <w:keepLines w:val="0"/>
        <w:pageBreakBefore w:val="0"/>
        <w:widowControl/>
        <w:numPr>
          <w:numId w:val="0"/>
        </w:numPr>
        <w:kinsoku/>
        <w:wordWrap/>
        <w:overflowPunct/>
        <w:topLinePunct w:val="0"/>
        <w:autoSpaceDE/>
        <w:autoSpaceDN/>
        <w:bidi w:val="0"/>
        <w:adjustRightInd w:val="0"/>
        <w:snapToGrid w:val="0"/>
        <w:spacing w:line="580" w:lineRule="exact"/>
        <w:ind w:firstLine="640" w:firstLineChars="200"/>
        <w:contextualSpacing/>
        <w:jc w:val="left"/>
        <w:textAlignment w:val="auto"/>
        <w:rPr>
          <w:rFonts w:hint="eastAsia" w:ascii="仿宋_GB2312" w:hAnsi="宋体" w:cs="宋体"/>
          <w:color w:val="000000"/>
          <w:kern w:val="0"/>
          <w:szCs w:val="32"/>
          <w:highlight w:val="none"/>
          <w:shd w:val="clear" w:color="auto" w:fill="FFFFFF"/>
          <w:lang w:val="zh-CN"/>
        </w:rPr>
      </w:pPr>
      <w:r>
        <w:rPr>
          <w:rFonts w:hint="eastAsia" w:ascii="仿宋_GB2312" w:hAnsi="宋体" w:cs="宋体"/>
          <w:color w:val="000000"/>
          <w:kern w:val="0"/>
          <w:szCs w:val="32"/>
          <w:highlight w:val="none"/>
          <w:shd w:val="clear" w:color="auto" w:fill="FFFFFF"/>
          <w:lang w:val="zh-CN"/>
        </w:rPr>
        <w:t>（二）机构职能</w:t>
      </w:r>
    </w:p>
    <w:p w14:paraId="7B19CDC7">
      <w:pPr>
        <w:keepNext w:val="0"/>
        <w:keepLines w:val="0"/>
        <w:pageBreakBefore w:val="0"/>
        <w:widowControl/>
        <w:kinsoku/>
        <w:wordWrap/>
        <w:overflowPunct/>
        <w:topLinePunct w:val="0"/>
        <w:autoSpaceDE/>
        <w:autoSpaceDN/>
        <w:bidi w:val="0"/>
        <w:adjustRightInd w:val="0"/>
        <w:snapToGrid w:val="0"/>
        <w:spacing w:line="580" w:lineRule="exact"/>
        <w:ind w:firstLine="640" w:firstLineChars="200"/>
        <w:contextualSpacing/>
        <w:jc w:val="left"/>
        <w:textAlignment w:val="auto"/>
        <w:rPr>
          <w:rFonts w:hint="eastAsia" w:ascii="仿宋_GB2312" w:hAnsi="宋体" w:cs="宋体"/>
          <w:color w:val="000000"/>
          <w:kern w:val="0"/>
          <w:szCs w:val="32"/>
          <w:highlight w:val="none"/>
          <w:shd w:val="clear" w:color="auto" w:fill="FFFFFF"/>
          <w:lang w:val="zh-CN"/>
        </w:rPr>
      </w:pPr>
      <w:r>
        <w:rPr>
          <w:rFonts w:hint="eastAsia" w:ascii="仿宋_GB2312" w:hAnsi="宋体" w:cs="宋体"/>
          <w:color w:val="000000"/>
          <w:kern w:val="0"/>
          <w:szCs w:val="32"/>
          <w:highlight w:val="none"/>
          <w:shd w:val="clear" w:color="auto" w:fill="FFFFFF"/>
          <w:lang w:val="en-US" w:eastAsia="zh-CN"/>
        </w:rPr>
        <w:t>1.</w:t>
      </w:r>
      <w:r>
        <w:rPr>
          <w:rFonts w:hint="eastAsia" w:ascii="仿宋_GB2312" w:hAnsi="宋体" w:cs="宋体"/>
          <w:color w:val="000000"/>
          <w:kern w:val="0"/>
          <w:szCs w:val="32"/>
          <w:highlight w:val="none"/>
          <w:shd w:val="clear" w:color="auto" w:fill="FFFFFF"/>
          <w:lang w:val="zh-CN"/>
        </w:rPr>
        <w:t>负责城市园林绿化、环境卫生、市容市貌和市政设施维护等工作。</w:t>
      </w:r>
    </w:p>
    <w:p w14:paraId="70022DAA">
      <w:pPr>
        <w:keepNext w:val="0"/>
        <w:keepLines w:val="0"/>
        <w:pageBreakBefore w:val="0"/>
        <w:widowControl/>
        <w:kinsoku/>
        <w:wordWrap/>
        <w:overflowPunct/>
        <w:topLinePunct w:val="0"/>
        <w:autoSpaceDE/>
        <w:autoSpaceDN/>
        <w:bidi w:val="0"/>
        <w:adjustRightInd w:val="0"/>
        <w:snapToGrid w:val="0"/>
        <w:spacing w:line="580" w:lineRule="exact"/>
        <w:ind w:firstLine="640" w:firstLineChars="200"/>
        <w:contextualSpacing/>
        <w:jc w:val="left"/>
        <w:textAlignment w:val="auto"/>
        <w:rPr>
          <w:rFonts w:hint="eastAsia" w:ascii="仿宋_GB2312" w:hAnsi="宋体" w:cs="宋体"/>
          <w:color w:val="000000"/>
          <w:kern w:val="0"/>
          <w:szCs w:val="32"/>
          <w:highlight w:val="none"/>
          <w:shd w:val="clear" w:color="auto" w:fill="FFFFFF"/>
          <w:lang w:val="zh-CN"/>
        </w:rPr>
      </w:pPr>
      <w:r>
        <w:rPr>
          <w:rFonts w:hint="eastAsia" w:ascii="仿宋_GB2312" w:hAnsi="宋体" w:cs="宋体"/>
          <w:color w:val="000000"/>
          <w:kern w:val="0"/>
          <w:szCs w:val="32"/>
          <w:highlight w:val="none"/>
          <w:shd w:val="clear" w:color="auto" w:fill="FFFFFF"/>
          <w:lang w:val="en-US" w:eastAsia="zh-CN"/>
        </w:rPr>
        <w:t>2.</w:t>
      </w:r>
      <w:r>
        <w:rPr>
          <w:rFonts w:hint="eastAsia" w:ascii="仿宋_GB2312" w:hAnsi="宋体" w:cs="宋体"/>
          <w:color w:val="000000"/>
          <w:kern w:val="0"/>
          <w:szCs w:val="32"/>
          <w:highlight w:val="none"/>
          <w:shd w:val="clear" w:color="auto" w:fill="FFFFFF"/>
          <w:lang w:val="zh-CN"/>
        </w:rPr>
        <w:t>负责建立健全城市综合管理方面的规章制度。草拟城市管理办法，经批准后组织实施。</w:t>
      </w:r>
    </w:p>
    <w:p w14:paraId="7FB2F950">
      <w:pPr>
        <w:keepNext w:val="0"/>
        <w:keepLines w:val="0"/>
        <w:pageBreakBefore w:val="0"/>
        <w:widowControl/>
        <w:kinsoku/>
        <w:wordWrap/>
        <w:overflowPunct/>
        <w:topLinePunct w:val="0"/>
        <w:autoSpaceDE/>
        <w:autoSpaceDN/>
        <w:bidi w:val="0"/>
        <w:adjustRightInd w:val="0"/>
        <w:snapToGrid w:val="0"/>
        <w:spacing w:line="580" w:lineRule="exact"/>
        <w:ind w:firstLine="640" w:firstLineChars="200"/>
        <w:contextualSpacing/>
        <w:jc w:val="left"/>
        <w:textAlignment w:val="auto"/>
        <w:rPr>
          <w:rFonts w:hint="eastAsia" w:ascii="仿宋_GB2312" w:hAnsi="宋体" w:cs="宋体"/>
          <w:color w:val="000000"/>
          <w:kern w:val="0"/>
          <w:szCs w:val="32"/>
          <w:highlight w:val="none"/>
          <w:shd w:val="clear" w:color="auto" w:fill="FFFFFF"/>
          <w:lang w:val="zh-CN"/>
        </w:rPr>
      </w:pPr>
      <w:r>
        <w:rPr>
          <w:rFonts w:hint="eastAsia" w:ascii="仿宋_GB2312" w:hAnsi="宋体" w:cs="宋体"/>
          <w:color w:val="000000"/>
          <w:kern w:val="0"/>
          <w:szCs w:val="32"/>
          <w:highlight w:val="none"/>
          <w:shd w:val="clear" w:color="auto" w:fill="FFFFFF"/>
          <w:lang w:val="zh-CN"/>
        </w:rPr>
        <w:t>3</w:t>
      </w:r>
      <w:r>
        <w:rPr>
          <w:rFonts w:hint="eastAsia" w:ascii="仿宋_GB2312" w:hAnsi="宋体" w:cs="宋体"/>
          <w:color w:val="000000"/>
          <w:kern w:val="0"/>
          <w:szCs w:val="32"/>
          <w:highlight w:val="none"/>
          <w:shd w:val="clear" w:color="auto" w:fill="FFFFFF"/>
          <w:lang w:val="en-US" w:eastAsia="zh-CN"/>
        </w:rPr>
        <w:t>.</w:t>
      </w:r>
      <w:r>
        <w:rPr>
          <w:rFonts w:hint="eastAsia" w:ascii="仿宋_GB2312" w:hAnsi="宋体" w:cs="宋体"/>
          <w:color w:val="000000"/>
          <w:kern w:val="0"/>
          <w:szCs w:val="32"/>
          <w:highlight w:val="none"/>
          <w:shd w:val="clear" w:color="auto" w:fill="FFFFFF"/>
          <w:lang w:val="zh-CN"/>
        </w:rPr>
        <w:t xml:space="preserve">负责市容环境卫生管理工作，组织实施对城市建成区街道、人行道、旅游干道、园林绿化带的清扫保洁；负责市容环境卫生的监察工作；负责城市生活垃圾清运及无害化处理；负责城区市容环境卫生公共设施的规划、建设、维护和管理；负责城区建筑物容貌的管理工作。主管城区的渣土处置运输及建设工程、装饰工程、旧房拆迁工程的卫生监督管理工作；负责督导门前三包工作。    </w:t>
      </w:r>
    </w:p>
    <w:p w14:paraId="44B2B4D4">
      <w:pPr>
        <w:keepNext w:val="0"/>
        <w:keepLines w:val="0"/>
        <w:pageBreakBefore w:val="0"/>
        <w:widowControl/>
        <w:kinsoku/>
        <w:wordWrap/>
        <w:overflowPunct/>
        <w:topLinePunct w:val="0"/>
        <w:autoSpaceDE/>
        <w:autoSpaceDN/>
        <w:bidi w:val="0"/>
        <w:adjustRightInd w:val="0"/>
        <w:snapToGrid w:val="0"/>
        <w:spacing w:line="580" w:lineRule="exact"/>
        <w:ind w:firstLine="640" w:firstLineChars="200"/>
        <w:contextualSpacing/>
        <w:jc w:val="left"/>
        <w:textAlignment w:val="auto"/>
        <w:rPr>
          <w:rFonts w:hint="eastAsia" w:ascii="仿宋_GB2312" w:hAnsi="宋体" w:cs="宋体"/>
          <w:color w:val="000000"/>
          <w:kern w:val="0"/>
          <w:szCs w:val="32"/>
          <w:highlight w:val="none"/>
          <w:shd w:val="clear" w:color="auto" w:fill="FFFFFF"/>
          <w:lang w:val="zh-CN"/>
        </w:rPr>
      </w:pPr>
      <w:r>
        <w:rPr>
          <w:rFonts w:hint="eastAsia" w:ascii="仿宋_GB2312" w:hAnsi="宋体" w:cs="宋体"/>
          <w:color w:val="000000"/>
          <w:kern w:val="0"/>
          <w:szCs w:val="32"/>
          <w:highlight w:val="none"/>
          <w:shd w:val="clear" w:color="auto" w:fill="FFFFFF"/>
          <w:lang w:val="zh-CN"/>
        </w:rPr>
        <w:t>4</w:t>
      </w:r>
      <w:r>
        <w:rPr>
          <w:rFonts w:hint="eastAsia" w:ascii="仿宋_GB2312" w:hAnsi="宋体" w:cs="宋体"/>
          <w:color w:val="000000"/>
          <w:kern w:val="0"/>
          <w:szCs w:val="32"/>
          <w:highlight w:val="none"/>
          <w:shd w:val="clear" w:color="auto" w:fill="FFFFFF"/>
          <w:lang w:val="en-US" w:eastAsia="zh-CN"/>
        </w:rPr>
        <w:t>.</w:t>
      </w:r>
      <w:r>
        <w:rPr>
          <w:rFonts w:hint="eastAsia" w:ascii="仿宋_GB2312" w:hAnsi="宋体" w:cs="宋体"/>
          <w:color w:val="000000"/>
          <w:kern w:val="0"/>
          <w:szCs w:val="32"/>
          <w:highlight w:val="none"/>
          <w:shd w:val="clear" w:color="auto" w:fill="FFFFFF"/>
          <w:lang w:val="zh-CN"/>
        </w:rPr>
        <w:t>负责城区规划、建设的监督、监察执法及文明施工管理，参与建设工程和园林绿化工程交竣工验收工作。</w:t>
      </w:r>
    </w:p>
    <w:p w14:paraId="43764CD4">
      <w:pPr>
        <w:keepNext w:val="0"/>
        <w:keepLines w:val="0"/>
        <w:pageBreakBefore w:val="0"/>
        <w:widowControl/>
        <w:kinsoku/>
        <w:wordWrap/>
        <w:overflowPunct/>
        <w:topLinePunct w:val="0"/>
        <w:autoSpaceDE/>
        <w:autoSpaceDN/>
        <w:bidi w:val="0"/>
        <w:adjustRightInd w:val="0"/>
        <w:snapToGrid w:val="0"/>
        <w:spacing w:line="580" w:lineRule="exact"/>
        <w:ind w:firstLine="640" w:firstLineChars="200"/>
        <w:contextualSpacing/>
        <w:jc w:val="left"/>
        <w:textAlignment w:val="auto"/>
        <w:rPr>
          <w:rFonts w:hint="eastAsia" w:ascii="仿宋_GB2312" w:hAnsi="宋体" w:cs="宋体"/>
          <w:color w:val="000000"/>
          <w:kern w:val="0"/>
          <w:szCs w:val="32"/>
          <w:highlight w:val="none"/>
          <w:shd w:val="clear" w:color="auto" w:fill="FFFFFF"/>
          <w:lang w:val="zh-CN"/>
        </w:rPr>
      </w:pPr>
      <w:r>
        <w:rPr>
          <w:rFonts w:hint="eastAsia" w:ascii="仿宋_GB2312" w:hAnsi="宋体" w:cs="宋体"/>
          <w:color w:val="000000"/>
          <w:kern w:val="0"/>
          <w:szCs w:val="32"/>
          <w:highlight w:val="none"/>
          <w:shd w:val="clear" w:color="auto" w:fill="FFFFFF"/>
          <w:lang w:val="zh-CN"/>
        </w:rPr>
        <w:t>5</w:t>
      </w:r>
      <w:r>
        <w:rPr>
          <w:rFonts w:hint="eastAsia" w:ascii="仿宋_GB2312" w:hAnsi="宋体" w:cs="宋体"/>
          <w:color w:val="000000"/>
          <w:kern w:val="0"/>
          <w:szCs w:val="32"/>
          <w:highlight w:val="none"/>
          <w:shd w:val="clear" w:color="auto" w:fill="FFFFFF"/>
          <w:lang w:val="en-US" w:eastAsia="zh-CN"/>
        </w:rPr>
        <w:t>.</w:t>
      </w:r>
      <w:r>
        <w:rPr>
          <w:rFonts w:hint="eastAsia" w:ascii="仿宋_GB2312" w:hAnsi="宋体" w:cs="宋体"/>
          <w:color w:val="000000"/>
          <w:kern w:val="0"/>
          <w:szCs w:val="32"/>
          <w:highlight w:val="none"/>
          <w:shd w:val="clear" w:color="auto" w:fill="FFFFFF"/>
          <w:lang w:val="zh-CN"/>
        </w:rPr>
        <w:t xml:space="preserve">主管本辖区行政区域的城市园林绿化工作，负责组织实施城市园林绿化、规划、建设、管护工作。按城市发展总体规划编制城市园林绿化计划，并组织实施；主持和参与城市规划及城市园林景点规划、建设、管理工作；负责建设附属绿化地方案的审批；组织开展创建园林式单位（居住区）活动；负责城市园林绿化施工队伍资质审查及施工管理工作；负责城市绿地的管理和公共绿地的规划和日常管理工作；负责城区古树、名树的管理工作。  </w:t>
      </w:r>
    </w:p>
    <w:p w14:paraId="48D95598">
      <w:pPr>
        <w:keepNext w:val="0"/>
        <w:keepLines w:val="0"/>
        <w:pageBreakBefore w:val="0"/>
        <w:widowControl/>
        <w:kinsoku/>
        <w:wordWrap/>
        <w:overflowPunct/>
        <w:topLinePunct w:val="0"/>
        <w:autoSpaceDE/>
        <w:autoSpaceDN/>
        <w:bidi w:val="0"/>
        <w:adjustRightInd w:val="0"/>
        <w:snapToGrid w:val="0"/>
        <w:spacing w:line="580" w:lineRule="exact"/>
        <w:ind w:firstLine="640" w:firstLineChars="200"/>
        <w:contextualSpacing/>
        <w:jc w:val="left"/>
        <w:textAlignment w:val="auto"/>
        <w:rPr>
          <w:rFonts w:hint="eastAsia" w:ascii="仿宋_GB2312" w:hAnsi="宋体" w:cs="宋体"/>
          <w:color w:val="000000"/>
          <w:kern w:val="0"/>
          <w:szCs w:val="32"/>
          <w:highlight w:val="none"/>
          <w:shd w:val="clear" w:color="auto" w:fill="FFFFFF"/>
          <w:lang w:val="zh-CN"/>
        </w:rPr>
      </w:pPr>
      <w:r>
        <w:rPr>
          <w:rFonts w:hint="eastAsia" w:ascii="仿宋_GB2312" w:hAnsi="宋体" w:cs="宋体"/>
          <w:color w:val="000000"/>
          <w:kern w:val="0"/>
          <w:szCs w:val="32"/>
          <w:highlight w:val="none"/>
          <w:shd w:val="clear" w:color="auto" w:fill="FFFFFF"/>
          <w:lang w:val="zh-CN"/>
        </w:rPr>
        <w:t>6</w:t>
      </w:r>
      <w:r>
        <w:rPr>
          <w:rFonts w:hint="eastAsia" w:ascii="仿宋_GB2312" w:hAnsi="宋体" w:cs="宋体"/>
          <w:color w:val="000000"/>
          <w:kern w:val="0"/>
          <w:szCs w:val="32"/>
          <w:highlight w:val="none"/>
          <w:shd w:val="clear" w:color="auto" w:fill="FFFFFF"/>
          <w:lang w:val="en-US" w:eastAsia="zh-CN"/>
        </w:rPr>
        <w:t>.</w:t>
      </w:r>
      <w:r>
        <w:rPr>
          <w:rFonts w:hint="eastAsia" w:ascii="仿宋_GB2312" w:hAnsi="宋体" w:cs="宋体"/>
          <w:color w:val="000000"/>
          <w:kern w:val="0"/>
          <w:szCs w:val="32"/>
          <w:highlight w:val="none"/>
          <w:shd w:val="clear" w:color="auto" w:fill="FFFFFF"/>
          <w:lang w:val="zh-CN"/>
        </w:rPr>
        <w:t>负责城区市政设施的维护和管理，负责城区街道卫生管理和城市道路占用挖掘审批工作。</w:t>
      </w:r>
    </w:p>
    <w:p w14:paraId="4117AF6C">
      <w:pPr>
        <w:keepNext w:val="0"/>
        <w:keepLines w:val="0"/>
        <w:pageBreakBefore w:val="0"/>
        <w:widowControl/>
        <w:kinsoku/>
        <w:wordWrap/>
        <w:overflowPunct/>
        <w:topLinePunct w:val="0"/>
        <w:autoSpaceDE/>
        <w:autoSpaceDN/>
        <w:bidi w:val="0"/>
        <w:adjustRightInd w:val="0"/>
        <w:snapToGrid w:val="0"/>
        <w:spacing w:line="580" w:lineRule="exact"/>
        <w:ind w:firstLine="640" w:firstLineChars="200"/>
        <w:contextualSpacing/>
        <w:jc w:val="left"/>
        <w:textAlignment w:val="auto"/>
        <w:rPr>
          <w:rFonts w:hint="eastAsia" w:ascii="仿宋_GB2312" w:hAnsi="宋体" w:cs="宋体"/>
          <w:color w:val="000000"/>
          <w:kern w:val="0"/>
          <w:szCs w:val="32"/>
          <w:highlight w:val="none"/>
          <w:shd w:val="clear" w:color="auto" w:fill="FFFFFF"/>
          <w:lang w:val="zh-CN"/>
        </w:rPr>
      </w:pPr>
      <w:r>
        <w:rPr>
          <w:rFonts w:hint="eastAsia" w:ascii="仿宋_GB2312" w:hAnsi="宋体" w:cs="宋体"/>
          <w:color w:val="000000"/>
          <w:kern w:val="0"/>
          <w:szCs w:val="32"/>
          <w:highlight w:val="none"/>
          <w:shd w:val="clear" w:color="auto" w:fill="FFFFFF"/>
          <w:lang w:val="zh-CN"/>
        </w:rPr>
        <w:t>7</w:t>
      </w:r>
      <w:r>
        <w:rPr>
          <w:rFonts w:hint="eastAsia" w:ascii="仿宋_GB2312" w:hAnsi="宋体" w:cs="宋体"/>
          <w:color w:val="000000"/>
          <w:kern w:val="0"/>
          <w:szCs w:val="32"/>
          <w:highlight w:val="none"/>
          <w:shd w:val="clear" w:color="auto" w:fill="FFFFFF"/>
          <w:lang w:val="en-US" w:eastAsia="zh-CN"/>
        </w:rPr>
        <w:t>.</w:t>
      </w:r>
      <w:r>
        <w:rPr>
          <w:rFonts w:hint="eastAsia" w:ascii="仿宋_GB2312" w:hAnsi="宋体" w:cs="宋体"/>
          <w:color w:val="000000"/>
          <w:kern w:val="0"/>
          <w:szCs w:val="32"/>
          <w:highlight w:val="none"/>
          <w:shd w:val="clear" w:color="auto" w:fill="FFFFFF"/>
          <w:lang w:val="zh-CN"/>
        </w:rPr>
        <w:t>负责城区街道摊点设置和审批管理工作；负责城镇户外广告、宣传栏、各类标志、标识牌、管线等规划和管理工作；负责城市领空使用管理审批工作；负责管理非机动车辆乱停乱放工作；负责城区停车场、点的管理工作。</w:t>
      </w:r>
    </w:p>
    <w:p w14:paraId="1B6AE118">
      <w:pPr>
        <w:widowControl/>
        <w:numPr>
          <w:ilvl w:val="0"/>
          <w:numId w:val="1"/>
        </w:numPr>
        <w:adjustRightInd w:val="0"/>
        <w:snapToGrid w:val="0"/>
        <w:spacing w:line="580" w:lineRule="exact"/>
        <w:ind w:left="0" w:leftChars="0" w:firstLine="640" w:firstLineChars="200"/>
        <w:contextualSpacing/>
        <w:jc w:val="left"/>
        <w:rPr>
          <w:rFonts w:hint="eastAsia" w:ascii="仿宋_GB2312" w:hAnsi="宋体" w:cs="宋体"/>
          <w:color w:val="000000"/>
          <w:kern w:val="0"/>
          <w:szCs w:val="32"/>
          <w:highlight w:val="none"/>
          <w:shd w:val="clear" w:color="auto" w:fill="FFFFFF"/>
          <w:lang w:val="zh-CN"/>
        </w:rPr>
      </w:pPr>
      <w:r>
        <w:rPr>
          <w:rFonts w:hint="eastAsia" w:ascii="仿宋_GB2312" w:hAnsi="宋体" w:cs="宋体"/>
          <w:color w:val="000000"/>
          <w:kern w:val="0"/>
          <w:szCs w:val="32"/>
          <w:highlight w:val="none"/>
          <w:shd w:val="clear" w:color="auto" w:fill="FFFFFF"/>
          <w:lang w:val="zh-CN"/>
        </w:rPr>
        <w:t>人员概况。</w:t>
      </w:r>
    </w:p>
    <w:p w14:paraId="462B4724">
      <w:pPr>
        <w:keepNext w:val="0"/>
        <w:keepLines w:val="0"/>
        <w:pageBreakBefore w:val="0"/>
        <w:widowControl/>
        <w:kinsoku/>
        <w:wordWrap/>
        <w:overflowPunct/>
        <w:topLinePunct w:val="0"/>
        <w:autoSpaceDE/>
        <w:autoSpaceDN/>
        <w:bidi w:val="0"/>
        <w:adjustRightInd w:val="0"/>
        <w:snapToGrid w:val="0"/>
        <w:spacing w:line="580" w:lineRule="exact"/>
        <w:ind w:firstLine="640" w:firstLineChars="200"/>
        <w:contextualSpacing/>
        <w:jc w:val="left"/>
        <w:textAlignment w:val="auto"/>
        <w:rPr>
          <w:rFonts w:hint="default" w:ascii="仿宋_GB2312" w:hAnsi="宋体" w:eastAsia="仿宋_GB2312" w:cs="宋体"/>
          <w:color w:val="000000"/>
          <w:kern w:val="0"/>
          <w:szCs w:val="32"/>
          <w:highlight w:val="none"/>
          <w:shd w:val="clear" w:color="auto" w:fill="FFFFFF"/>
          <w:lang w:val="en-US" w:eastAsia="zh-CN"/>
        </w:rPr>
      </w:pPr>
      <w:r>
        <w:rPr>
          <w:rFonts w:hint="eastAsia" w:ascii="仿宋_GB2312" w:hAnsi="宋体" w:cs="宋体"/>
          <w:color w:val="000000"/>
          <w:kern w:val="0"/>
          <w:szCs w:val="32"/>
          <w:highlight w:val="none"/>
          <w:shd w:val="clear" w:color="auto" w:fill="FFFFFF"/>
          <w:lang w:val="zh-CN"/>
        </w:rPr>
        <w:t xml:space="preserve"> 自治县综合行政执法局核定行政编制</w:t>
      </w:r>
      <w:r>
        <w:rPr>
          <w:rFonts w:hint="eastAsia" w:ascii="仿宋_GB2312" w:hAnsi="宋体" w:cs="宋体"/>
          <w:color w:val="000000"/>
          <w:kern w:val="0"/>
          <w:szCs w:val="32"/>
          <w:highlight w:val="none"/>
          <w:shd w:val="clear" w:color="auto" w:fill="FFFFFF"/>
          <w:lang w:val="en-US" w:eastAsia="zh-CN"/>
        </w:rPr>
        <w:t>8名，其中</w:t>
      </w:r>
      <w:r>
        <w:rPr>
          <w:rFonts w:hint="eastAsia" w:ascii="仿宋_GB2312" w:hAnsi="宋体" w:cs="宋体"/>
          <w:color w:val="000000"/>
          <w:kern w:val="0"/>
          <w:szCs w:val="32"/>
          <w:highlight w:val="none"/>
          <w:shd w:val="clear" w:color="auto" w:fill="FFFFFF"/>
          <w:lang w:val="zh-CN"/>
        </w:rPr>
        <w:t>局长1名，副局长</w:t>
      </w:r>
      <w:r>
        <w:rPr>
          <w:rFonts w:hint="eastAsia" w:ascii="仿宋_GB2312" w:hAnsi="宋体" w:cs="宋体"/>
          <w:color w:val="000000"/>
          <w:kern w:val="0"/>
          <w:szCs w:val="32"/>
          <w:highlight w:val="none"/>
          <w:shd w:val="clear" w:color="auto" w:fill="FFFFFF"/>
          <w:lang w:val="en-US" w:eastAsia="zh-CN"/>
        </w:rPr>
        <w:t>3</w:t>
      </w:r>
      <w:r>
        <w:rPr>
          <w:rFonts w:hint="eastAsia" w:ascii="仿宋_GB2312" w:hAnsi="宋体" w:cs="宋体"/>
          <w:color w:val="000000"/>
          <w:kern w:val="0"/>
          <w:szCs w:val="32"/>
          <w:highlight w:val="none"/>
          <w:shd w:val="clear" w:color="auto" w:fill="FFFFFF"/>
          <w:lang w:val="zh-CN"/>
        </w:rPr>
        <w:t>名，中层职数</w:t>
      </w:r>
      <w:r>
        <w:rPr>
          <w:rFonts w:hint="eastAsia" w:ascii="仿宋_GB2312" w:hAnsi="宋体" w:cs="宋体"/>
          <w:color w:val="000000"/>
          <w:kern w:val="0"/>
          <w:szCs w:val="32"/>
          <w:highlight w:val="none"/>
          <w:shd w:val="clear" w:color="auto" w:fill="FFFFFF"/>
          <w:lang w:val="en-US" w:eastAsia="zh-CN"/>
        </w:rPr>
        <w:t>4名</w:t>
      </w:r>
      <w:r>
        <w:rPr>
          <w:rFonts w:hint="eastAsia" w:ascii="仿宋_GB2312" w:hAnsi="宋体" w:cs="宋体"/>
          <w:color w:val="000000"/>
          <w:kern w:val="0"/>
          <w:szCs w:val="32"/>
          <w:highlight w:val="none"/>
          <w:shd w:val="clear" w:color="auto" w:fill="FFFFFF"/>
          <w:lang w:val="zh-CN"/>
        </w:rPr>
        <w:t>；事业编制</w:t>
      </w:r>
      <w:r>
        <w:rPr>
          <w:rFonts w:hint="eastAsia" w:ascii="仿宋_GB2312" w:hAnsi="宋体" w:cs="宋体"/>
          <w:color w:val="000000"/>
          <w:kern w:val="0"/>
          <w:szCs w:val="32"/>
          <w:highlight w:val="none"/>
          <w:shd w:val="clear" w:color="auto" w:fill="FFFFFF"/>
          <w:lang w:val="en-US" w:eastAsia="zh-CN"/>
        </w:rPr>
        <w:t>32名。</w:t>
      </w:r>
    </w:p>
    <w:p w14:paraId="14B47093">
      <w:pPr>
        <w:widowControl/>
        <w:numPr>
          <w:ilvl w:val="0"/>
          <w:numId w:val="0"/>
        </w:numPr>
        <w:adjustRightInd w:val="0"/>
        <w:snapToGrid w:val="0"/>
        <w:spacing w:line="580" w:lineRule="exact"/>
        <w:ind w:leftChars="200"/>
        <w:contextualSpacing/>
        <w:jc w:val="left"/>
        <w:rPr>
          <w:rFonts w:hint="eastAsia" w:ascii="仿宋_GB2312" w:hAnsi="宋体" w:cs="宋体"/>
          <w:color w:val="000000"/>
          <w:kern w:val="0"/>
          <w:szCs w:val="32"/>
          <w:highlight w:val="none"/>
          <w:shd w:val="clear" w:color="auto" w:fill="FFFFFF"/>
          <w:lang w:val="zh-CN"/>
        </w:rPr>
      </w:pPr>
    </w:p>
    <w:p w14:paraId="3375F9A7">
      <w:pPr>
        <w:widowControl/>
        <w:adjustRightInd w:val="0"/>
        <w:snapToGrid w:val="0"/>
        <w:spacing w:line="580" w:lineRule="exact"/>
        <w:ind w:firstLine="640" w:firstLineChars="200"/>
        <w:contextualSpacing/>
        <w:jc w:val="left"/>
        <w:rPr>
          <w:rFonts w:ascii="黑体" w:hAnsi="宋体" w:eastAsia="黑体" w:cs="宋体"/>
          <w:color w:val="000000"/>
          <w:kern w:val="0"/>
          <w:szCs w:val="32"/>
          <w:highlight w:val="none"/>
          <w:shd w:val="clear" w:color="auto" w:fill="FFFFFF"/>
        </w:rPr>
      </w:pPr>
      <w:r>
        <w:rPr>
          <w:rFonts w:hint="eastAsia" w:ascii="黑体" w:hAnsi="宋体" w:eastAsia="黑体" w:cs="宋体"/>
          <w:color w:val="000000"/>
          <w:kern w:val="0"/>
          <w:szCs w:val="32"/>
          <w:highlight w:val="none"/>
          <w:shd w:val="clear" w:color="auto" w:fill="FFFFFF"/>
        </w:rPr>
        <w:t>二、部门财政资金收支情况</w:t>
      </w:r>
    </w:p>
    <w:p w14:paraId="500A9917">
      <w:pPr>
        <w:widowControl/>
        <w:adjustRightInd w:val="0"/>
        <w:snapToGrid w:val="0"/>
        <w:spacing w:line="580" w:lineRule="exact"/>
        <w:ind w:firstLine="640" w:firstLineChars="200"/>
        <w:contextualSpacing/>
        <w:jc w:val="left"/>
        <w:rPr>
          <w:rFonts w:hint="eastAsia" w:ascii="仿宋_GB2312" w:hAnsi="宋体" w:cs="宋体"/>
          <w:color w:val="000000"/>
          <w:kern w:val="0"/>
          <w:szCs w:val="32"/>
          <w:highlight w:val="none"/>
          <w:shd w:val="clear" w:color="auto" w:fill="FFFFFF"/>
          <w:lang w:val="zh-CN"/>
        </w:rPr>
      </w:pPr>
      <w:r>
        <w:rPr>
          <w:rFonts w:hint="eastAsia" w:ascii="仿宋_GB2312" w:hAnsi="宋体" w:cs="宋体"/>
          <w:color w:val="000000"/>
          <w:kern w:val="0"/>
          <w:szCs w:val="32"/>
          <w:highlight w:val="none"/>
          <w:shd w:val="clear" w:color="auto" w:fill="FFFFFF"/>
          <w:lang w:val="zh-CN"/>
        </w:rPr>
        <w:t>（一）部门财政资金收入情况。</w:t>
      </w:r>
    </w:p>
    <w:p w14:paraId="77017ECB">
      <w:pPr>
        <w:widowControl/>
        <w:adjustRightInd w:val="0"/>
        <w:snapToGrid w:val="0"/>
        <w:spacing w:line="580" w:lineRule="exact"/>
        <w:ind w:firstLine="640" w:firstLineChars="200"/>
        <w:contextualSpacing/>
        <w:jc w:val="left"/>
        <w:rPr>
          <w:rFonts w:hint="eastAsia" w:ascii="仿宋_GB2312" w:hAnsi="宋体" w:eastAsia="仿宋_GB2312" w:cs="宋体"/>
          <w:color w:val="000000"/>
          <w:kern w:val="0"/>
          <w:szCs w:val="32"/>
          <w:highlight w:val="none"/>
          <w:shd w:val="clear" w:color="auto" w:fill="FFFFFF"/>
          <w:lang w:val="en-US" w:eastAsia="zh-CN"/>
        </w:rPr>
      </w:pPr>
      <w:r>
        <w:rPr>
          <w:rFonts w:hint="eastAsia" w:ascii="仿宋_GB2312" w:hAnsi="宋体" w:cs="宋体"/>
          <w:color w:val="000000"/>
          <w:kern w:val="0"/>
          <w:szCs w:val="32"/>
          <w:highlight w:val="none"/>
          <w:shd w:val="clear" w:color="auto" w:fill="FFFFFF"/>
          <w:lang w:val="en-US" w:eastAsia="zh-CN"/>
        </w:rPr>
        <w:t>2023年财政拨款预算收入2906.09万元，其中</w:t>
      </w:r>
      <w:r>
        <w:rPr>
          <w:rFonts w:hint="eastAsia" w:ascii="仿宋_GB2312" w:hAnsi="仿宋" w:cs="仿宋"/>
          <w:bCs/>
          <w:color w:val="auto"/>
          <w:sz w:val="32"/>
          <w:szCs w:val="32"/>
          <w:highlight w:val="none"/>
          <w:lang w:eastAsia="zh-CN"/>
        </w:rPr>
        <w:t>基本</w:t>
      </w:r>
      <w:r>
        <w:rPr>
          <w:rFonts w:hint="eastAsia" w:ascii="仿宋_GB2312" w:hAnsi="宋体" w:cs="宋体"/>
          <w:color w:val="000000"/>
          <w:kern w:val="0"/>
          <w:szCs w:val="32"/>
          <w:highlight w:val="none"/>
          <w:shd w:val="clear" w:color="auto" w:fill="FFFFFF"/>
          <w:lang w:val="en-US" w:eastAsia="zh-CN"/>
        </w:rPr>
        <w:t>财政拨款预算</w:t>
      </w:r>
      <w:r>
        <w:rPr>
          <w:rFonts w:hint="eastAsia" w:ascii="仿宋_GB2312" w:hAnsi="仿宋" w:eastAsia="仿宋_GB2312" w:cs="仿宋"/>
          <w:color w:val="auto"/>
          <w:sz w:val="32"/>
          <w:szCs w:val="32"/>
          <w:highlight w:val="none"/>
        </w:rPr>
        <w:t>收入</w:t>
      </w:r>
      <w:r>
        <w:rPr>
          <w:rFonts w:hint="eastAsia" w:ascii="仿宋_GB2312" w:hAnsi="仿宋" w:cs="仿宋"/>
          <w:color w:val="auto"/>
          <w:sz w:val="32"/>
          <w:szCs w:val="32"/>
          <w:highlight w:val="none"/>
          <w:lang w:val="en-US" w:eastAsia="zh-CN"/>
        </w:rPr>
        <w:t>894.09</w:t>
      </w:r>
      <w:r>
        <w:rPr>
          <w:rFonts w:hint="eastAsia" w:ascii="仿宋_GB2312" w:hAnsi="仿宋" w:eastAsia="仿宋_GB2312" w:cs="仿宋"/>
          <w:color w:val="auto"/>
          <w:sz w:val="32"/>
          <w:szCs w:val="32"/>
          <w:highlight w:val="none"/>
        </w:rPr>
        <w:t>万元，</w:t>
      </w:r>
      <w:r>
        <w:rPr>
          <w:rFonts w:hint="eastAsia" w:ascii="仿宋_GB2312" w:hAnsi="仿宋" w:cs="仿宋"/>
          <w:color w:val="auto"/>
          <w:sz w:val="32"/>
          <w:szCs w:val="32"/>
          <w:highlight w:val="none"/>
          <w:lang w:eastAsia="zh-CN"/>
        </w:rPr>
        <w:t>项目</w:t>
      </w:r>
      <w:r>
        <w:rPr>
          <w:rFonts w:hint="eastAsia" w:ascii="仿宋_GB2312" w:hAnsi="仿宋" w:eastAsia="仿宋_GB2312" w:cs="仿宋"/>
          <w:color w:val="auto"/>
          <w:sz w:val="32"/>
          <w:szCs w:val="32"/>
          <w:highlight w:val="none"/>
        </w:rPr>
        <w:t>预算财政拨款收入</w:t>
      </w:r>
      <w:r>
        <w:rPr>
          <w:rFonts w:hint="eastAsia" w:ascii="仿宋_GB2312" w:hAnsi="仿宋" w:cs="仿宋"/>
          <w:color w:val="auto"/>
          <w:sz w:val="32"/>
          <w:szCs w:val="32"/>
          <w:highlight w:val="none"/>
          <w:lang w:val="en-US" w:eastAsia="zh-CN"/>
        </w:rPr>
        <w:t>2012</w:t>
      </w:r>
      <w:r>
        <w:rPr>
          <w:rFonts w:hint="eastAsia" w:ascii="仿宋_GB2312" w:hAnsi="仿宋" w:eastAsia="仿宋_GB2312" w:cs="仿宋"/>
          <w:color w:val="auto"/>
          <w:sz w:val="32"/>
          <w:szCs w:val="32"/>
          <w:highlight w:val="none"/>
        </w:rPr>
        <w:t>万元</w:t>
      </w:r>
      <w:r>
        <w:rPr>
          <w:rFonts w:hint="eastAsia" w:ascii="仿宋_GB2312" w:hAnsi="仿宋" w:cs="仿宋"/>
          <w:color w:val="auto"/>
          <w:sz w:val="32"/>
          <w:szCs w:val="32"/>
          <w:highlight w:val="none"/>
          <w:lang w:eastAsia="zh-CN"/>
        </w:rPr>
        <w:t>。</w:t>
      </w:r>
    </w:p>
    <w:p w14:paraId="723CB915">
      <w:pPr>
        <w:widowControl/>
        <w:adjustRightInd w:val="0"/>
        <w:snapToGrid w:val="0"/>
        <w:spacing w:line="580" w:lineRule="exact"/>
        <w:ind w:firstLine="640" w:firstLineChars="200"/>
        <w:contextualSpacing/>
        <w:jc w:val="left"/>
        <w:rPr>
          <w:rFonts w:hint="eastAsia" w:ascii="仿宋_GB2312" w:hAnsi="宋体" w:cs="宋体"/>
          <w:color w:val="000000"/>
          <w:kern w:val="0"/>
          <w:szCs w:val="32"/>
          <w:highlight w:val="none"/>
          <w:shd w:val="clear" w:color="auto" w:fill="FFFFFF"/>
          <w:lang w:val="zh-CN"/>
        </w:rPr>
      </w:pPr>
      <w:r>
        <w:rPr>
          <w:rFonts w:hint="eastAsia" w:ascii="仿宋_GB2312" w:hAnsi="宋体" w:cs="宋体"/>
          <w:color w:val="000000"/>
          <w:kern w:val="0"/>
          <w:szCs w:val="32"/>
          <w:highlight w:val="none"/>
          <w:shd w:val="clear" w:color="auto" w:fill="FFFFFF"/>
          <w:lang w:val="zh-CN"/>
        </w:rPr>
        <w:t>（二）部门财政资金支出情况。</w:t>
      </w:r>
    </w:p>
    <w:p w14:paraId="5C71C4E9">
      <w:pPr>
        <w:widowControl/>
        <w:adjustRightInd w:val="0"/>
        <w:snapToGrid w:val="0"/>
        <w:spacing w:line="580" w:lineRule="exact"/>
        <w:ind w:firstLine="640" w:firstLineChars="200"/>
        <w:contextualSpacing/>
        <w:jc w:val="left"/>
        <w:rPr>
          <w:rFonts w:hint="default" w:ascii="仿宋_GB2312" w:hAnsi="宋体" w:cs="宋体"/>
          <w:color w:val="000000"/>
          <w:kern w:val="0"/>
          <w:szCs w:val="32"/>
          <w:highlight w:val="yellow"/>
          <w:shd w:val="clear" w:color="auto" w:fill="FFFFFF"/>
          <w:lang w:val="en-US" w:eastAsia="zh-CN"/>
        </w:rPr>
      </w:pPr>
      <w:r>
        <w:rPr>
          <w:rFonts w:hint="eastAsia" w:ascii="仿宋_GB2312" w:hAnsi="宋体" w:cs="宋体"/>
          <w:color w:val="000000"/>
          <w:kern w:val="0"/>
          <w:szCs w:val="32"/>
          <w:highlight w:val="none"/>
          <w:shd w:val="clear" w:color="auto" w:fill="FFFFFF"/>
          <w:lang w:val="en-US" w:eastAsia="zh-CN"/>
        </w:rPr>
        <w:t>2023年支出2906.09万元。其中</w:t>
      </w:r>
      <w:r>
        <w:rPr>
          <w:rFonts w:hint="eastAsia" w:ascii="仿宋_GB2312" w:hAnsi="宋体" w:cs="宋体"/>
          <w:color w:val="000000"/>
          <w:kern w:val="0"/>
          <w:szCs w:val="32"/>
          <w:highlight w:val="none"/>
          <w:shd w:val="clear" w:color="auto" w:fill="FFFFFF"/>
          <w:lang w:val="zh-CN"/>
        </w:rPr>
        <w:t>基本支出</w:t>
      </w:r>
      <w:r>
        <w:rPr>
          <w:rFonts w:hint="eastAsia" w:ascii="仿宋_GB2312" w:hAnsi="仿宋" w:cs="仿宋"/>
          <w:color w:val="auto"/>
          <w:sz w:val="32"/>
          <w:szCs w:val="32"/>
          <w:highlight w:val="none"/>
          <w:lang w:val="en-US" w:eastAsia="zh-CN"/>
        </w:rPr>
        <w:t>894.09</w:t>
      </w:r>
      <w:r>
        <w:rPr>
          <w:rFonts w:hint="eastAsia" w:ascii="仿宋_GB2312" w:hAnsi="宋体" w:cs="宋体"/>
          <w:color w:val="000000"/>
          <w:kern w:val="0"/>
          <w:szCs w:val="32"/>
          <w:highlight w:val="none"/>
          <w:shd w:val="clear" w:color="auto" w:fill="FFFFFF"/>
          <w:lang w:val="en-US" w:eastAsia="zh-CN"/>
        </w:rPr>
        <w:t>万元；项目支出</w:t>
      </w:r>
      <w:r>
        <w:rPr>
          <w:rFonts w:hint="eastAsia" w:ascii="仿宋_GB2312" w:hAnsi="仿宋" w:cs="仿宋"/>
          <w:color w:val="auto"/>
          <w:sz w:val="32"/>
          <w:szCs w:val="32"/>
          <w:highlight w:val="none"/>
          <w:lang w:val="en-US" w:eastAsia="zh-CN"/>
        </w:rPr>
        <w:t>2012</w:t>
      </w:r>
      <w:r>
        <w:rPr>
          <w:rFonts w:hint="eastAsia" w:ascii="仿宋_GB2312" w:hAnsi="宋体" w:cs="宋体"/>
          <w:color w:val="000000"/>
          <w:kern w:val="0"/>
          <w:szCs w:val="32"/>
          <w:highlight w:val="none"/>
          <w:shd w:val="clear" w:color="auto" w:fill="FFFFFF"/>
          <w:lang w:val="en-US" w:eastAsia="zh-CN"/>
        </w:rPr>
        <w:t>万元，共计9个项目。具体支出为：县城垃圾卫生填埋场生产费46.54万元；垃圾定点收集、中转、清扫承包费906.88万元；垃圾外运及处置费363.61万元；综合行政执法局2022年乡村振兴补助资金项目（中央）120.61万元；峨边彝族自治县扩建沙坪中转站地形图测绘0.3万元；城市管理专项经费306.88万元，其中</w:t>
      </w:r>
      <w:r>
        <w:rPr>
          <w:rFonts w:hint="eastAsia" w:ascii="仿宋_GB2312" w:hAnsi="宋体"/>
          <w:sz w:val="32"/>
          <w:szCs w:val="32"/>
          <w:lang w:val="en-US" w:eastAsia="zh-CN"/>
        </w:rPr>
        <w:t>一般公共预算4.1万元，基金项目302.78万元</w:t>
      </w:r>
      <w:r>
        <w:rPr>
          <w:rFonts w:hint="eastAsia" w:ascii="仿宋_GB2312" w:hAnsi="宋体" w:cs="宋体"/>
          <w:color w:val="000000"/>
          <w:kern w:val="0"/>
          <w:szCs w:val="32"/>
          <w:highlight w:val="none"/>
          <w:shd w:val="clear" w:color="auto" w:fill="FFFFFF"/>
          <w:lang w:val="en-US" w:eastAsia="zh-CN"/>
        </w:rPr>
        <w:t>；市政设施维修维护200万元；政府批示（政府批示〔2020〕67号）关于解决峨边彝族自治县城杨竹大桥至县小至武装部环境整治项目12.02万元；政府批示〔2023〕59号关于解决辅助执法人员2020年9月—2023年5月超时工资55.17万元。</w:t>
      </w:r>
    </w:p>
    <w:p w14:paraId="04AC9184">
      <w:pPr>
        <w:widowControl/>
        <w:adjustRightInd w:val="0"/>
        <w:snapToGrid w:val="0"/>
        <w:spacing w:line="580" w:lineRule="exact"/>
        <w:ind w:firstLine="640" w:firstLineChars="200"/>
        <w:contextualSpacing/>
        <w:jc w:val="left"/>
        <w:rPr>
          <w:rFonts w:hint="eastAsia" w:ascii="黑体" w:hAnsi="宋体" w:eastAsia="黑体" w:cs="宋体"/>
          <w:color w:val="000000"/>
          <w:kern w:val="0"/>
          <w:szCs w:val="32"/>
          <w:highlight w:val="none"/>
          <w:shd w:val="clear" w:color="auto" w:fill="FFFFFF"/>
          <w:lang w:eastAsia="zh-CN"/>
        </w:rPr>
      </w:pPr>
      <w:r>
        <w:rPr>
          <w:rFonts w:hint="eastAsia" w:ascii="黑体" w:hAnsi="宋体" w:eastAsia="黑体" w:cs="宋体"/>
          <w:color w:val="000000"/>
          <w:kern w:val="0"/>
          <w:szCs w:val="32"/>
          <w:highlight w:val="none"/>
          <w:shd w:val="clear" w:color="auto" w:fill="FFFFFF"/>
        </w:rPr>
        <w:t>三、部门整体预算绩效管理情况</w:t>
      </w:r>
    </w:p>
    <w:p w14:paraId="7DD7E0A8">
      <w:pPr>
        <w:widowControl/>
        <w:adjustRightInd w:val="0"/>
        <w:snapToGrid w:val="0"/>
        <w:spacing w:line="580" w:lineRule="exact"/>
        <w:ind w:firstLine="640" w:firstLineChars="200"/>
        <w:contextualSpacing/>
        <w:jc w:val="left"/>
        <w:rPr>
          <w:rFonts w:hint="eastAsia" w:ascii="楷体_GB2312" w:hAnsi="宋体" w:eastAsia="楷体_GB2312" w:cs="宋体"/>
          <w:color w:val="000000"/>
          <w:kern w:val="0"/>
          <w:szCs w:val="32"/>
          <w:highlight w:val="none"/>
          <w:shd w:val="clear" w:color="auto" w:fill="FFFFFF"/>
          <w:lang w:val="zh-CN"/>
        </w:rPr>
      </w:pPr>
      <w:r>
        <w:rPr>
          <w:rFonts w:hint="eastAsia" w:ascii="楷体_GB2312" w:hAnsi="宋体" w:eastAsia="楷体_GB2312" w:cs="宋体"/>
          <w:color w:val="000000"/>
          <w:kern w:val="0"/>
          <w:szCs w:val="32"/>
          <w:highlight w:val="none"/>
          <w:shd w:val="clear" w:color="auto" w:fill="FFFFFF"/>
          <w:lang w:val="zh-CN"/>
        </w:rPr>
        <w:t>（一）部门预算管理。</w:t>
      </w:r>
    </w:p>
    <w:p w14:paraId="167DE266">
      <w:pPr>
        <w:widowControl/>
        <w:adjustRightInd w:val="0"/>
        <w:snapToGrid w:val="0"/>
        <w:spacing w:line="580" w:lineRule="exact"/>
        <w:ind w:firstLine="640" w:firstLineChars="200"/>
        <w:contextualSpacing/>
        <w:jc w:val="left"/>
        <w:rPr>
          <w:rFonts w:hint="default" w:ascii="仿宋_GB2312" w:hAnsi="宋体" w:cs="宋体"/>
          <w:color w:val="000000"/>
          <w:kern w:val="0"/>
          <w:szCs w:val="32"/>
          <w:highlight w:val="none"/>
          <w:shd w:val="clear" w:color="auto" w:fill="FFFFFF"/>
          <w:lang w:val="en-US" w:eastAsia="zh-CN"/>
        </w:rPr>
      </w:pPr>
      <w:r>
        <w:rPr>
          <w:rFonts w:hint="eastAsia" w:ascii="仿宋_GB2312" w:hAnsi="宋体" w:cs="宋体"/>
          <w:color w:val="000000"/>
          <w:kern w:val="0"/>
          <w:szCs w:val="32"/>
          <w:highlight w:val="none"/>
          <w:shd w:val="clear" w:color="auto" w:fill="FFFFFF"/>
          <w:lang w:val="en-US" w:eastAsia="zh-CN"/>
        </w:rPr>
        <w:t>（1）部门绩效目标要素完整、细化量化。2.绩效目标实际完成情况达到预期绩效目标。3.部门年初预算编制科学准确。4.部门支出严格执行财经纪律，单位财务核算做账及时；科目使用准确；支出方向与预算吻合；严格执行八项规定</w:t>
      </w:r>
      <w:bookmarkStart w:id="0" w:name="_GoBack"/>
      <w:bookmarkEnd w:id="0"/>
      <w:r>
        <w:rPr>
          <w:rFonts w:hint="eastAsia" w:ascii="仿宋_GB2312" w:hAnsi="宋体" w:cs="宋体"/>
          <w:color w:val="000000"/>
          <w:kern w:val="0"/>
          <w:szCs w:val="32"/>
          <w:highlight w:val="none"/>
          <w:shd w:val="clear" w:color="auto" w:fill="FFFFFF"/>
          <w:lang w:val="en-US" w:eastAsia="zh-CN"/>
        </w:rPr>
        <w:t>，三公经费使用，差旅费报销、津补贴发放符合规定等。5.部门开展绩效运行监控后，将绩效监控结果应用到预算调整的情况很好。</w:t>
      </w:r>
    </w:p>
    <w:p w14:paraId="35392FCB">
      <w:pPr>
        <w:widowControl/>
        <w:adjustRightInd w:val="0"/>
        <w:snapToGrid w:val="0"/>
        <w:spacing w:line="580" w:lineRule="exact"/>
        <w:ind w:firstLine="640" w:firstLineChars="200"/>
        <w:contextualSpacing/>
        <w:jc w:val="left"/>
        <w:rPr>
          <w:rFonts w:hint="eastAsia" w:ascii="仿宋_GB2312" w:hAnsi="宋体" w:cs="宋体"/>
          <w:color w:val="000000"/>
          <w:kern w:val="0"/>
          <w:szCs w:val="32"/>
          <w:highlight w:val="none"/>
          <w:shd w:val="clear" w:color="auto" w:fill="FFFFFF"/>
          <w:lang w:val="en-US" w:eastAsia="zh-CN"/>
        </w:rPr>
      </w:pPr>
      <w:r>
        <w:rPr>
          <w:rFonts w:hint="eastAsia" w:ascii="仿宋_GB2312" w:hAnsi="宋体" w:cs="宋体"/>
          <w:color w:val="000000"/>
          <w:kern w:val="0"/>
          <w:szCs w:val="32"/>
          <w:highlight w:val="none"/>
          <w:shd w:val="clear" w:color="auto" w:fill="FFFFFF"/>
          <w:lang w:val="en-US" w:eastAsia="zh-CN"/>
        </w:rPr>
        <w:t>（2）内部控制管理</w:t>
      </w:r>
    </w:p>
    <w:p w14:paraId="773F22BE">
      <w:pPr>
        <w:widowControl/>
        <w:adjustRightInd w:val="0"/>
        <w:snapToGrid w:val="0"/>
        <w:spacing w:line="580" w:lineRule="exact"/>
        <w:ind w:firstLine="640" w:firstLineChars="200"/>
        <w:contextualSpacing/>
        <w:jc w:val="left"/>
        <w:rPr>
          <w:rFonts w:hint="eastAsia" w:ascii="仿宋_GB2312" w:hAnsi="宋体" w:cs="宋体"/>
          <w:color w:val="000000"/>
          <w:kern w:val="0"/>
          <w:szCs w:val="32"/>
          <w:highlight w:val="none"/>
          <w:shd w:val="clear" w:color="auto" w:fill="FFFFFF"/>
          <w:lang w:val="en-US" w:eastAsia="zh-CN"/>
        </w:rPr>
      </w:pPr>
      <w:r>
        <w:rPr>
          <w:rFonts w:hint="eastAsia" w:ascii="仿宋_GB2312" w:hAnsi="宋体" w:cs="宋体"/>
          <w:color w:val="000000"/>
          <w:kern w:val="0"/>
          <w:szCs w:val="32"/>
          <w:highlight w:val="none"/>
          <w:shd w:val="clear" w:color="auto" w:fill="FFFFFF"/>
          <w:lang w:val="en-US" w:eastAsia="zh-CN"/>
        </w:rPr>
        <w:t>1.内控制度建设完整。2.内控制度执行规范性。</w:t>
      </w:r>
    </w:p>
    <w:p w14:paraId="7F87B2A8">
      <w:pPr>
        <w:widowControl/>
        <w:adjustRightInd w:val="0"/>
        <w:snapToGrid w:val="0"/>
        <w:spacing w:line="580" w:lineRule="exact"/>
        <w:ind w:firstLine="640" w:firstLineChars="200"/>
        <w:contextualSpacing/>
        <w:jc w:val="left"/>
        <w:rPr>
          <w:rFonts w:hint="eastAsia" w:ascii="仿宋_GB2312" w:hAnsi="宋体" w:cs="宋体"/>
          <w:color w:val="000000"/>
          <w:kern w:val="0"/>
          <w:szCs w:val="32"/>
          <w:highlight w:val="none"/>
          <w:shd w:val="clear" w:color="auto" w:fill="FFFFFF"/>
          <w:lang w:val="en-US" w:eastAsia="zh-CN"/>
        </w:rPr>
      </w:pPr>
      <w:r>
        <w:rPr>
          <w:rFonts w:hint="eastAsia" w:ascii="仿宋_GB2312" w:hAnsi="宋体" w:cs="宋体"/>
          <w:color w:val="000000"/>
          <w:kern w:val="0"/>
          <w:szCs w:val="32"/>
          <w:highlight w:val="none"/>
          <w:shd w:val="clear" w:color="auto" w:fill="FFFFFF"/>
          <w:lang w:val="en-US" w:eastAsia="zh-CN"/>
        </w:rPr>
        <w:t>（3）完成结果</w:t>
      </w:r>
    </w:p>
    <w:p w14:paraId="061A461C">
      <w:pPr>
        <w:widowControl/>
        <w:adjustRightInd w:val="0"/>
        <w:snapToGrid w:val="0"/>
        <w:spacing w:line="580" w:lineRule="exact"/>
        <w:ind w:firstLine="640" w:firstLineChars="200"/>
        <w:contextualSpacing/>
        <w:jc w:val="left"/>
        <w:rPr>
          <w:rFonts w:hint="eastAsia" w:ascii="仿宋_GB2312" w:hAnsi="宋体" w:cs="宋体"/>
          <w:color w:val="000000"/>
          <w:kern w:val="0"/>
          <w:szCs w:val="32"/>
          <w:highlight w:val="none"/>
          <w:shd w:val="clear" w:color="auto" w:fill="FFFFFF"/>
          <w:lang w:val="en-US" w:eastAsia="zh-CN"/>
        </w:rPr>
      </w:pPr>
      <w:r>
        <w:rPr>
          <w:rFonts w:hint="eastAsia" w:ascii="仿宋_GB2312" w:hAnsi="宋体" w:cs="宋体"/>
          <w:color w:val="000000"/>
          <w:kern w:val="0"/>
          <w:szCs w:val="32"/>
          <w:highlight w:val="none"/>
          <w:shd w:val="clear" w:color="auto" w:fill="FFFFFF"/>
          <w:lang w:val="en-US" w:eastAsia="zh-CN"/>
        </w:rPr>
        <w:t>1.</w:t>
      </w:r>
      <w:r>
        <w:rPr>
          <w:rFonts w:hint="default" w:ascii="仿宋_GB2312" w:hAnsi="宋体" w:cs="宋体"/>
          <w:color w:val="000000"/>
          <w:kern w:val="0"/>
          <w:szCs w:val="32"/>
          <w:highlight w:val="none"/>
          <w:shd w:val="clear" w:color="auto" w:fill="FFFFFF"/>
          <w:lang w:val="en-US" w:eastAsia="zh-CN"/>
        </w:rPr>
        <w:t>部门预算全年执行进度达到100%</w:t>
      </w:r>
      <w:r>
        <w:rPr>
          <w:rFonts w:hint="eastAsia" w:ascii="仿宋_GB2312" w:hAnsi="宋体" w:cs="宋体"/>
          <w:color w:val="000000"/>
          <w:kern w:val="0"/>
          <w:szCs w:val="32"/>
          <w:highlight w:val="none"/>
          <w:shd w:val="clear" w:color="auto" w:fill="FFFFFF"/>
          <w:lang w:val="en-US" w:eastAsia="zh-CN"/>
        </w:rPr>
        <w:t>。2.无违规记录的情况反映问题。</w:t>
      </w:r>
    </w:p>
    <w:p w14:paraId="39FD0F60">
      <w:pPr>
        <w:widowControl/>
        <w:adjustRightInd w:val="0"/>
        <w:snapToGrid w:val="0"/>
        <w:spacing w:line="580" w:lineRule="exact"/>
        <w:ind w:firstLine="640" w:firstLineChars="200"/>
        <w:contextualSpacing/>
        <w:jc w:val="left"/>
        <w:rPr>
          <w:rFonts w:ascii="楷体_GB2312" w:hAnsi="宋体" w:eastAsia="楷体_GB2312" w:cs="宋体"/>
          <w:color w:val="000000"/>
          <w:kern w:val="0"/>
          <w:szCs w:val="32"/>
          <w:highlight w:val="none"/>
          <w:shd w:val="clear" w:color="auto" w:fill="FFFFFF"/>
          <w:lang w:val="zh-CN"/>
        </w:rPr>
      </w:pPr>
      <w:r>
        <w:rPr>
          <w:rFonts w:hint="eastAsia" w:ascii="楷体_GB2312" w:hAnsi="宋体" w:eastAsia="楷体_GB2312" w:cs="宋体"/>
          <w:color w:val="000000"/>
          <w:kern w:val="0"/>
          <w:szCs w:val="32"/>
          <w:highlight w:val="none"/>
          <w:shd w:val="clear" w:color="auto" w:fill="FFFFFF"/>
          <w:lang w:val="zh-CN"/>
        </w:rPr>
        <w:t>（二）项目预算管理。（有项目预算的部门需要阐述此部分）</w:t>
      </w:r>
    </w:p>
    <w:p w14:paraId="44D06EE1">
      <w:pPr>
        <w:widowControl/>
        <w:adjustRightInd w:val="0"/>
        <w:snapToGrid w:val="0"/>
        <w:spacing w:line="580" w:lineRule="exact"/>
        <w:ind w:firstLine="640" w:firstLineChars="200"/>
        <w:contextualSpacing/>
        <w:jc w:val="left"/>
        <w:rPr>
          <w:rFonts w:hint="eastAsia" w:ascii="仿宋_GB2312" w:hAnsi="仿宋" w:cs="仿宋"/>
          <w:color w:val="auto"/>
          <w:sz w:val="32"/>
          <w:szCs w:val="32"/>
          <w:highlight w:val="none"/>
          <w:lang w:val="en-US" w:eastAsia="zh-CN"/>
        </w:rPr>
      </w:pPr>
      <w:r>
        <w:rPr>
          <w:rFonts w:hint="eastAsia" w:ascii="仿宋_GB2312" w:hAnsi="宋体" w:cs="宋体"/>
          <w:color w:val="000000"/>
          <w:kern w:val="0"/>
          <w:szCs w:val="32"/>
          <w:highlight w:val="none"/>
          <w:shd w:val="clear" w:color="auto" w:fill="FFFFFF"/>
          <w:lang w:val="en-US" w:eastAsia="zh-CN"/>
        </w:rPr>
        <w:t>基本支出</w:t>
      </w:r>
      <w:r>
        <w:rPr>
          <w:rFonts w:hint="eastAsia" w:ascii="仿宋_GB2312" w:hAnsi="仿宋" w:cs="仿宋"/>
          <w:color w:val="auto"/>
          <w:sz w:val="32"/>
          <w:szCs w:val="32"/>
          <w:highlight w:val="none"/>
          <w:lang w:val="en-US" w:eastAsia="zh-CN"/>
        </w:rPr>
        <w:t>894.09</w:t>
      </w:r>
      <w:r>
        <w:rPr>
          <w:rFonts w:hint="eastAsia" w:ascii="仿宋_GB2312" w:hAnsi="仿宋" w:eastAsia="仿宋_GB2312" w:cs="仿宋"/>
          <w:color w:val="auto"/>
          <w:sz w:val="32"/>
          <w:szCs w:val="32"/>
          <w:highlight w:val="none"/>
        </w:rPr>
        <w:t>万元</w:t>
      </w:r>
      <w:r>
        <w:rPr>
          <w:rFonts w:hint="eastAsia" w:ascii="仿宋_GB2312" w:hAnsi="仿宋" w:cs="仿宋"/>
          <w:color w:val="auto"/>
          <w:sz w:val="32"/>
          <w:szCs w:val="32"/>
          <w:highlight w:val="none"/>
          <w:lang w:eastAsia="zh-CN"/>
        </w:rPr>
        <w:t>，</w:t>
      </w:r>
      <w:r>
        <w:rPr>
          <w:rFonts w:hint="eastAsia" w:ascii="仿宋_GB2312" w:hAnsi="仿宋" w:cs="仿宋"/>
          <w:color w:val="auto"/>
          <w:sz w:val="32"/>
          <w:szCs w:val="32"/>
          <w:highlight w:val="none"/>
          <w:lang w:val="en-US" w:eastAsia="zh-CN"/>
        </w:rPr>
        <w:t>保障人员的工资及保险及时发放，保障单位日常运行。</w:t>
      </w:r>
    </w:p>
    <w:p w14:paraId="773310AA">
      <w:pPr>
        <w:widowControl/>
        <w:adjustRightInd w:val="0"/>
        <w:snapToGrid w:val="0"/>
        <w:spacing w:line="580" w:lineRule="exact"/>
        <w:ind w:firstLine="640" w:firstLineChars="200"/>
        <w:contextualSpacing/>
        <w:jc w:val="left"/>
        <w:rPr>
          <w:rFonts w:hint="eastAsia" w:ascii="仿宋_GB2312" w:hAnsi="宋体" w:cs="宋体"/>
          <w:color w:val="000000"/>
          <w:kern w:val="0"/>
          <w:szCs w:val="32"/>
          <w:highlight w:val="none"/>
          <w:shd w:val="clear" w:color="auto" w:fill="FFFFFF"/>
          <w:lang w:val="en-US" w:eastAsia="zh-CN"/>
        </w:rPr>
      </w:pPr>
      <w:r>
        <w:rPr>
          <w:rFonts w:hint="eastAsia" w:ascii="仿宋_GB2312" w:hAnsi="宋体" w:cs="宋体"/>
          <w:color w:val="000000"/>
          <w:kern w:val="0"/>
          <w:szCs w:val="32"/>
          <w:highlight w:val="none"/>
          <w:shd w:val="clear" w:color="auto" w:fill="FFFFFF"/>
          <w:lang w:val="en-US" w:eastAsia="zh-CN"/>
        </w:rPr>
        <w:t>项目支出</w:t>
      </w:r>
      <w:r>
        <w:rPr>
          <w:rFonts w:hint="eastAsia" w:ascii="仿宋_GB2312" w:hAnsi="仿宋" w:cs="仿宋"/>
          <w:color w:val="auto"/>
          <w:sz w:val="32"/>
          <w:szCs w:val="32"/>
          <w:highlight w:val="none"/>
          <w:lang w:val="en-US" w:eastAsia="zh-CN"/>
        </w:rPr>
        <w:t>2012</w:t>
      </w:r>
      <w:r>
        <w:rPr>
          <w:rFonts w:hint="eastAsia" w:ascii="仿宋_GB2312" w:hAnsi="宋体" w:cs="宋体"/>
          <w:color w:val="000000"/>
          <w:kern w:val="0"/>
          <w:szCs w:val="32"/>
          <w:highlight w:val="none"/>
          <w:shd w:val="clear" w:color="auto" w:fill="FFFFFF"/>
          <w:lang w:val="en-US" w:eastAsia="zh-CN"/>
        </w:rPr>
        <w:t>万元，共计9个项目。具体支出为：</w:t>
      </w:r>
    </w:p>
    <w:p w14:paraId="6529F5FC">
      <w:pPr>
        <w:keepNext w:val="0"/>
        <w:keepLines w:val="0"/>
        <w:pageBreakBefore w:val="0"/>
        <w:widowControl/>
        <w:numPr>
          <w:numId w:val="0"/>
        </w:numPr>
        <w:kinsoku/>
        <w:wordWrap/>
        <w:overflowPunct/>
        <w:topLinePunct w:val="0"/>
        <w:autoSpaceDE/>
        <w:autoSpaceDN/>
        <w:bidi w:val="0"/>
        <w:adjustRightInd w:val="0"/>
        <w:snapToGrid w:val="0"/>
        <w:spacing w:line="580" w:lineRule="exact"/>
        <w:ind w:firstLine="640" w:firstLineChars="200"/>
        <w:contextualSpacing/>
        <w:jc w:val="left"/>
        <w:textAlignment w:val="auto"/>
        <w:rPr>
          <w:rFonts w:hint="eastAsia" w:ascii="仿宋_GB2312" w:hAnsi="宋体" w:cs="宋体"/>
          <w:color w:val="000000"/>
          <w:kern w:val="0"/>
          <w:szCs w:val="32"/>
          <w:highlight w:val="none"/>
          <w:shd w:val="clear" w:color="auto" w:fill="FFFFFF"/>
          <w:lang w:val="en-US" w:eastAsia="zh-CN"/>
        </w:rPr>
      </w:pPr>
      <w:r>
        <w:rPr>
          <w:rFonts w:hint="eastAsia" w:ascii="仿宋_GB2312" w:hAnsi="宋体" w:cs="宋体"/>
          <w:color w:val="000000"/>
          <w:kern w:val="0"/>
          <w:szCs w:val="32"/>
          <w:highlight w:val="none"/>
          <w:shd w:val="clear" w:color="auto" w:fill="FFFFFF"/>
          <w:lang w:val="en-US" w:eastAsia="zh-CN"/>
        </w:rPr>
        <w:t>1.县城垃圾卫生填埋场生产费46.54万元县城生活垃圾填埋场每天产生的渗滤液进行规范处理并达标排放；应急填埋我县产生的生活垃圾；</w:t>
      </w:r>
    </w:p>
    <w:p w14:paraId="52D447CA">
      <w:pPr>
        <w:keepNext w:val="0"/>
        <w:keepLines w:val="0"/>
        <w:pageBreakBefore w:val="0"/>
        <w:widowControl/>
        <w:numPr>
          <w:numId w:val="0"/>
        </w:numPr>
        <w:kinsoku/>
        <w:wordWrap/>
        <w:overflowPunct/>
        <w:topLinePunct w:val="0"/>
        <w:autoSpaceDE/>
        <w:autoSpaceDN/>
        <w:bidi w:val="0"/>
        <w:adjustRightInd w:val="0"/>
        <w:snapToGrid w:val="0"/>
        <w:spacing w:line="580" w:lineRule="exact"/>
        <w:ind w:firstLine="640" w:firstLineChars="200"/>
        <w:contextualSpacing/>
        <w:jc w:val="left"/>
        <w:textAlignment w:val="auto"/>
        <w:rPr>
          <w:rFonts w:hint="eastAsia" w:ascii="仿宋_GB2312" w:hAnsi="宋体" w:cs="宋体"/>
          <w:color w:val="000000"/>
          <w:kern w:val="0"/>
          <w:szCs w:val="32"/>
          <w:highlight w:val="none"/>
          <w:shd w:val="clear" w:color="auto" w:fill="FFFFFF"/>
          <w:lang w:val="en-US" w:eastAsia="zh-CN"/>
        </w:rPr>
      </w:pPr>
      <w:r>
        <w:rPr>
          <w:rFonts w:hint="eastAsia" w:ascii="仿宋_GB2312" w:hAnsi="宋体" w:cs="宋体"/>
          <w:color w:val="000000"/>
          <w:kern w:val="0"/>
          <w:szCs w:val="32"/>
          <w:highlight w:val="none"/>
          <w:shd w:val="clear" w:color="auto" w:fill="FFFFFF"/>
          <w:lang w:val="en-US" w:eastAsia="zh-CN"/>
        </w:rPr>
        <w:t>2.垃圾定点收集、中转、清扫承包费906.88万元，用于我县城区单位、学校等食堂及各类餐饮店约400家，餐厨垃圾收集点约400个；城区保洁面积约230000㎡；</w:t>
      </w:r>
    </w:p>
    <w:p w14:paraId="350B4FB8">
      <w:pPr>
        <w:keepNext w:val="0"/>
        <w:keepLines w:val="0"/>
        <w:pageBreakBefore w:val="0"/>
        <w:widowControl/>
        <w:numPr>
          <w:numId w:val="0"/>
        </w:numPr>
        <w:kinsoku/>
        <w:wordWrap/>
        <w:overflowPunct/>
        <w:topLinePunct w:val="0"/>
        <w:autoSpaceDE/>
        <w:autoSpaceDN/>
        <w:bidi w:val="0"/>
        <w:adjustRightInd w:val="0"/>
        <w:snapToGrid w:val="0"/>
        <w:spacing w:line="580" w:lineRule="exact"/>
        <w:ind w:firstLine="640" w:firstLineChars="200"/>
        <w:contextualSpacing/>
        <w:jc w:val="left"/>
        <w:textAlignment w:val="auto"/>
        <w:rPr>
          <w:rFonts w:hint="eastAsia" w:ascii="仿宋_GB2312" w:hAnsi="宋体" w:cs="宋体"/>
          <w:color w:val="000000"/>
          <w:kern w:val="0"/>
          <w:szCs w:val="32"/>
          <w:highlight w:val="none"/>
          <w:shd w:val="clear" w:color="auto" w:fill="FFFFFF"/>
          <w:lang w:val="en-US" w:eastAsia="zh-CN"/>
        </w:rPr>
      </w:pPr>
      <w:r>
        <w:rPr>
          <w:rFonts w:hint="eastAsia" w:ascii="仿宋_GB2312" w:hAnsi="宋体" w:cs="宋体"/>
          <w:color w:val="000000"/>
          <w:kern w:val="0"/>
          <w:szCs w:val="32"/>
          <w:highlight w:val="none"/>
          <w:shd w:val="clear" w:color="auto" w:fill="FFFFFF"/>
          <w:lang w:val="en-US" w:eastAsia="zh-CN"/>
        </w:rPr>
        <w:t>3.垃圾外运及处置费363.61万元，将我县城区及13个乡镇每天产生的生活垃圾进行外运焚烧发电，确保生活垃圾日产日清，城乡环境卫生进一步提高；</w:t>
      </w:r>
    </w:p>
    <w:p w14:paraId="7200ED97">
      <w:pPr>
        <w:keepNext w:val="0"/>
        <w:keepLines w:val="0"/>
        <w:pageBreakBefore w:val="0"/>
        <w:widowControl/>
        <w:numPr>
          <w:numId w:val="0"/>
        </w:numPr>
        <w:kinsoku/>
        <w:wordWrap/>
        <w:overflowPunct/>
        <w:topLinePunct w:val="0"/>
        <w:autoSpaceDE/>
        <w:autoSpaceDN/>
        <w:bidi w:val="0"/>
        <w:adjustRightInd w:val="0"/>
        <w:snapToGrid w:val="0"/>
        <w:spacing w:line="580" w:lineRule="exact"/>
        <w:ind w:firstLine="640" w:firstLineChars="200"/>
        <w:contextualSpacing/>
        <w:jc w:val="left"/>
        <w:textAlignment w:val="auto"/>
        <w:rPr>
          <w:rFonts w:hint="default" w:ascii="仿宋_GB2312" w:hAnsi="宋体" w:cs="宋体"/>
          <w:color w:val="000000"/>
          <w:kern w:val="0"/>
          <w:szCs w:val="32"/>
          <w:highlight w:val="none"/>
          <w:shd w:val="clear" w:color="auto" w:fill="FFFFFF"/>
          <w:lang w:val="en-US" w:eastAsia="zh-CN"/>
        </w:rPr>
      </w:pPr>
      <w:r>
        <w:rPr>
          <w:rFonts w:hint="eastAsia" w:ascii="仿宋_GB2312" w:hAnsi="宋体" w:cs="宋体"/>
          <w:color w:val="000000"/>
          <w:kern w:val="0"/>
          <w:szCs w:val="32"/>
          <w:highlight w:val="none"/>
          <w:shd w:val="clear" w:color="auto" w:fill="FFFFFF"/>
          <w:lang w:val="en-US" w:eastAsia="zh-CN"/>
        </w:rPr>
        <w:t>4.综合行政执法局2022年乡村振兴补助资金项目（中央）120.61万元，用于采购移动式垃圾压缩箱，车厢可卸式垃圾车，新华村、西河村生活垃圾压缩中转站改造提升工程进度款。</w:t>
      </w:r>
    </w:p>
    <w:p w14:paraId="1F9C8729">
      <w:pPr>
        <w:keepNext w:val="0"/>
        <w:keepLines w:val="0"/>
        <w:pageBreakBefore w:val="0"/>
        <w:widowControl/>
        <w:numPr>
          <w:numId w:val="0"/>
        </w:numPr>
        <w:kinsoku/>
        <w:wordWrap/>
        <w:overflowPunct/>
        <w:topLinePunct w:val="0"/>
        <w:autoSpaceDE/>
        <w:autoSpaceDN/>
        <w:bidi w:val="0"/>
        <w:adjustRightInd w:val="0"/>
        <w:snapToGrid w:val="0"/>
        <w:spacing w:line="580" w:lineRule="exact"/>
        <w:ind w:firstLine="640" w:firstLineChars="200"/>
        <w:contextualSpacing/>
        <w:jc w:val="left"/>
        <w:textAlignment w:val="auto"/>
        <w:rPr>
          <w:rFonts w:hint="default" w:ascii="仿宋_GB2312" w:hAnsi="宋体" w:cs="宋体"/>
          <w:color w:val="000000"/>
          <w:kern w:val="0"/>
          <w:szCs w:val="32"/>
          <w:highlight w:val="none"/>
          <w:shd w:val="clear" w:color="auto" w:fill="FFFFFF"/>
          <w:lang w:val="en-US" w:eastAsia="zh-CN"/>
        </w:rPr>
      </w:pPr>
      <w:r>
        <w:rPr>
          <w:rFonts w:hint="eastAsia" w:ascii="仿宋_GB2312" w:hAnsi="宋体" w:cs="宋体"/>
          <w:color w:val="000000"/>
          <w:kern w:val="0"/>
          <w:szCs w:val="32"/>
          <w:highlight w:val="none"/>
          <w:shd w:val="clear" w:color="auto" w:fill="FFFFFF"/>
          <w:lang w:val="en-US" w:eastAsia="zh-CN"/>
        </w:rPr>
        <w:t>5.峨边彝族自治县扩建沙坪中转站地形图测绘0.3万元；</w:t>
      </w:r>
    </w:p>
    <w:p w14:paraId="1662B455">
      <w:pPr>
        <w:keepNext w:val="0"/>
        <w:keepLines w:val="0"/>
        <w:pageBreakBefore w:val="0"/>
        <w:widowControl/>
        <w:numPr>
          <w:numId w:val="0"/>
        </w:numPr>
        <w:kinsoku/>
        <w:wordWrap/>
        <w:overflowPunct/>
        <w:topLinePunct w:val="0"/>
        <w:autoSpaceDE/>
        <w:autoSpaceDN/>
        <w:bidi w:val="0"/>
        <w:adjustRightInd w:val="0"/>
        <w:snapToGrid w:val="0"/>
        <w:spacing w:line="580" w:lineRule="exact"/>
        <w:ind w:firstLine="640" w:firstLineChars="200"/>
        <w:contextualSpacing/>
        <w:jc w:val="left"/>
        <w:textAlignment w:val="auto"/>
        <w:rPr>
          <w:rFonts w:hint="default" w:ascii="仿宋_GB2312" w:hAnsi="宋体" w:cs="宋体"/>
          <w:color w:val="000000"/>
          <w:kern w:val="0"/>
          <w:szCs w:val="32"/>
          <w:highlight w:val="none"/>
          <w:shd w:val="clear" w:color="auto" w:fill="FFFFFF"/>
          <w:lang w:val="en-US" w:eastAsia="zh-CN"/>
        </w:rPr>
      </w:pPr>
      <w:r>
        <w:rPr>
          <w:rFonts w:hint="eastAsia" w:ascii="仿宋_GB2312" w:hAnsi="宋体" w:cs="宋体"/>
          <w:color w:val="000000"/>
          <w:kern w:val="0"/>
          <w:szCs w:val="32"/>
          <w:highlight w:val="none"/>
          <w:shd w:val="clear" w:color="auto" w:fill="FFFFFF"/>
          <w:lang w:val="en-US" w:eastAsia="zh-CN"/>
        </w:rPr>
        <w:t>6.城市管理专项经费306.88万元，</w:t>
      </w:r>
      <w:r>
        <w:rPr>
          <w:rFonts w:hint="eastAsia" w:ascii="仿宋_GB2312" w:hAnsi="宋体"/>
          <w:sz w:val="32"/>
          <w:szCs w:val="32"/>
          <w:lang w:val="en-US" w:eastAsia="zh-CN"/>
        </w:rPr>
        <w:t>一般公共预算4.1万元，基金项目302.78万元。</w:t>
      </w:r>
      <w:r>
        <w:rPr>
          <w:rFonts w:hint="eastAsia" w:ascii="仿宋_GB2312" w:hAnsi="宋体" w:cs="宋体"/>
          <w:color w:val="000000"/>
          <w:kern w:val="0"/>
          <w:szCs w:val="32"/>
          <w:highlight w:val="none"/>
          <w:shd w:val="clear" w:color="auto" w:fill="FFFFFF"/>
          <w:lang w:val="en-US" w:eastAsia="zh-CN"/>
        </w:rPr>
        <w:t>用于城市管理方面主要涉及标线标牌、违法建筑拆除、乱停乱放车辆拖移、店招隐患消除和一店多招拆除、绿化补植补栽、劳务派遣人员工资及保险，执法执勤车辆燃油及维修维护；</w:t>
      </w:r>
    </w:p>
    <w:p w14:paraId="47147EAF">
      <w:pPr>
        <w:keepNext w:val="0"/>
        <w:keepLines w:val="0"/>
        <w:pageBreakBefore w:val="0"/>
        <w:widowControl/>
        <w:numPr>
          <w:numId w:val="0"/>
        </w:numPr>
        <w:kinsoku/>
        <w:wordWrap/>
        <w:overflowPunct/>
        <w:topLinePunct w:val="0"/>
        <w:autoSpaceDE/>
        <w:autoSpaceDN/>
        <w:bidi w:val="0"/>
        <w:adjustRightInd w:val="0"/>
        <w:snapToGrid w:val="0"/>
        <w:spacing w:line="580" w:lineRule="exact"/>
        <w:ind w:firstLine="640" w:firstLineChars="200"/>
        <w:contextualSpacing/>
        <w:jc w:val="left"/>
        <w:textAlignment w:val="auto"/>
        <w:rPr>
          <w:rFonts w:hint="default" w:ascii="仿宋_GB2312" w:hAnsi="宋体" w:cs="宋体"/>
          <w:color w:val="000000"/>
          <w:kern w:val="0"/>
          <w:szCs w:val="32"/>
          <w:highlight w:val="none"/>
          <w:shd w:val="clear" w:color="auto" w:fill="FFFFFF"/>
          <w:lang w:val="en-US" w:eastAsia="zh-CN"/>
        </w:rPr>
      </w:pPr>
      <w:r>
        <w:rPr>
          <w:rFonts w:hint="eastAsia" w:ascii="仿宋_GB2312" w:hAnsi="宋体" w:cs="宋体"/>
          <w:color w:val="000000"/>
          <w:kern w:val="0"/>
          <w:szCs w:val="32"/>
          <w:highlight w:val="none"/>
          <w:shd w:val="clear" w:color="auto" w:fill="FFFFFF"/>
          <w:lang w:val="en-US" w:eastAsia="zh-CN"/>
        </w:rPr>
        <w:t>7.市政设施维修维护200万元，用于2023年全面完成全县城区市政井盖、水篦子等市政设施出现破损、堵塞等问题时及时维修维护；</w:t>
      </w:r>
    </w:p>
    <w:p w14:paraId="60747E36">
      <w:pPr>
        <w:keepNext w:val="0"/>
        <w:keepLines w:val="0"/>
        <w:pageBreakBefore w:val="0"/>
        <w:widowControl/>
        <w:numPr>
          <w:numId w:val="0"/>
        </w:numPr>
        <w:kinsoku/>
        <w:wordWrap/>
        <w:overflowPunct/>
        <w:topLinePunct w:val="0"/>
        <w:autoSpaceDE/>
        <w:autoSpaceDN/>
        <w:bidi w:val="0"/>
        <w:adjustRightInd w:val="0"/>
        <w:snapToGrid w:val="0"/>
        <w:spacing w:line="580" w:lineRule="exact"/>
        <w:ind w:firstLine="640" w:firstLineChars="200"/>
        <w:contextualSpacing/>
        <w:jc w:val="left"/>
        <w:textAlignment w:val="auto"/>
        <w:rPr>
          <w:rFonts w:hint="default" w:ascii="仿宋_GB2312" w:hAnsi="宋体" w:cs="宋体"/>
          <w:color w:val="000000"/>
          <w:kern w:val="0"/>
          <w:szCs w:val="32"/>
          <w:highlight w:val="none"/>
          <w:shd w:val="clear" w:color="auto" w:fill="FFFFFF"/>
          <w:lang w:val="en-US" w:eastAsia="zh-CN"/>
        </w:rPr>
      </w:pPr>
      <w:r>
        <w:rPr>
          <w:rFonts w:hint="eastAsia" w:ascii="仿宋_GB2312" w:hAnsi="宋体" w:cs="宋体"/>
          <w:color w:val="000000"/>
          <w:kern w:val="0"/>
          <w:szCs w:val="32"/>
          <w:highlight w:val="none"/>
          <w:shd w:val="clear" w:color="auto" w:fill="FFFFFF"/>
          <w:lang w:val="en-US" w:eastAsia="zh-CN"/>
        </w:rPr>
        <w:t>8.政府批示（政府批示2020[67]号关于解决峨边彝族自治县城杨竹大桥至县小至武装部环境整治项目12.02万元，解决该项目的尾款。</w:t>
      </w:r>
    </w:p>
    <w:p w14:paraId="32605711">
      <w:pPr>
        <w:keepNext w:val="0"/>
        <w:keepLines w:val="0"/>
        <w:pageBreakBefore w:val="0"/>
        <w:widowControl/>
        <w:numPr>
          <w:numId w:val="0"/>
        </w:numPr>
        <w:kinsoku/>
        <w:wordWrap/>
        <w:overflowPunct/>
        <w:topLinePunct w:val="0"/>
        <w:autoSpaceDE/>
        <w:autoSpaceDN/>
        <w:bidi w:val="0"/>
        <w:adjustRightInd w:val="0"/>
        <w:snapToGrid w:val="0"/>
        <w:spacing w:line="580" w:lineRule="exact"/>
        <w:ind w:firstLine="640" w:firstLineChars="200"/>
        <w:contextualSpacing/>
        <w:jc w:val="left"/>
        <w:textAlignment w:val="auto"/>
        <w:rPr>
          <w:rFonts w:hint="eastAsia" w:ascii="仿宋_GB2312" w:hAnsi="宋体" w:cs="宋体"/>
          <w:color w:val="000000"/>
          <w:kern w:val="0"/>
          <w:szCs w:val="32"/>
          <w:highlight w:val="none"/>
          <w:shd w:val="clear" w:color="auto" w:fill="FFFFFF"/>
          <w:lang w:val="en-US" w:eastAsia="zh-CN"/>
        </w:rPr>
      </w:pPr>
      <w:r>
        <w:rPr>
          <w:rFonts w:hint="eastAsia" w:ascii="仿宋_GB2312" w:hAnsi="宋体" w:cs="宋体"/>
          <w:color w:val="000000"/>
          <w:kern w:val="0"/>
          <w:szCs w:val="32"/>
          <w:highlight w:val="none"/>
          <w:shd w:val="clear" w:color="auto" w:fill="FFFFFF"/>
          <w:lang w:val="en-US" w:eastAsia="zh-CN"/>
        </w:rPr>
        <w:t>9.政府批示〔2023〕59号关于解决辅助执法人员2020年9月—2023年5月超时工资55.17万元。</w:t>
      </w:r>
    </w:p>
    <w:p w14:paraId="630B7A2C">
      <w:pPr>
        <w:widowControl/>
        <w:adjustRightInd w:val="0"/>
        <w:snapToGrid w:val="0"/>
        <w:spacing w:line="580" w:lineRule="exact"/>
        <w:ind w:firstLine="640" w:firstLineChars="200"/>
        <w:contextualSpacing/>
        <w:jc w:val="left"/>
        <w:rPr>
          <w:rFonts w:hint="eastAsia" w:ascii="仿宋_GB2312" w:hAnsi="宋体" w:eastAsia="仿宋_GB2312" w:cs="宋体"/>
          <w:color w:val="000000"/>
          <w:kern w:val="0"/>
          <w:szCs w:val="32"/>
          <w:highlight w:val="none"/>
          <w:shd w:val="clear" w:color="auto" w:fill="FFFFFF"/>
          <w:lang w:val="en-US" w:eastAsia="zh-CN"/>
        </w:rPr>
      </w:pPr>
      <w:r>
        <w:rPr>
          <w:rFonts w:hint="eastAsia" w:ascii="仿宋_GB2312" w:hAnsi="宋体" w:cs="宋体"/>
          <w:color w:val="000000"/>
          <w:kern w:val="0"/>
          <w:szCs w:val="32"/>
          <w:highlight w:val="none"/>
          <w:shd w:val="clear" w:color="auto" w:fill="FFFFFF"/>
          <w:lang w:val="en-US" w:eastAsia="zh-CN"/>
        </w:rPr>
        <w:t>2.绩效结果应用</w:t>
      </w:r>
    </w:p>
    <w:p w14:paraId="1AE57270">
      <w:pPr>
        <w:widowControl/>
        <w:adjustRightInd w:val="0"/>
        <w:snapToGrid w:val="0"/>
        <w:spacing w:line="580" w:lineRule="exact"/>
        <w:ind w:firstLine="640" w:firstLineChars="200"/>
        <w:contextualSpacing/>
        <w:jc w:val="left"/>
        <w:rPr>
          <w:rFonts w:hint="eastAsia" w:ascii="仿宋_GB2312" w:hAnsi="宋体" w:cs="宋体"/>
          <w:color w:val="000000"/>
          <w:kern w:val="0"/>
          <w:szCs w:val="32"/>
          <w:highlight w:val="none"/>
          <w:shd w:val="clear" w:color="auto" w:fill="FFFFFF"/>
          <w:lang w:val="en-US" w:eastAsia="zh-CN"/>
        </w:rPr>
      </w:pPr>
      <w:r>
        <w:rPr>
          <w:rFonts w:hint="eastAsia" w:ascii="仿宋_GB2312" w:hAnsi="宋体" w:eastAsia="黑体" w:cs="宋体"/>
          <w:color w:val="000000"/>
          <w:kern w:val="0"/>
          <w:szCs w:val="32"/>
          <w:highlight w:val="none"/>
          <w:shd w:val="clear" w:color="auto" w:fill="FFFFFF"/>
          <w:lang w:val="en-US" w:eastAsia="zh-CN"/>
        </w:rPr>
        <w:t>（</w:t>
      </w:r>
      <w:r>
        <w:rPr>
          <w:rFonts w:hint="eastAsia" w:ascii="仿宋_GB2312" w:hAnsi="宋体" w:cs="宋体"/>
          <w:color w:val="000000"/>
          <w:kern w:val="0"/>
          <w:szCs w:val="32"/>
          <w:highlight w:val="none"/>
          <w:shd w:val="clear" w:color="auto" w:fill="FFFFFF"/>
          <w:lang w:val="en-US" w:eastAsia="zh-CN"/>
        </w:rPr>
        <w:t>1）信息公开</w:t>
      </w:r>
    </w:p>
    <w:p w14:paraId="4E0DB1D7">
      <w:pPr>
        <w:widowControl/>
        <w:adjustRightInd w:val="0"/>
        <w:snapToGrid w:val="0"/>
        <w:spacing w:line="580" w:lineRule="exact"/>
        <w:ind w:firstLine="640" w:firstLineChars="200"/>
        <w:contextualSpacing/>
        <w:jc w:val="left"/>
        <w:rPr>
          <w:rFonts w:hint="default" w:ascii="仿宋_GB2312" w:hAnsi="宋体" w:cs="宋体"/>
          <w:color w:val="000000"/>
          <w:kern w:val="0"/>
          <w:szCs w:val="32"/>
          <w:highlight w:val="none"/>
          <w:shd w:val="clear" w:color="auto" w:fill="FFFFFF"/>
          <w:lang w:val="en-US" w:eastAsia="zh-CN"/>
        </w:rPr>
      </w:pPr>
      <w:r>
        <w:rPr>
          <w:rFonts w:hint="eastAsia" w:ascii="仿宋_GB2312" w:hAnsi="宋体" w:cs="宋体"/>
          <w:color w:val="000000"/>
          <w:kern w:val="0"/>
          <w:szCs w:val="32"/>
          <w:highlight w:val="none"/>
          <w:shd w:val="clear" w:color="auto" w:fill="FFFFFF"/>
          <w:lang w:val="en-US" w:eastAsia="zh-CN"/>
        </w:rPr>
        <w:t>1.部门绩效目标按要求向社会公开。2.部门按要求将部门整体绩效自评情况和自行组织的评价情况向社会公开。</w:t>
      </w:r>
    </w:p>
    <w:p w14:paraId="687B4D64">
      <w:pPr>
        <w:widowControl/>
        <w:adjustRightInd w:val="0"/>
        <w:snapToGrid w:val="0"/>
        <w:spacing w:line="580" w:lineRule="exact"/>
        <w:ind w:firstLine="640" w:firstLineChars="200"/>
        <w:contextualSpacing/>
        <w:jc w:val="left"/>
        <w:rPr>
          <w:rFonts w:hint="eastAsia" w:ascii="仿宋_GB2312" w:hAnsi="宋体" w:cs="宋体"/>
          <w:color w:val="000000"/>
          <w:kern w:val="0"/>
          <w:szCs w:val="32"/>
          <w:highlight w:val="none"/>
          <w:shd w:val="clear" w:color="auto" w:fill="FFFFFF"/>
          <w:lang w:val="en-US" w:eastAsia="zh-CN"/>
        </w:rPr>
      </w:pPr>
      <w:r>
        <w:rPr>
          <w:rFonts w:hint="eastAsia" w:ascii="仿宋_GB2312" w:hAnsi="宋体" w:cs="宋体"/>
          <w:color w:val="000000"/>
          <w:kern w:val="0"/>
          <w:szCs w:val="32"/>
          <w:highlight w:val="none"/>
          <w:shd w:val="clear" w:color="auto" w:fill="FFFFFF"/>
          <w:lang w:val="en-US" w:eastAsia="zh-CN"/>
        </w:rPr>
        <w:t>（2）自评质量</w:t>
      </w:r>
    </w:p>
    <w:p w14:paraId="4FE43DE3">
      <w:pPr>
        <w:widowControl/>
        <w:adjustRightInd w:val="0"/>
        <w:snapToGrid w:val="0"/>
        <w:spacing w:line="580" w:lineRule="exact"/>
        <w:ind w:firstLine="640" w:firstLineChars="200"/>
        <w:contextualSpacing/>
        <w:jc w:val="left"/>
        <w:rPr>
          <w:rFonts w:hint="eastAsia" w:ascii="仿宋_GB2312" w:hAnsi="宋体" w:cs="宋体"/>
          <w:color w:val="000000"/>
          <w:kern w:val="0"/>
          <w:szCs w:val="32"/>
          <w:highlight w:val="none"/>
          <w:shd w:val="clear" w:color="auto" w:fill="FFFFFF"/>
          <w:lang w:val="en-US" w:eastAsia="zh-CN"/>
        </w:rPr>
      </w:pPr>
      <w:r>
        <w:rPr>
          <w:rFonts w:hint="eastAsia" w:ascii="仿宋_GB2312" w:hAnsi="宋体" w:cs="宋体"/>
          <w:color w:val="000000"/>
          <w:kern w:val="0"/>
          <w:szCs w:val="32"/>
          <w:highlight w:val="none"/>
          <w:shd w:val="clear" w:color="auto" w:fill="FFFFFF"/>
          <w:lang w:val="en-US" w:eastAsia="zh-CN"/>
        </w:rPr>
        <w:t>部门整体支出自评准确率与评价组抽查得分差异在5%以内。</w:t>
      </w:r>
    </w:p>
    <w:p w14:paraId="39A98400">
      <w:pPr>
        <w:widowControl/>
        <w:numPr>
          <w:ilvl w:val="0"/>
          <w:numId w:val="2"/>
        </w:numPr>
        <w:adjustRightInd w:val="0"/>
        <w:snapToGrid w:val="0"/>
        <w:spacing w:line="580" w:lineRule="exact"/>
        <w:ind w:firstLine="640" w:firstLineChars="200"/>
        <w:contextualSpacing/>
        <w:jc w:val="left"/>
        <w:rPr>
          <w:rFonts w:hint="eastAsia" w:ascii="仿宋_GB2312" w:hAnsi="宋体" w:cs="宋体"/>
          <w:color w:val="000000"/>
          <w:kern w:val="0"/>
          <w:szCs w:val="32"/>
          <w:highlight w:val="none"/>
          <w:shd w:val="clear" w:color="auto" w:fill="FFFFFF"/>
          <w:lang w:val="en-US" w:eastAsia="zh-CN"/>
        </w:rPr>
      </w:pPr>
      <w:r>
        <w:rPr>
          <w:rFonts w:hint="eastAsia" w:ascii="仿宋_GB2312" w:hAnsi="宋体" w:cs="宋体"/>
          <w:color w:val="000000"/>
          <w:kern w:val="0"/>
          <w:szCs w:val="32"/>
          <w:highlight w:val="none"/>
          <w:shd w:val="clear" w:color="auto" w:fill="FFFFFF"/>
          <w:lang w:val="en-US" w:eastAsia="zh-CN"/>
        </w:rPr>
        <w:t>整改反馈</w:t>
      </w:r>
    </w:p>
    <w:p w14:paraId="72E870BB">
      <w:pPr>
        <w:widowControl/>
        <w:numPr>
          <w:ilvl w:val="0"/>
          <w:numId w:val="0"/>
        </w:numPr>
        <w:adjustRightInd w:val="0"/>
        <w:snapToGrid w:val="0"/>
        <w:spacing w:line="580" w:lineRule="exact"/>
        <w:ind w:firstLine="640" w:firstLineChars="200"/>
        <w:contextualSpacing/>
        <w:jc w:val="left"/>
        <w:rPr>
          <w:rFonts w:hint="default" w:ascii="仿宋_GB2312" w:hAnsi="宋体" w:cs="宋体"/>
          <w:color w:val="000000"/>
          <w:kern w:val="0"/>
          <w:szCs w:val="32"/>
          <w:highlight w:val="none"/>
          <w:shd w:val="clear" w:color="auto" w:fill="FFFFFF"/>
          <w:lang w:val="en-US" w:eastAsia="zh-CN"/>
        </w:rPr>
      </w:pPr>
      <w:r>
        <w:rPr>
          <w:rFonts w:hint="eastAsia" w:ascii="仿宋_GB2312" w:hAnsi="宋体" w:cs="宋体"/>
          <w:color w:val="000000"/>
          <w:kern w:val="0"/>
          <w:szCs w:val="32"/>
          <w:highlight w:val="none"/>
          <w:shd w:val="clear" w:color="auto" w:fill="FFFFFF"/>
          <w:lang w:val="en-US" w:eastAsia="zh-CN"/>
        </w:rPr>
        <w:t>1.</w:t>
      </w:r>
      <w:r>
        <w:rPr>
          <w:rFonts w:hint="default" w:ascii="仿宋_GB2312" w:hAnsi="宋体" w:cs="宋体"/>
          <w:color w:val="000000"/>
          <w:kern w:val="0"/>
          <w:szCs w:val="32"/>
          <w:highlight w:val="none"/>
          <w:shd w:val="clear" w:color="auto" w:fill="FFFFFF"/>
          <w:lang w:val="en-US" w:eastAsia="zh-CN"/>
        </w:rPr>
        <w:t>部门根据绩效管理结果整改问题、完善政策、改进管理的</w:t>
      </w:r>
      <w:r>
        <w:rPr>
          <w:rFonts w:hint="eastAsia" w:ascii="仿宋_GB2312" w:hAnsi="宋体" w:cs="宋体"/>
          <w:color w:val="000000"/>
          <w:kern w:val="0"/>
          <w:szCs w:val="32"/>
          <w:highlight w:val="none"/>
          <w:shd w:val="clear" w:color="auto" w:fill="FFFFFF"/>
          <w:lang w:val="en-US" w:eastAsia="zh-CN"/>
        </w:rPr>
        <w:t>问题及时整改</w:t>
      </w:r>
      <w:r>
        <w:rPr>
          <w:rFonts w:hint="default" w:ascii="仿宋_GB2312" w:hAnsi="宋体" w:cs="宋体"/>
          <w:color w:val="000000"/>
          <w:kern w:val="0"/>
          <w:szCs w:val="32"/>
          <w:highlight w:val="none"/>
          <w:shd w:val="clear" w:color="auto" w:fill="FFFFFF"/>
          <w:lang w:val="en-US" w:eastAsia="zh-CN"/>
        </w:rPr>
        <w:t>。</w:t>
      </w:r>
      <w:r>
        <w:rPr>
          <w:rFonts w:hint="eastAsia" w:ascii="仿宋_GB2312" w:hAnsi="宋体" w:cs="宋体"/>
          <w:color w:val="000000"/>
          <w:kern w:val="0"/>
          <w:szCs w:val="32"/>
          <w:highlight w:val="none"/>
          <w:shd w:val="clear" w:color="auto" w:fill="FFFFFF"/>
          <w:lang w:val="en-US" w:eastAsia="zh-CN"/>
        </w:rPr>
        <w:t>2.部门在规定时间内向财政部门反馈应用绩效结果报告的。</w:t>
      </w:r>
    </w:p>
    <w:p w14:paraId="63DA95EE">
      <w:pPr>
        <w:widowControl/>
        <w:adjustRightInd w:val="0"/>
        <w:snapToGrid w:val="0"/>
        <w:spacing w:line="580" w:lineRule="exact"/>
        <w:ind w:firstLine="640" w:firstLineChars="200"/>
        <w:contextualSpacing/>
        <w:jc w:val="left"/>
        <w:rPr>
          <w:rFonts w:ascii="黑体" w:hAnsi="宋体" w:eastAsia="黑体" w:cs="宋体"/>
          <w:color w:val="000000"/>
          <w:kern w:val="0"/>
          <w:szCs w:val="32"/>
          <w:highlight w:val="none"/>
          <w:shd w:val="clear" w:color="auto" w:fill="FFFFFF"/>
        </w:rPr>
      </w:pPr>
      <w:r>
        <w:rPr>
          <w:rFonts w:hint="eastAsia" w:ascii="黑体" w:hAnsi="宋体" w:eastAsia="黑体" w:cs="宋体"/>
          <w:color w:val="000000"/>
          <w:kern w:val="0"/>
          <w:szCs w:val="32"/>
          <w:highlight w:val="none"/>
          <w:shd w:val="clear" w:color="auto" w:fill="FFFFFF"/>
        </w:rPr>
        <w:t>四、评价结论及建议</w:t>
      </w:r>
    </w:p>
    <w:p w14:paraId="1CA02BED">
      <w:pPr>
        <w:widowControl/>
        <w:adjustRightInd w:val="0"/>
        <w:snapToGrid w:val="0"/>
        <w:spacing w:line="580" w:lineRule="exact"/>
        <w:ind w:firstLine="640" w:firstLineChars="200"/>
        <w:contextualSpacing/>
        <w:jc w:val="left"/>
        <w:rPr>
          <w:rFonts w:hint="eastAsia" w:ascii="仿宋_GB2312" w:hAnsi="宋体" w:cs="宋体"/>
          <w:color w:val="000000"/>
          <w:kern w:val="0"/>
          <w:szCs w:val="32"/>
          <w:highlight w:val="none"/>
          <w:shd w:val="clear" w:color="auto" w:fill="FFFFFF"/>
          <w:lang w:val="zh-CN"/>
        </w:rPr>
      </w:pPr>
      <w:r>
        <w:rPr>
          <w:rFonts w:hint="eastAsia" w:ascii="仿宋_GB2312" w:hAnsi="宋体" w:cs="宋体"/>
          <w:color w:val="000000"/>
          <w:kern w:val="0"/>
          <w:szCs w:val="32"/>
          <w:highlight w:val="none"/>
          <w:shd w:val="clear" w:color="auto" w:fill="FFFFFF"/>
          <w:lang w:val="zh-CN"/>
        </w:rPr>
        <w:t>（一）评价结论。根据《峨边彝族自治县财政局关于开展2023年财政绩效评价工作的通知》文件精神，</w:t>
      </w:r>
      <w:r>
        <w:rPr>
          <w:rFonts w:hint="eastAsia" w:ascii="仿宋_GB2312" w:hAnsi="宋体" w:cs="宋体"/>
          <w:color w:val="000000"/>
          <w:kern w:val="0"/>
          <w:szCs w:val="32"/>
          <w:highlight w:val="none"/>
          <w:shd w:val="clear" w:color="auto" w:fill="FFFFFF"/>
          <w:lang w:val="en-US" w:eastAsia="zh-CN"/>
        </w:rPr>
        <w:t>综合行政执法局认真组织开展了部门整体支出绩效评价工作，绩效评价</w:t>
      </w:r>
      <w:r>
        <w:rPr>
          <w:rFonts w:hint="eastAsia" w:ascii="仿宋_GB2312" w:hAnsi="宋体" w:cs="宋体"/>
          <w:color w:val="000000"/>
          <w:kern w:val="0"/>
          <w:szCs w:val="32"/>
          <w:highlight w:val="none"/>
          <w:shd w:val="clear" w:color="auto" w:fill="FFFFFF"/>
          <w:lang w:val="zh-CN"/>
        </w:rPr>
        <w:t>得分：</w:t>
      </w:r>
      <w:r>
        <w:rPr>
          <w:rFonts w:hint="eastAsia" w:ascii="仿宋_GB2312" w:hAnsi="宋体" w:cs="宋体"/>
          <w:color w:val="000000"/>
          <w:kern w:val="0"/>
          <w:szCs w:val="32"/>
          <w:highlight w:val="none"/>
          <w:shd w:val="clear" w:color="auto" w:fill="FFFFFF"/>
          <w:lang w:val="en-US" w:eastAsia="zh-CN"/>
        </w:rPr>
        <w:t>98</w:t>
      </w:r>
      <w:r>
        <w:rPr>
          <w:rFonts w:hint="eastAsia" w:ascii="仿宋_GB2312" w:hAnsi="宋体" w:cs="宋体"/>
          <w:color w:val="000000"/>
          <w:kern w:val="0"/>
          <w:szCs w:val="32"/>
          <w:highlight w:val="none"/>
          <w:shd w:val="clear" w:color="auto" w:fill="FFFFFF"/>
          <w:lang w:val="zh-CN"/>
        </w:rPr>
        <w:t>分。</w:t>
      </w:r>
    </w:p>
    <w:p w14:paraId="4F0D3276">
      <w:pPr>
        <w:widowControl/>
        <w:adjustRightInd w:val="0"/>
        <w:snapToGrid w:val="0"/>
        <w:spacing w:line="580" w:lineRule="exact"/>
        <w:ind w:firstLine="640" w:firstLineChars="200"/>
        <w:contextualSpacing/>
        <w:jc w:val="left"/>
        <w:rPr>
          <w:rFonts w:hint="eastAsia" w:ascii="仿宋_GB2312" w:hAnsi="宋体" w:cs="宋体"/>
          <w:color w:val="000000"/>
          <w:kern w:val="0"/>
          <w:szCs w:val="32"/>
          <w:highlight w:val="none"/>
          <w:shd w:val="clear" w:color="auto" w:fill="FFFFFF"/>
          <w:lang w:val="zh-CN"/>
        </w:rPr>
      </w:pPr>
      <w:r>
        <w:rPr>
          <w:rFonts w:hint="eastAsia" w:ascii="仿宋_GB2312" w:hAnsi="宋体" w:cs="宋体"/>
          <w:color w:val="000000"/>
          <w:kern w:val="0"/>
          <w:szCs w:val="32"/>
          <w:highlight w:val="none"/>
          <w:shd w:val="clear" w:color="auto" w:fill="FFFFFF"/>
          <w:lang w:val="zh-CN"/>
        </w:rPr>
        <w:t>（二）存在问题。</w:t>
      </w:r>
    </w:p>
    <w:p w14:paraId="3D9A7E9D">
      <w:pPr>
        <w:widowControl/>
        <w:adjustRightInd w:val="0"/>
        <w:snapToGrid w:val="0"/>
        <w:spacing w:line="580" w:lineRule="exact"/>
        <w:ind w:firstLine="640" w:firstLineChars="200"/>
        <w:contextualSpacing/>
        <w:jc w:val="left"/>
        <w:rPr>
          <w:rFonts w:hint="eastAsia" w:ascii="仿宋_GB2312" w:hAnsi="宋体" w:cs="宋体"/>
          <w:color w:val="000000"/>
          <w:kern w:val="0"/>
          <w:szCs w:val="32"/>
          <w:highlight w:val="none"/>
          <w:shd w:val="clear" w:color="auto" w:fill="FFFFFF"/>
          <w:lang w:val="zh-CN"/>
        </w:rPr>
      </w:pPr>
      <w:r>
        <w:rPr>
          <w:rFonts w:hint="eastAsia" w:ascii="仿宋_GB2312" w:hAnsi="宋体" w:cs="宋体"/>
          <w:color w:val="000000"/>
          <w:kern w:val="0"/>
          <w:szCs w:val="32"/>
          <w:highlight w:val="none"/>
          <w:shd w:val="clear" w:color="auto" w:fill="FFFFFF"/>
          <w:lang w:val="en-US" w:eastAsia="zh-CN"/>
        </w:rPr>
        <w:t>年初预算准确度不高，与实际执行数有一定的差距，年中需要做预算调整。</w:t>
      </w:r>
    </w:p>
    <w:p w14:paraId="0516BEE6">
      <w:pPr>
        <w:widowControl/>
        <w:numPr>
          <w:ilvl w:val="0"/>
          <w:numId w:val="3"/>
        </w:numPr>
        <w:adjustRightInd w:val="0"/>
        <w:snapToGrid w:val="0"/>
        <w:spacing w:line="580" w:lineRule="exact"/>
        <w:ind w:firstLine="640" w:firstLineChars="200"/>
        <w:contextualSpacing/>
        <w:jc w:val="left"/>
        <w:rPr>
          <w:rFonts w:hint="eastAsia" w:ascii="仿宋_GB2312" w:hAnsi="宋体" w:cs="宋体"/>
          <w:color w:val="000000"/>
          <w:kern w:val="0"/>
          <w:szCs w:val="32"/>
          <w:highlight w:val="none"/>
          <w:shd w:val="clear" w:color="auto" w:fill="FFFFFF"/>
          <w:lang w:val="zh-CN"/>
        </w:rPr>
      </w:pPr>
      <w:r>
        <w:rPr>
          <w:rFonts w:hint="eastAsia" w:ascii="仿宋_GB2312" w:hAnsi="宋体" w:cs="宋体"/>
          <w:color w:val="000000"/>
          <w:kern w:val="0"/>
          <w:szCs w:val="32"/>
          <w:highlight w:val="none"/>
          <w:shd w:val="clear" w:color="auto" w:fill="FFFFFF"/>
          <w:lang w:val="zh-CN"/>
        </w:rPr>
        <w:t>改进建议。</w:t>
      </w:r>
    </w:p>
    <w:p w14:paraId="621D8D9C">
      <w:pPr>
        <w:widowControl/>
        <w:adjustRightInd w:val="0"/>
        <w:snapToGrid w:val="0"/>
        <w:spacing w:line="580" w:lineRule="exact"/>
        <w:ind w:firstLine="640" w:firstLineChars="200"/>
        <w:contextualSpacing/>
        <w:jc w:val="left"/>
        <w:rPr>
          <w:rFonts w:hint="eastAsia" w:ascii="仿宋_GB2312" w:hAnsi="宋体" w:eastAsia="仿宋_GB2312" w:cs="宋体"/>
          <w:color w:val="000000"/>
          <w:kern w:val="0"/>
          <w:szCs w:val="32"/>
          <w:highlight w:val="none"/>
          <w:shd w:val="clear" w:color="auto" w:fill="FFFFFF"/>
          <w:lang w:val="en-US" w:eastAsia="zh-CN"/>
        </w:rPr>
      </w:pPr>
      <w:r>
        <w:rPr>
          <w:rFonts w:hint="eastAsia" w:ascii="仿宋_GB2312" w:hAnsi="宋体" w:cs="宋体"/>
          <w:color w:val="000000"/>
          <w:kern w:val="0"/>
          <w:szCs w:val="32"/>
          <w:highlight w:val="none"/>
          <w:shd w:val="clear" w:color="auto" w:fill="FFFFFF"/>
          <w:lang w:val="en-US" w:eastAsia="zh-CN"/>
        </w:rPr>
        <w:t xml:space="preserve">  进一步加强学习，</w:t>
      </w:r>
      <w:r>
        <w:rPr>
          <w:rFonts w:hint="eastAsia" w:ascii="仿宋_GB2312" w:hAnsi="宋体" w:cs="宋体"/>
          <w:color w:val="000000"/>
          <w:kern w:val="0"/>
          <w:szCs w:val="32"/>
          <w:highlight w:val="none"/>
          <w:shd w:val="clear" w:color="auto" w:fill="FFFFFF"/>
          <w:lang w:val="zh-CN"/>
        </w:rPr>
        <w:t>遵循先有预算、后有支出的原则，加强财务管理和内部控制监督，严禁超预算和无预算安排支出，严格开支范围和标准，严格支出报销审核。</w:t>
      </w:r>
    </w:p>
    <w:p w14:paraId="0A985A4E">
      <w:pPr>
        <w:rPr>
          <w:highlight w:val="none"/>
        </w:rPr>
      </w:pPr>
    </w:p>
    <w:p w14:paraId="14541ECA">
      <w:pPr>
        <w:widowControl/>
        <w:numPr>
          <w:ilvl w:val="0"/>
          <w:numId w:val="0"/>
        </w:numPr>
        <w:adjustRightInd w:val="0"/>
        <w:snapToGrid w:val="0"/>
        <w:spacing w:line="580" w:lineRule="exact"/>
        <w:contextualSpacing/>
        <w:jc w:val="left"/>
        <w:rPr>
          <w:rFonts w:hint="eastAsia" w:ascii="仿宋_GB2312" w:hAnsi="宋体" w:cs="宋体"/>
          <w:color w:val="000000"/>
          <w:kern w:val="0"/>
          <w:szCs w:val="32"/>
          <w:highlight w:val="none"/>
          <w:shd w:val="clear" w:color="auto" w:fill="FFFFFF"/>
          <w:lang w:val="en-US" w:eastAsia="zh-CN"/>
        </w:rPr>
      </w:pPr>
    </w:p>
    <w:p w14:paraId="3097AABA">
      <w:pPr>
        <w:widowControl/>
        <w:numPr>
          <w:ilvl w:val="0"/>
          <w:numId w:val="0"/>
        </w:numPr>
        <w:adjustRightInd w:val="0"/>
        <w:snapToGrid w:val="0"/>
        <w:spacing w:line="580" w:lineRule="exact"/>
        <w:contextualSpacing/>
        <w:jc w:val="left"/>
        <w:rPr>
          <w:rFonts w:hint="eastAsia" w:ascii="仿宋_GB2312" w:hAnsi="宋体" w:cs="宋体"/>
          <w:color w:val="000000"/>
          <w:kern w:val="0"/>
          <w:szCs w:val="32"/>
          <w:highlight w:val="none"/>
          <w:shd w:val="clear" w:color="auto" w:fill="FFFFFF"/>
          <w:lang w:val="en-US" w:eastAsia="zh-CN"/>
        </w:rPr>
      </w:pPr>
    </w:p>
    <w:p w14:paraId="76F87DC1">
      <w:pPr>
        <w:widowControl/>
        <w:numPr>
          <w:ilvl w:val="0"/>
          <w:numId w:val="0"/>
        </w:numPr>
        <w:adjustRightInd w:val="0"/>
        <w:snapToGrid w:val="0"/>
        <w:spacing w:line="240" w:lineRule="auto"/>
        <w:ind w:left="6080" w:hanging="6080" w:hangingChars="1900"/>
        <w:contextualSpacing/>
        <w:jc w:val="left"/>
        <w:rPr>
          <w:rFonts w:hint="default" w:ascii="仿宋_GB2312" w:hAnsi="宋体" w:cs="宋体"/>
          <w:color w:val="000000"/>
          <w:kern w:val="0"/>
          <w:szCs w:val="32"/>
          <w:highlight w:val="none"/>
          <w:shd w:val="clear" w:color="auto" w:fill="FFFFFF"/>
          <w:lang w:val="en-US" w:eastAsia="zh-CN"/>
        </w:rPr>
      </w:pPr>
      <w:r>
        <w:rPr>
          <w:rFonts w:hint="eastAsia" w:ascii="仿宋_GB2312" w:hAnsi="宋体" w:cs="宋体"/>
          <w:color w:val="000000"/>
          <w:kern w:val="0"/>
          <w:szCs w:val="32"/>
          <w:highlight w:val="none"/>
          <w:shd w:val="clear" w:color="auto" w:fill="FFFFFF"/>
          <w:lang w:val="en-US" w:eastAsia="zh-CN"/>
        </w:rPr>
        <w:t xml:space="preserve">                                     </w:t>
      </w:r>
    </w:p>
    <w:sectPr>
      <w:headerReference r:id="rId3" w:type="default"/>
      <w:footerReference r:id="rId4" w:type="even"/>
      <w:pgSz w:w="11906" w:h="16838"/>
      <w:pgMar w:top="907" w:right="1361" w:bottom="851" w:left="1361" w:header="851" w:footer="992" w:gutter="0"/>
      <w:pgNumType w:fmt="numberInDash" w:start="12"/>
      <w:cols w:space="425" w:num="1"/>
      <w:docGrid w:type="lines" w:linePitch="435"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D8884F22-24ED-4E6B-9336-A05AE46912D4}"/>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embedRegular r:id="rId2" w:fontKey="{16B26D7E-851D-4847-B822-CA9D4A4F4918}"/>
  </w:font>
  <w:font w:name="仿宋">
    <w:panose1 w:val="02010609060101010101"/>
    <w:charset w:val="86"/>
    <w:family w:val="modern"/>
    <w:pitch w:val="default"/>
    <w:sig w:usb0="800002BF" w:usb1="38CF7CFA" w:usb2="00000016" w:usb3="00000000" w:csb0="00040001" w:csb1="00000000"/>
    <w:embedRegular r:id="rId3" w:fontKey="{6EDCF350-95B5-4BC4-937B-B789956EA62C}"/>
  </w:font>
  <w:font w:name="仿宋_GB2312">
    <w:panose1 w:val="02010609030101010101"/>
    <w:charset w:val="86"/>
    <w:family w:val="modern"/>
    <w:pitch w:val="default"/>
    <w:sig w:usb0="00000001" w:usb1="080E0000" w:usb2="00000000" w:usb3="00000000" w:csb0="00040000" w:csb1="00000000"/>
    <w:embedRegular r:id="rId4" w:fontKey="{37F32CCA-EE7A-40C7-8F3C-85E2DC1957EE}"/>
  </w:font>
  <w:font w:name="??">
    <w:altName w:val="Times New Roman"/>
    <w:panose1 w:val="00000000000000000000"/>
    <w:charset w:val="00"/>
    <w:family w:val="roman"/>
    <w:pitch w:val="default"/>
    <w:sig w:usb0="00000000" w:usb1="00000000" w:usb2="00000000" w:usb3="00000000" w:csb0="00000000" w:csb1="00000000"/>
  </w:font>
  <w:font w:name="楷体_GB2312">
    <w:panose1 w:val="02010609030101010101"/>
    <w:charset w:val="86"/>
    <w:family w:val="modern"/>
    <w:pitch w:val="default"/>
    <w:sig w:usb0="00000001" w:usb1="080E0000" w:usb2="00000000" w:usb3="00000000" w:csb0="00040000" w:csb1="00000000"/>
    <w:embedRegular r:id="rId5" w:fontKey="{CC637724-08A2-4376-857F-5D660D73D37E}"/>
  </w:font>
  <w:font w:name="方正小标宋简体">
    <w:panose1 w:val="02000000000000000000"/>
    <w:charset w:val="86"/>
    <w:family w:val="auto"/>
    <w:pitch w:val="default"/>
    <w:sig w:usb0="00000001" w:usb1="080E0000" w:usb2="00000000" w:usb3="00000000" w:csb0="00040000" w:csb1="00000000"/>
    <w:embedRegular r:id="rId6" w:fontKey="{08C1F215-C216-4172-9B18-B07ABEDB2996}"/>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430831518"/>
      <w:docPartObj>
        <w:docPartGallery w:val="autotext"/>
      </w:docPartObj>
    </w:sdtPr>
    <w:sdtContent>
      <w:p w14:paraId="4099495D">
        <w:pPr>
          <w:pStyle w:val="4"/>
        </w:pPr>
        <w:r>
          <w:rPr>
            <w:rFonts w:asciiTheme="minorEastAsia" w:hAnsiTheme="minorEastAsia" w:eastAsiaTheme="minorEastAsia"/>
            <w:sz w:val="28"/>
            <w:szCs w:val="28"/>
          </w:rPr>
          <w:fldChar w:fldCharType="begin"/>
        </w:r>
        <w:r>
          <w:rPr>
            <w:rFonts w:asciiTheme="minorEastAsia" w:hAnsiTheme="minorEastAsia" w:eastAsiaTheme="minorEastAsia"/>
            <w:sz w:val="28"/>
            <w:szCs w:val="28"/>
          </w:rPr>
          <w:instrText xml:space="preserve"> PAGE   \* MERGEFORMAT </w:instrText>
        </w:r>
        <w:r>
          <w:rPr>
            <w:rFonts w:asciiTheme="minorEastAsia" w:hAnsiTheme="minorEastAsia" w:eastAsiaTheme="minorEastAsia"/>
            <w:sz w:val="28"/>
            <w:szCs w:val="28"/>
          </w:rPr>
          <w:fldChar w:fldCharType="separate"/>
        </w:r>
        <w:r>
          <w:rPr>
            <w:rFonts w:asciiTheme="minorEastAsia" w:hAnsiTheme="minorEastAsia" w:eastAsiaTheme="minorEastAsia"/>
            <w:sz w:val="28"/>
            <w:szCs w:val="28"/>
            <w:lang w:val="zh-CN"/>
          </w:rPr>
          <w:t>-</w:t>
        </w:r>
        <w:r>
          <w:rPr>
            <w:rFonts w:asciiTheme="minorEastAsia" w:hAnsiTheme="minorEastAsia" w:eastAsiaTheme="minorEastAsia"/>
            <w:sz w:val="28"/>
            <w:szCs w:val="28"/>
          </w:rPr>
          <w:t xml:space="preserve"> 12 -</w:t>
        </w:r>
        <w:r>
          <w:rPr>
            <w:rFonts w:asciiTheme="minorEastAsia" w:hAnsiTheme="minorEastAsia" w:eastAsiaTheme="minorEastAsia"/>
            <w:sz w:val="28"/>
            <w:szCs w:val="28"/>
          </w:rPr>
          <w:fldChar w:fldCharType="end"/>
        </w:r>
      </w:p>
    </w:sdtContent>
  </w:sdt>
  <w:p w14:paraId="49933FF0">
    <w:pPr>
      <w:pStyle w:val="4"/>
      <w:tabs>
        <w:tab w:val="right" w:pos="9184"/>
        <w:tab w:val="clear" w:pos="4153"/>
        <w:tab w:val="clear" w:pos="8306"/>
      </w:tabs>
      <w:rPr>
        <w:rFonts w:ascii="宋体" w:hAnsi="宋体"/>
        <w:sz w:val="28"/>
        <w:szCs w:val="28"/>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DCC47E5">
    <w:pPr>
      <w:pStyle w:val="5"/>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C77CE77"/>
    <w:multiLevelType w:val="singleLevel"/>
    <w:tmpl w:val="FC77CE77"/>
    <w:lvl w:ilvl="0" w:tentative="0">
      <w:start w:val="3"/>
      <w:numFmt w:val="chineseCounting"/>
      <w:suff w:val="nothing"/>
      <w:lvlText w:val="（%1）"/>
      <w:lvlJc w:val="left"/>
      <w:rPr>
        <w:rFonts w:hint="eastAsia"/>
      </w:rPr>
    </w:lvl>
  </w:abstractNum>
  <w:abstractNum w:abstractNumId="1">
    <w:nsid w:val="171D9561"/>
    <w:multiLevelType w:val="singleLevel"/>
    <w:tmpl w:val="171D9561"/>
    <w:lvl w:ilvl="0" w:tentative="0">
      <w:start w:val="2"/>
      <w:numFmt w:val="chineseCounting"/>
      <w:suff w:val="nothing"/>
      <w:lvlText w:val="（%1）"/>
      <w:lvlJc w:val="left"/>
      <w:rPr>
        <w:rFonts w:hint="eastAsia"/>
      </w:rPr>
    </w:lvl>
  </w:abstractNum>
  <w:abstractNum w:abstractNumId="2">
    <w:nsid w:val="1ED14139"/>
    <w:multiLevelType w:val="singleLevel"/>
    <w:tmpl w:val="1ED14139"/>
    <w:lvl w:ilvl="0" w:tentative="0">
      <w:start w:val="3"/>
      <w:numFmt w:val="decimal"/>
      <w:lvlText w:val="(%1)"/>
      <w:lvlJc w:val="left"/>
      <w:pPr>
        <w:tabs>
          <w:tab w:val="left" w:pos="312"/>
        </w:tabs>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documentProtection w:enforcement="0"/>
  <w:defaultTabStop w:val="420"/>
  <w:drawingGridHorizontalSpacing w:val="160"/>
  <w:drawingGridVerticalSpacing w:val="435"/>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zU1MjFjMDUwODIwZDg4NDczZTI5ZmU1NTQ5YzljMTkifQ=="/>
  </w:docVars>
  <w:rsids>
    <w:rsidRoot w:val="00EC0174"/>
    <w:rsid w:val="00006E4D"/>
    <w:rsid w:val="00021652"/>
    <w:rsid w:val="00030311"/>
    <w:rsid w:val="00030782"/>
    <w:rsid w:val="00030B66"/>
    <w:rsid w:val="0006102A"/>
    <w:rsid w:val="00065B0F"/>
    <w:rsid w:val="00065E7E"/>
    <w:rsid w:val="000820BB"/>
    <w:rsid w:val="0008241B"/>
    <w:rsid w:val="00092280"/>
    <w:rsid w:val="00097FAE"/>
    <w:rsid w:val="000A3233"/>
    <w:rsid w:val="000A7CE3"/>
    <w:rsid w:val="000B04D6"/>
    <w:rsid w:val="000B15CE"/>
    <w:rsid w:val="000C40C6"/>
    <w:rsid w:val="000C79C1"/>
    <w:rsid w:val="000D208A"/>
    <w:rsid w:val="000E037E"/>
    <w:rsid w:val="000F659A"/>
    <w:rsid w:val="000F77B0"/>
    <w:rsid w:val="0010235D"/>
    <w:rsid w:val="00103A47"/>
    <w:rsid w:val="00106D4D"/>
    <w:rsid w:val="001119A2"/>
    <w:rsid w:val="001221D6"/>
    <w:rsid w:val="0012510A"/>
    <w:rsid w:val="00125F67"/>
    <w:rsid w:val="001261AE"/>
    <w:rsid w:val="001348A4"/>
    <w:rsid w:val="0014117C"/>
    <w:rsid w:val="00146FE8"/>
    <w:rsid w:val="0014767B"/>
    <w:rsid w:val="00147AED"/>
    <w:rsid w:val="00177AAF"/>
    <w:rsid w:val="00183850"/>
    <w:rsid w:val="00184D9F"/>
    <w:rsid w:val="0018561A"/>
    <w:rsid w:val="001A4749"/>
    <w:rsid w:val="001A4842"/>
    <w:rsid w:val="001A5833"/>
    <w:rsid w:val="001C2158"/>
    <w:rsid w:val="001C51F2"/>
    <w:rsid w:val="001C73AB"/>
    <w:rsid w:val="001D2EA4"/>
    <w:rsid w:val="001F47CE"/>
    <w:rsid w:val="001F5776"/>
    <w:rsid w:val="0020620D"/>
    <w:rsid w:val="002069BC"/>
    <w:rsid w:val="002069EB"/>
    <w:rsid w:val="002201B0"/>
    <w:rsid w:val="00220900"/>
    <w:rsid w:val="0022307E"/>
    <w:rsid w:val="00224D05"/>
    <w:rsid w:val="002323A3"/>
    <w:rsid w:val="00236EF7"/>
    <w:rsid w:val="0024058A"/>
    <w:rsid w:val="002410C0"/>
    <w:rsid w:val="00252894"/>
    <w:rsid w:val="00253FA6"/>
    <w:rsid w:val="00254728"/>
    <w:rsid w:val="002550E7"/>
    <w:rsid w:val="002558D4"/>
    <w:rsid w:val="002560E2"/>
    <w:rsid w:val="00264CFA"/>
    <w:rsid w:val="00270DD7"/>
    <w:rsid w:val="00276F4A"/>
    <w:rsid w:val="00280BFB"/>
    <w:rsid w:val="00280C88"/>
    <w:rsid w:val="002973A4"/>
    <w:rsid w:val="002A0195"/>
    <w:rsid w:val="002B5B34"/>
    <w:rsid w:val="002B6906"/>
    <w:rsid w:val="002B7215"/>
    <w:rsid w:val="002C0AFD"/>
    <w:rsid w:val="002C59D0"/>
    <w:rsid w:val="002D1A18"/>
    <w:rsid w:val="002D6C79"/>
    <w:rsid w:val="002E1104"/>
    <w:rsid w:val="002E3FDD"/>
    <w:rsid w:val="00300EF4"/>
    <w:rsid w:val="00301353"/>
    <w:rsid w:val="00305FF6"/>
    <w:rsid w:val="00307568"/>
    <w:rsid w:val="00311506"/>
    <w:rsid w:val="00316ADB"/>
    <w:rsid w:val="00317623"/>
    <w:rsid w:val="00335F67"/>
    <w:rsid w:val="003361E9"/>
    <w:rsid w:val="00350A65"/>
    <w:rsid w:val="00350F79"/>
    <w:rsid w:val="00361C85"/>
    <w:rsid w:val="00371352"/>
    <w:rsid w:val="00376753"/>
    <w:rsid w:val="0038541D"/>
    <w:rsid w:val="00387818"/>
    <w:rsid w:val="00391A13"/>
    <w:rsid w:val="00391FD0"/>
    <w:rsid w:val="003A44FC"/>
    <w:rsid w:val="003B3299"/>
    <w:rsid w:val="003D10A2"/>
    <w:rsid w:val="003D33B8"/>
    <w:rsid w:val="003D624D"/>
    <w:rsid w:val="003D719A"/>
    <w:rsid w:val="003F5EB7"/>
    <w:rsid w:val="003F7FE2"/>
    <w:rsid w:val="004004E7"/>
    <w:rsid w:val="00416E1A"/>
    <w:rsid w:val="00426A3F"/>
    <w:rsid w:val="004277D4"/>
    <w:rsid w:val="00461638"/>
    <w:rsid w:val="004706FA"/>
    <w:rsid w:val="00474D8D"/>
    <w:rsid w:val="00475CCD"/>
    <w:rsid w:val="00477266"/>
    <w:rsid w:val="004811BC"/>
    <w:rsid w:val="004838F2"/>
    <w:rsid w:val="00486492"/>
    <w:rsid w:val="00492CF6"/>
    <w:rsid w:val="004A4C9D"/>
    <w:rsid w:val="004C2078"/>
    <w:rsid w:val="004C228F"/>
    <w:rsid w:val="004E752F"/>
    <w:rsid w:val="004F1E37"/>
    <w:rsid w:val="00515198"/>
    <w:rsid w:val="00521C44"/>
    <w:rsid w:val="005274E1"/>
    <w:rsid w:val="00531DDF"/>
    <w:rsid w:val="00535FA6"/>
    <w:rsid w:val="00542AB7"/>
    <w:rsid w:val="0055358D"/>
    <w:rsid w:val="005540C8"/>
    <w:rsid w:val="00555809"/>
    <w:rsid w:val="00557A35"/>
    <w:rsid w:val="00562165"/>
    <w:rsid w:val="005645BC"/>
    <w:rsid w:val="005756AF"/>
    <w:rsid w:val="00575A4A"/>
    <w:rsid w:val="00591B6F"/>
    <w:rsid w:val="005A1DAF"/>
    <w:rsid w:val="005C17C8"/>
    <w:rsid w:val="005C2098"/>
    <w:rsid w:val="005C2E6C"/>
    <w:rsid w:val="005D0CCF"/>
    <w:rsid w:val="005D1C01"/>
    <w:rsid w:val="005E297D"/>
    <w:rsid w:val="005E3F12"/>
    <w:rsid w:val="005F627E"/>
    <w:rsid w:val="0061652E"/>
    <w:rsid w:val="006205E9"/>
    <w:rsid w:val="00622D0B"/>
    <w:rsid w:val="006270DA"/>
    <w:rsid w:val="00630B75"/>
    <w:rsid w:val="00634DFF"/>
    <w:rsid w:val="00635337"/>
    <w:rsid w:val="0064265B"/>
    <w:rsid w:val="0064519C"/>
    <w:rsid w:val="0065082E"/>
    <w:rsid w:val="006512D0"/>
    <w:rsid w:val="006560A3"/>
    <w:rsid w:val="00656301"/>
    <w:rsid w:val="006600C9"/>
    <w:rsid w:val="006701CC"/>
    <w:rsid w:val="00671F58"/>
    <w:rsid w:val="006762A4"/>
    <w:rsid w:val="006900E7"/>
    <w:rsid w:val="006A00A8"/>
    <w:rsid w:val="006A482D"/>
    <w:rsid w:val="006B11E0"/>
    <w:rsid w:val="006B386A"/>
    <w:rsid w:val="006B7CB4"/>
    <w:rsid w:val="006C24D3"/>
    <w:rsid w:val="006C7917"/>
    <w:rsid w:val="006E51AE"/>
    <w:rsid w:val="0070081F"/>
    <w:rsid w:val="007018F5"/>
    <w:rsid w:val="00710897"/>
    <w:rsid w:val="00712F45"/>
    <w:rsid w:val="00734305"/>
    <w:rsid w:val="007370E1"/>
    <w:rsid w:val="007732A1"/>
    <w:rsid w:val="00774C4A"/>
    <w:rsid w:val="00782BBB"/>
    <w:rsid w:val="007A0690"/>
    <w:rsid w:val="007A078F"/>
    <w:rsid w:val="007B34D4"/>
    <w:rsid w:val="007C0633"/>
    <w:rsid w:val="007D086C"/>
    <w:rsid w:val="007F1BE1"/>
    <w:rsid w:val="007F707F"/>
    <w:rsid w:val="007F794C"/>
    <w:rsid w:val="007F7AC9"/>
    <w:rsid w:val="00803B42"/>
    <w:rsid w:val="008073EF"/>
    <w:rsid w:val="0081095C"/>
    <w:rsid w:val="00810C41"/>
    <w:rsid w:val="008212FF"/>
    <w:rsid w:val="0082593B"/>
    <w:rsid w:val="00827537"/>
    <w:rsid w:val="0083294D"/>
    <w:rsid w:val="008468EA"/>
    <w:rsid w:val="00867140"/>
    <w:rsid w:val="00881134"/>
    <w:rsid w:val="008904F0"/>
    <w:rsid w:val="008B2F27"/>
    <w:rsid w:val="008B4A72"/>
    <w:rsid w:val="008B585E"/>
    <w:rsid w:val="008E6C0C"/>
    <w:rsid w:val="008F1E63"/>
    <w:rsid w:val="008F3052"/>
    <w:rsid w:val="00901E19"/>
    <w:rsid w:val="009214F7"/>
    <w:rsid w:val="00921CD7"/>
    <w:rsid w:val="00940EB6"/>
    <w:rsid w:val="00944771"/>
    <w:rsid w:val="009601FC"/>
    <w:rsid w:val="00965426"/>
    <w:rsid w:val="0096654A"/>
    <w:rsid w:val="009711E4"/>
    <w:rsid w:val="00971572"/>
    <w:rsid w:val="00981E55"/>
    <w:rsid w:val="00986CEF"/>
    <w:rsid w:val="00987212"/>
    <w:rsid w:val="009A0E5F"/>
    <w:rsid w:val="009F1AF3"/>
    <w:rsid w:val="009F233E"/>
    <w:rsid w:val="00A024AB"/>
    <w:rsid w:val="00A050A5"/>
    <w:rsid w:val="00A05B8B"/>
    <w:rsid w:val="00A1372F"/>
    <w:rsid w:val="00A170EC"/>
    <w:rsid w:val="00A217B3"/>
    <w:rsid w:val="00A23D04"/>
    <w:rsid w:val="00A277D9"/>
    <w:rsid w:val="00A30CEB"/>
    <w:rsid w:val="00A31318"/>
    <w:rsid w:val="00A5432A"/>
    <w:rsid w:val="00A55F8A"/>
    <w:rsid w:val="00A9670E"/>
    <w:rsid w:val="00AA1423"/>
    <w:rsid w:val="00AB7996"/>
    <w:rsid w:val="00AC43C3"/>
    <w:rsid w:val="00AE2EAD"/>
    <w:rsid w:val="00AF77BE"/>
    <w:rsid w:val="00B11CEE"/>
    <w:rsid w:val="00B23428"/>
    <w:rsid w:val="00B264BF"/>
    <w:rsid w:val="00B42E74"/>
    <w:rsid w:val="00B46874"/>
    <w:rsid w:val="00B50E8F"/>
    <w:rsid w:val="00B51151"/>
    <w:rsid w:val="00B523E4"/>
    <w:rsid w:val="00B52B4F"/>
    <w:rsid w:val="00B6108C"/>
    <w:rsid w:val="00B649AD"/>
    <w:rsid w:val="00B64B9C"/>
    <w:rsid w:val="00B67A3E"/>
    <w:rsid w:val="00B735CC"/>
    <w:rsid w:val="00B82C95"/>
    <w:rsid w:val="00B83F87"/>
    <w:rsid w:val="00B84DFD"/>
    <w:rsid w:val="00BB4E38"/>
    <w:rsid w:val="00BC3879"/>
    <w:rsid w:val="00BD0E0D"/>
    <w:rsid w:val="00BD41BC"/>
    <w:rsid w:val="00BD55AD"/>
    <w:rsid w:val="00BE0305"/>
    <w:rsid w:val="00BF15F0"/>
    <w:rsid w:val="00BF7DF9"/>
    <w:rsid w:val="00C03559"/>
    <w:rsid w:val="00C05395"/>
    <w:rsid w:val="00C22AD7"/>
    <w:rsid w:val="00C272C1"/>
    <w:rsid w:val="00C32A68"/>
    <w:rsid w:val="00C34282"/>
    <w:rsid w:val="00C35350"/>
    <w:rsid w:val="00C3564B"/>
    <w:rsid w:val="00C53721"/>
    <w:rsid w:val="00C64D2E"/>
    <w:rsid w:val="00C70F97"/>
    <w:rsid w:val="00C7497C"/>
    <w:rsid w:val="00C757A2"/>
    <w:rsid w:val="00C75966"/>
    <w:rsid w:val="00C76577"/>
    <w:rsid w:val="00C80225"/>
    <w:rsid w:val="00C81349"/>
    <w:rsid w:val="00C93139"/>
    <w:rsid w:val="00CA08A0"/>
    <w:rsid w:val="00CA32D2"/>
    <w:rsid w:val="00CA4E07"/>
    <w:rsid w:val="00CA737D"/>
    <w:rsid w:val="00CB1EF5"/>
    <w:rsid w:val="00CC05D4"/>
    <w:rsid w:val="00CC7166"/>
    <w:rsid w:val="00CF5275"/>
    <w:rsid w:val="00CF6136"/>
    <w:rsid w:val="00D0023D"/>
    <w:rsid w:val="00D006C6"/>
    <w:rsid w:val="00D14A65"/>
    <w:rsid w:val="00D162B9"/>
    <w:rsid w:val="00D251E2"/>
    <w:rsid w:val="00D254F4"/>
    <w:rsid w:val="00D263A7"/>
    <w:rsid w:val="00D26B5D"/>
    <w:rsid w:val="00D33159"/>
    <w:rsid w:val="00D33A19"/>
    <w:rsid w:val="00D355B5"/>
    <w:rsid w:val="00D43DC3"/>
    <w:rsid w:val="00D51791"/>
    <w:rsid w:val="00D5281E"/>
    <w:rsid w:val="00D6531B"/>
    <w:rsid w:val="00D6612D"/>
    <w:rsid w:val="00D71AD9"/>
    <w:rsid w:val="00D73C02"/>
    <w:rsid w:val="00D872ED"/>
    <w:rsid w:val="00D913C6"/>
    <w:rsid w:val="00DA0236"/>
    <w:rsid w:val="00DA5D51"/>
    <w:rsid w:val="00DA5E29"/>
    <w:rsid w:val="00DA61CA"/>
    <w:rsid w:val="00DB66BB"/>
    <w:rsid w:val="00DB73AF"/>
    <w:rsid w:val="00DC2865"/>
    <w:rsid w:val="00DD0894"/>
    <w:rsid w:val="00DE1888"/>
    <w:rsid w:val="00DF1250"/>
    <w:rsid w:val="00DF6EF7"/>
    <w:rsid w:val="00E05454"/>
    <w:rsid w:val="00E074C3"/>
    <w:rsid w:val="00E23329"/>
    <w:rsid w:val="00E24D6D"/>
    <w:rsid w:val="00E341B2"/>
    <w:rsid w:val="00E42633"/>
    <w:rsid w:val="00E5699E"/>
    <w:rsid w:val="00E570E1"/>
    <w:rsid w:val="00E72773"/>
    <w:rsid w:val="00E76739"/>
    <w:rsid w:val="00E81946"/>
    <w:rsid w:val="00E82BB7"/>
    <w:rsid w:val="00E86D13"/>
    <w:rsid w:val="00E936C2"/>
    <w:rsid w:val="00E95346"/>
    <w:rsid w:val="00EA0CEF"/>
    <w:rsid w:val="00EA2E2A"/>
    <w:rsid w:val="00EB79D2"/>
    <w:rsid w:val="00EC0174"/>
    <w:rsid w:val="00ED3EEB"/>
    <w:rsid w:val="00ED5749"/>
    <w:rsid w:val="00ED5FA3"/>
    <w:rsid w:val="00ED68C4"/>
    <w:rsid w:val="00ED6A4E"/>
    <w:rsid w:val="00ED72EA"/>
    <w:rsid w:val="00EE3A4F"/>
    <w:rsid w:val="00EF10C3"/>
    <w:rsid w:val="00EF3BD2"/>
    <w:rsid w:val="00F16BCE"/>
    <w:rsid w:val="00F45DA1"/>
    <w:rsid w:val="00F5267B"/>
    <w:rsid w:val="00F53E8B"/>
    <w:rsid w:val="00F622C6"/>
    <w:rsid w:val="00F663FD"/>
    <w:rsid w:val="00F743B0"/>
    <w:rsid w:val="00F82409"/>
    <w:rsid w:val="00F8264F"/>
    <w:rsid w:val="00F833E9"/>
    <w:rsid w:val="00F84580"/>
    <w:rsid w:val="00F873DA"/>
    <w:rsid w:val="00F95982"/>
    <w:rsid w:val="00FA006C"/>
    <w:rsid w:val="00FA190E"/>
    <w:rsid w:val="00FA288B"/>
    <w:rsid w:val="00FA2997"/>
    <w:rsid w:val="00FA2C71"/>
    <w:rsid w:val="00FB3345"/>
    <w:rsid w:val="00FD0228"/>
    <w:rsid w:val="00FD3BB7"/>
    <w:rsid w:val="00FE0D93"/>
    <w:rsid w:val="00FF2572"/>
    <w:rsid w:val="00FF32AD"/>
    <w:rsid w:val="019B2DDD"/>
    <w:rsid w:val="0214168C"/>
    <w:rsid w:val="036562E2"/>
    <w:rsid w:val="04DE4DA4"/>
    <w:rsid w:val="0687007B"/>
    <w:rsid w:val="07A53CFD"/>
    <w:rsid w:val="08B52F23"/>
    <w:rsid w:val="0A9D5096"/>
    <w:rsid w:val="0AF4746C"/>
    <w:rsid w:val="0BFA0FE6"/>
    <w:rsid w:val="0D137BEC"/>
    <w:rsid w:val="0DA246FF"/>
    <w:rsid w:val="0FBC7A8A"/>
    <w:rsid w:val="1255075D"/>
    <w:rsid w:val="12A37F0D"/>
    <w:rsid w:val="162E5398"/>
    <w:rsid w:val="163679A6"/>
    <w:rsid w:val="16402092"/>
    <w:rsid w:val="16783E8C"/>
    <w:rsid w:val="170C0A9B"/>
    <w:rsid w:val="18E93D78"/>
    <w:rsid w:val="1B563D61"/>
    <w:rsid w:val="1C744224"/>
    <w:rsid w:val="1D594CC5"/>
    <w:rsid w:val="1E4F29CE"/>
    <w:rsid w:val="1FB36E66"/>
    <w:rsid w:val="228676DB"/>
    <w:rsid w:val="2294022F"/>
    <w:rsid w:val="24522680"/>
    <w:rsid w:val="259308F6"/>
    <w:rsid w:val="261F2828"/>
    <w:rsid w:val="26DA6268"/>
    <w:rsid w:val="27ED6ADD"/>
    <w:rsid w:val="292C3A53"/>
    <w:rsid w:val="29E36FD4"/>
    <w:rsid w:val="2A1D3E9C"/>
    <w:rsid w:val="2A5D7BA2"/>
    <w:rsid w:val="2D5F7483"/>
    <w:rsid w:val="30F210F0"/>
    <w:rsid w:val="3281138A"/>
    <w:rsid w:val="32B45A90"/>
    <w:rsid w:val="34073E42"/>
    <w:rsid w:val="34921D39"/>
    <w:rsid w:val="35481E88"/>
    <w:rsid w:val="38061CDB"/>
    <w:rsid w:val="38FA5B32"/>
    <w:rsid w:val="39017F47"/>
    <w:rsid w:val="39703CCB"/>
    <w:rsid w:val="3A19022F"/>
    <w:rsid w:val="3A6E4D71"/>
    <w:rsid w:val="3D015D1B"/>
    <w:rsid w:val="3D5E6C31"/>
    <w:rsid w:val="3D634B17"/>
    <w:rsid w:val="3F7C16E7"/>
    <w:rsid w:val="40273E03"/>
    <w:rsid w:val="41843FA6"/>
    <w:rsid w:val="41BC497F"/>
    <w:rsid w:val="429C74FB"/>
    <w:rsid w:val="43BC772C"/>
    <w:rsid w:val="43D14511"/>
    <w:rsid w:val="43D36CA4"/>
    <w:rsid w:val="4802155C"/>
    <w:rsid w:val="48C80C76"/>
    <w:rsid w:val="493F6689"/>
    <w:rsid w:val="497B2B59"/>
    <w:rsid w:val="4BE14125"/>
    <w:rsid w:val="4C1C01AC"/>
    <w:rsid w:val="4C860339"/>
    <w:rsid w:val="51080E91"/>
    <w:rsid w:val="51676880"/>
    <w:rsid w:val="52C61FE6"/>
    <w:rsid w:val="538144E9"/>
    <w:rsid w:val="561D3752"/>
    <w:rsid w:val="58044D62"/>
    <w:rsid w:val="5844319C"/>
    <w:rsid w:val="5ADC5AE6"/>
    <w:rsid w:val="5B056F42"/>
    <w:rsid w:val="5D881CA5"/>
    <w:rsid w:val="5F456AFD"/>
    <w:rsid w:val="60255173"/>
    <w:rsid w:val="628C5406"/>
    <w:rsid w:val="64AE37D8"/>
    <w:rsid w:val="65046871"/>
    <w:rsid w:val="652B0DCD"/>
    <w:rsid w:val="65BD0C9C"/>
    <w:rsid w:val="65D00873"/>
    <w:rsid w:val="670007C4"/>
    <w:rsid w:val="672D2FF9"/>
    <w:rsid w:val="6AE74889"/>
    <w:rsid w:val="6B7E698D"/>
    <w:rsid w:val="6C0C2870"/>
    <w:rsid w:val="6DA9391B"/>
    <w:rsid w:val="6E9B17D9"/>
    <w:rsid w:val="6EF941B5"/>
    <w:rsid w:val="701A3864"/>
    <w:rsid w:val="702A4314"/>
    <w:rsid w:val="708C700C"/>
    <w:rsid w:val="73125D4C"/>
    <w:rsid w:val="73596DAF"/>
    <w:rsid w:val="73675220"/>
    <w:rsid w:val="7433426D"/>
    <w:rsid w:val="74DD6F66"/>
    <w:rsid w:val="76C829EB"/>
    <w:rsid w:val="797A7DE0"/>
    <w:rsid w:val="7B6D0176"/>
    <w:rsid w:val="7D4C6F09"/>
    <w:rsid w:val="7E425276"/>
    <w:rsid w:val="7F0C33C0"/>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仿宋_GB2312" w:cs="Times New Roman"/>
      <w:kern w:val="2"/>
      <w:sz w:val="32"/>
      <w:szCs w:val="24"/>
      <w:lang w:val="en-US" w:eastAsia="zh-CN" w:bidi="ar-SA"/>
    </w:rPr>
  </w:style>
  <w:style w:type="character" w:default="1" w:styleId="8">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Document Map"/>
    <w:basedOn w:val="1"/>
    <w:link w:val="12"/>
    <w:qFormat/>
    <w:uiPriority w:val="0"/>
    <w:rPr>
      <w:rFonts w:ascii="宋体" w:eastAsia="宋体"/>
      <w:sz w:val="18"/>
      <w:szCs w:val="18"/>
    </w:rPr>
  </w:style>
  <w:style w:type="paragraph" w:styleId="3">
    <w:name w:val="Balloon Text"/>
    <w:basedOn w:val="1"/>
    <w:semiHidden/>
    <w:qFormat/>
    <w:uiPriority w:val="0"/>
    <w:rPr>
      <w:sz w:val="18"/>
      <w:szCs w:val="18"/>
    </w:rPr>
  </w:style>
  <w:style w:type="paragraph" w:styleId="4">
    <w:name w:val="footer"/>
    <w:basedOn w:val="1"/>
    <w:link w:val="14"/>
    <w:qFormat/>
    <w:uiPriority w:val="99"/>
    <w:pPr>
      <w:tabs>
        <w:tab w:val="center" w:pos="4153"/>
        <w:tab w:val="right" w:pos="8306"/>
      </w:tabs>
      <w:snapToGrid w:val="0"/>
      <w:jc w:val="left"/>
    </w:pPr>
    <w:rPr>
      <w:rFonts w:eastAsia="宋体"/>
      <w:sz w:val="18"/>
      <w:szCs w:val="18"/>
    </w:rPr>
  </w:style>
  <w:style w:type="paragraph" w:styleId="5">
    <w:name w:val="header"/>
    <w:basedOn w:val="1"/>
    <w:qFormat/>
    <w:uiPriority w:val="0"/>
    <w:pPr>
      <w:pBdr>
        <w:bottom w:val="single" w:color="auto" w:sz="6" w:space="1"/>
      </w:pBdr>
      <w:tabs>
        <w:tab w:val="center" w:pos="4153"/>
        <w:tab w:val="right" w:pos="8306"/>
      </w:tabs>
      <w:snapToGrid w:val="0"/>
      <w:jc w:val="center"/>
    </w:pPr>
    <w:rPr>
      <w:rFonts w:eastAsia="宋体"/>
      <w:sz w:val="18"/>
      <w:szCs w:val="18"/>
    </w:rPr>
  </w:style>
  <w:style w:type="table" w:styleId="7">
    <w:name w:val="Table Grid"/>
    <w:basedOn w:val="6"/>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9">
    <w:name w:val="page number"/>
    <w:basedOn w:val="8"/>
    <w:qFormat/>
    <w:uiPriority w:val="0"/>
  </w:style>
  <w:style w:type="paragraph" w:customStyle="1" w:styleId="10">
    <w:name w:val="四号正文"/>
    <w:basedOn w:val="1"/>
    <w:link w:val="11"/>
    <w:qFormat/>
    <w:uiPriority w:val="0"/>
    <w:pPr>
      <w:spacing w:line="360" w:lineRule="auto"/>
    </w:pPr>
    <w:rPr>
      <w:rFonts w:ascii="??" w:hAnsi="??" w:eastAsia="宋体" w:cs="宋体"/>
      <w:color w:val="000000"/>
      <w:kern w:val="0"/>
      <w:sz w:val="28"/>
      <w:szCs w:val="21"/>
    </w:rPr>
  </w:style>
  <w:style w:type="character" w:customStyle="1" w:styleId="11">
    <w:name w:val="四号正文 Char"/>
    <w:basedOn w:val="8"/>
    <w:link w:val="10"/>
    <w:qFormat/>
    <w:uiPriority w:val="0"/>
    <w:rPr>
      <w:rFonts w:ascii="??" w:hAnsi="??" w:eastAsia="宋体" w:cs="宋体"/>
      <w:color w:val="000000"/>
      <w:sz w:val="28"/>
      <w:szCs w:val="21"/>
      <w:lang w:val="en-US" w:eastAsia="zh-CN" w:bidi="ar-SA"/>
    </w:rPr>
  </w:style>
  <w:style w:type="character" w:customStyle="1" w:styleId="12">
    <w:name w:val="文档结构图 Char"/>
    <w:basedOn w:val="8"/>
    <w:link w:val="2"/>
    <w:qFormat/>
    <w:uiPriority w:val="0"/>
    <w:rPr>
      <w:rFonts w:ascii="宋体"/>
      <w:kern w:val="2"/>
      <w:sz w:val="18"/>
      <w:szCs w:val="18"/>
    </w:rPr>
  </w:style>
  <w:style w:type="paragraph" w:customStyle="1" w:styleId="13">
    <w:name w:val="a"/>
    <w:basedOn w:val="1"/>
    <w:qFormat/>
    <w:uiPriority w:val="0"/>
    <w:pPr>
      <w:widowControl/>
      <w:spacing w:before="100" w:beforeAutospacing="1" w:after="100" w:afterAutospacing="1"/>
      <w:jc w:val="left"/>
    </w:pPr>
    <w:rPr>
      <w:rFonts w:ascii="宋体" w:hAnsi="宋体" w:eastAsia="宋体" w:cs="宋体"/>
      <w:kern w:val="0"/>
      <w:sz w:val="24"/>
    </w:rPr>
  </w:style>
  <w:style w:type="character" w:customStyle="1" w:styleId="14">
    <w:name w:val="页脚 Char"/>
    <w:basedOn w:val="8"/>
    <w:link w:val="4"/>
    <w:qFormat/>
    <w:uiPriority w:val="99"/>
    <w:rPr>
      <w:kern w:val="2"/>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PSZX</Company>
  <Pages>6</Pages>
  <Words>2610</Words>
  <Characters>2831</Characters>
  <Lines>1</Lines>
  <Paragraphs>1</Paragraphs>
  <TotalTime>5</TotalTime>
  <ScaleCrop>false</ScaleCrop>
  <LinksUpToDate>false</LinksUpToDate>
  <CharactersWithSpaces>2883</CharactersWithSpaces>
  <Application>WPS Office_12.1.0.18608_F1E327BC-269C-435d-A152-05C5408002CA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2019-10-29T08:36:00Z</dcterms:created>
  <dc:creator>陈萍</dc:creator>
  <cp:lastModifiedBy>碧云天</cp:lastModifiedBy>
  <cp:lastPrinted>2019-05-23T02:35:00Z</cp:lastPrinted>
  <dcterms:modified xsi:type="dcterms:W3CDTF">2024-11-05T07:00:05Z</dcterms:modified>
  <dc:title>区域性就业培训基地建设项目</dc:title>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2052-12.1.0.18608</vt:lpwstr>
  </property>
  <property fmtid="{D5CDD505-2E9C-101B-9397-08002B2CF9AE}" pid="3" name="ICV">
    <vt:lpwstr>1726D245183C42CBB0511CE649DE956B_12</vt:lpwstr>
  </property>
</Properties>
</file>