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76745">
      <w:pPr>
        <w:keepNext w:val="0"/>
        <w:keepLines w:val="0"/>
        <w:pageBreakBefore w:val="0"/>
        <w:widowControl w:val="0"/>
        <w:shd w:val="clear" w:color="auto" w:fill="auto"/>
        <w:kinsoku/>
        <w:wordWrap/>
        <w:overflowPunct/>
        <w:topLinePunct w:val="0"/>
        <w:autoSpaceDE/>
        <w:autoSpaceDN/>
        <w:bidi w:val="0"/>
        <w:adjustRightInd/>
        <w:snapToGrid/>
        <w:spacing w:line="700" w:lineRule="exact"/>
        <w:jc w:val="left"/>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附件</w:t>
      </w:r>
      <w:bookmarkStart w:id="0" w:name="_GoBack"/>
      <w:bookmarkEnd w:id="0"/>
    </w:p>
    <w:p w14:paraId="07C6D02C">
      <w:pPr>
        <w:keepNext w:val="0"/>
        <w:keepLines w:val="0"/>
        <w:pageBreakBefore w:val="0"/>
        <w:widowControl w:val="0"/>
        <w:shd w:val="clear" w:color="auto" w:fill="auto"/>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lang w:eastAsia="zh-CN"/>
        </w:rPr>
        <w:t>社区健身中心</w:t>
      </w:r>
      <w:r>
        <w:rPr>
          <w:rFonts w:hint="eastAsia" w:ascii="方正小标宋简体" w:hAnsi="方正小标宋简体" w:eastAsia="方正小标宋简体" w:cs="方正小标宋简体"/>
          <w:bCs/>
          <w:color w:val="auto"/>
          <w:sz w:val="44"/>
          <w:szCs w:val="44"/>
          <w:highlight w:val="none"/>
          <w:lang w:val="en-US" w:eastAsia="zh-CN"/>
        </w:rPr>
        <w:t>征地</w:t>
      </w:r>
      <w:r>
        <w:rPr>
          <w:rFonts w:hint="eastAsia" w:ascii="方正小标宋简体" w:hAnsi="方正小标宋简体" w:eastAsia="方正小标宋简体" w:cs="方正小标宋简体"/>
          <w:bCs/>
          <w:color w:val="auto"/>
          <w:sz w:val="44"/>
          <w:szCs w:val="44"/>
          <w:highlight w:val="none"/>
        </w:rPr>
        <w:t>补偿</w:t>
      </w:r>
      <w:r>
        <w:rPr>
          <w:rFonts w:hint="eastAsia" w:ascii="方正小标宋简体" w:hAnsi="方正小标宋简体" w:eastAsia="方正小标宋简体" w:cs="方正小标宋简体"/>
          <w:bCs/>
          <w:color w:val="auto"/>
          <w:sz w:val="44"/>
          <w:szCs w:val="44"/>
          <w:highlight w:val="none"/>
          <w:lang w:val="en-US" w:eastAsia="zh-CN"/>
        </w:rPr>
        <w:t>安置</w:t>
      </w:r>
      <w:r>
        <w:rPr>
          <w:rFonts w:hint="eastAsia" w:ascii="方正小标宋简体" w:hAnsi="方正小标宋简体" w:eastAsia="方正小标宋简体" w:cs="方正小标宋简体"/>
          <w:bCs/>
          <w:color w:val="auto"/>
          <w:sz w:val="44"/>
          <w:szCs w:val="44"/>
          <w:highlight w:val="none"/>
        </w:rPr>
        <w:t>方案</w:t>
      </w:r>
    </w:p>
    <w:p w14:paraId="10476F0F">
      <w:pPr>
        <w:keepNext w:val="0"/>
        <w:keepLines w:val="0"/>
        <w:pageBreakBefore w:val="0"/>
        <w:widowControl/>
        <w:suppressLineNumbers w:val="0"/>
        <w:shd w:val="clear" w:color="auto" w:fill="auto"/>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spacing w:val="0"/>
          <w:kern w:val="2"/>
          <w:sz w:val="32"/>
          <w:szCs w:val="32"/>
          <w:highlight w:val="none"/>
          <w:lang w:val="en-US" w:eastAsia="zh-CN" w:bidi="ar"/>
        </w:rPr>
      </w:pPr>
    </w:p>
    <w:p w14:paraId="0370051A">
      <w:pPr>
        <w:keepNext w:val="0"/>
        <w:keepLines w:val="0"/>
        <w:pageBreakBefore w:val="0"/>
        <w:widowControl/>
        <w:suppressLineNumbers w:val="0"/>
        <w:shd w:val="clear" w:color="auto" w:fill="auto"/>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spacing w:val="0"/>
          <w:kern w:val="2"/>
          <w:sz w:val="32"/>
          <w:szCs w:val="32"/>
          <w:highlight w:val="none"/>
          <w:lang w:val="en-US" w:eastAsia="zh-CN" w:bidi="ar"/>
        </w:rPr>
      </w:pPr>
      <w:r>
        <w:rPr>
          <w:rFonts w:hint="eastAsia" w:ascii="Times New Roman" w:hAnsi="Times New Roman" w:eastAsia="仿宋_GB2312" w:cs="仿宋_GB2312"/>
          <w:color w:val="auto"/>
          <w:spacing w:val="0"/>
          <w:kern w:val="2"/>
          <w:sz w:val="32"/>
          <w:szCs w:val="32"/>
          <w:highlight w:val="none"/>
          <w:lang w:val="en-US" w:eastAsia="zh-CN" w:bidi="ar"/>
        </w:rPr>
        <w:t>峨边彝族自治县规划社区健身中心并提升基础设施，县人民政府拟对峨边彝族自治县沙坪镇河沟村5组部分集体土地实施征收。根据《中华人民共和国土地管理法》《中华人民共和国土地管理法实施条例》《四川省〈中华人民共和国土地管理法〉实施办法》《乐山市人民政府关于公布实施乐山市征地地上附着物和青苗补偿标准的通知》（乐府函〔2024〕109号）等法律法规和政策，结合土地现状调查情况，制定本方案。</w:t>
      </w:r>
    </w:p>
    <w:p w14:paraId="6B0FE6E2">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黑体" w:cs="黑体"/>
          <w:color w:val="auto"/>
          <w:spacing w:val="0"/>
          <w:kern w:val="2"/>
          <w:sz w:val="32"/>
          <w:szCs w:val="32"/>
          <w:highlight w:val="none"/>
        </w:rPr>
      </w:pPr>
      <w:r>
        <w:rPr>
          <w:rFonts w:hint="eastAsia" w:ascii="Times New Roman" w:hAnsi="Times New Roman" w:eastAsia="黑体" w:cs="黑体"/>
          <w:color w:val="auto"/>
          <w:spacing w:val="0"/>
          <w:kern w:val="2"/>
          <w:sz w:val="32"/>
          <w:szCs w:val="32"/>
          <w:highlight w:val="none"/>
          <w:lang w:val="en-US" w:eastAsia="zh-CN"/>
        </w:rPr>
        <w:t>一、</w:t>
      </w:r>
      <w:r>
        <w:rPr>
          <w:rFonts w:hint="eastAsia" w:ascii="Times New Roman" w:hAnsi="Times New Roman" w:eastAsia="黑体" w:cs="黑体"/>
          <w:color w:val="auto"/>
          <w:spacing w:val="0"/>
          <w:kern w:val="2"/>
          <w:sz w:val="32"/>
          <w:szCs w:val="32"/>
          <w:highlight w:val="none"/>
        </w:rPr>
        <w:t>征收目的</w:t>
      </w:r>
    </w:p>
    <w:p w14:paraId="397BF0D3">
      <w:pPr>
        <w:keepNext w:val="0"/>
        <w:keepLines w:val="0"/>
        <w:pageBreakBefore w:val="0"/>
        <w:widowControl/>
        <w:suppressLineNumbers w:val="0"/>
        <w:shd w:val="clear" w:color="auto" w:fill="auto"/>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pacing w:val="0"/>
          <w:kern w:val="2"/>
          <w:sz w:val="32"/>
          <w:szCs w:val="32"/>
          <w:highlight w:val="none"/>
          <w:lang w:val="en-US" w:eastAsia="zh-CN" w:bidi="ar"/>
        </w:rPr>
      </w:pPr>
      <w:r>
        <w:rPr>
          <w:rFonts w:hint="eastAsia" w:ascii="Times New Roman" w:hAnsi="Times New Roman" w:eastAsia="仿宋_GB2312" w:cs="仿宋_GB2312"/>
          <w:color w:val="auto"/>
          <w:spacing w:val="0"/>
          <w:kern w:val="2"/>
          <w:sz w:val="32"/>
          <w:szCs w:val="32"/>
          <w:highlight w:val="none"/>
          <w:lang w:val="en-US" w:eastAsia="zh-CN" w:bidi="ar"/>
        </w:rPr>
        <w:t>本次征收土地全部用于社区健身中心项目。</w:t>
      </w:r>
    </w:p>
    <w:p w14:paraId="787786A5">
      <w:pPr>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黑体" w:cs="黑体"/>
          <w:color w:val="auto"/>
          <w:spacing w:val="0"/>
          <w:kern w:val="2"/>
          <w:sz w:val="32"/>
          <w:szCs w:val="32"/>
          <w:highlight w:val="none"/>
          <w:lang w:val="en-US" w:eastAsia="zh-CN"/>
        </w:rPr>
      </w:pPr>
      <w:r>
        <w:rPr>
          <w:rFonts w:hint="eastAsia" w:ascii="Times New Roman" w:hAnsi="Times New Roman" w:eastAsia="黑体" w:cs="黑体"/>
          <w:color w:val="auto"/>
          <w:spacing w:val="0"/>
          <w:kern w:val="2"/>
          <w:sz w:val="32"/>
          <w:szCs w:val="32"/>
          <w:highlight w:val="none"/>
          <w:lang w:val="en-US" w:eastAsia="zh-CN"/>
        </w:rPr>
        <w:t>土地征收范围及土地现状</w:t>
      </w:r>
    </w:p>
    <w:p w14:paraId="367222E7">
      <w:pPr>
        <w:keepNext w:val="0"/>
        <w:keepLines w:val="0"/>
        <w:pageBreakBefore w:val="0"/>
        <w:widowControl w:val="0"/>
        <w:suppressLineNumbers w:val="0"/>
        <w:shd w:val="clear" w:color="auto" w:fill="auto"/>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pacing w:val="0"/>
          <w:kern w:val="2"/>
          <w:sz w:val="32"/>
          <w:szCs w:val="32"/>
          <w:highlight w:val="none"/>
          <w:lang w:val="en-US" w:eastAsia="zh-CN" w:bidi="ar"/>
        </w:rPr>
      </w:pPr>
      <w:r>
        <w:rPr>
          <w:rFonts w:hint="eastAsia" w:ascii="Times New Roman" w:hAnsi="Times New Roman" w:eastAsia="仿宋_GB2312" w:cs="仿宋_GB2312"/>
          <w:color w:val="auto"/>
          <w:spacing w:val="0"/>
          <w:kern w:val="2"/>
          <w:sz w:val="32"/>
          <w:szCs w:val="32"/>
          <w:highlight w:val="none"/>
          <w:lang w:val="en-US" w:eastAsia="zh-CN" w:bidi="ar"/>
        </w:rPr>
        <w:t>本次拟征收沙坪镇河沟村5组集体土地约12.1062亩，其中耕地（园地）12.1062亩（详见附件1）。</w:t>
      </w:r>
    </w:p>
    <w:p w14:paraId="6C113695">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三、征收主管部门、实施单位及征收基准日</w:t>
      </w:r>
    </w:p>
    <w:p w14:paraId="02F6AE47">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征收</w:t>
      </w:r>
      <w:r>
        <w:rPr>
          <w:rFonts w:hint="eastAsia" w:ascii="Times New Roman" w:hAnsi="Times New Roman" w:eastAsia="仿宋_GB2312" w:cs="仿宋_GB2312"/>
          <w:color w:val="auto"/>
          <w:sz w:val="32"/>
          <w:szCs w:val="32"/>
          <w:highlight w:val="none"/>
          <w:lang w:eastAsia="zh-CN"/>
        </w:rPr>
        <w:t>主管</w:t>
      </w:r>
      <w:r>
        <w:rPr>
          <w:rFonts w:hint="eastAsia" w:ascii="Times New Roman" w:hAnsi="Times New Roman" w:eastAsia="仿宋_GB2312" w:cs="仿宋_GB2312"/>
          <w:color w:val="auto"/>
          <w:sz w:val="32"/>
          <w:szCs w:val="32"/>
          <w:highlight w:val="none"/>
        </w:rPr>
        <w:t>部门</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峨边彝族自治县自然资源局</w:t>
      </w:r>
    </w:p>
    <w:p w14:paraId="3DAAF1E8">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实施单位</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峨边彝族自治县沙坪镇人民政府</w:t>
      </w:r>
    </w:p>
    <w:p w14:paraId="5981D8D0">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征收补偿安置基准日：以征地补偿安置方案公告之日为基准日</w:t>
      </w:r>
    </w:p>
    <w:p w14:paraId="72F4B61A">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四、签约期限和地点</w:t>
      </w:r>
    </w:p>
    <w:p w14:paraId="059BA640">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签约期限为30天，具体签约时间和地点以征收部门发布的签约公告为准。</w:t>
      </w:r>
    </w:p>
    <w:p w14:paraId="396E4EB8">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黑体"/>
          <w:color w:val="auto"/>
          <w:spacing w:val="0"/>
          <w:kern w:val="2"/>
          <w:sz w:val="32"/>
          <w:szCs w:val="32"/>
          <w:highlight w:val="none"/>
          <w:lang w:val="en-US" w:eastAsia="zh-CN"/>
        </w:rPr>
      </w:pPr>
      <w:r>
        <w:rPr>
          <w:rFonts w:hint="eastAsia" w:ascii="Times New Roman" w:hAnsi="Times New Roman" w:eastAsia="黑体" w:cs="黑体"/>
          <w:color w:val="auto"/>
          <w:spacing w:val="0"/>
          <w:kern w:val="2"/>
          <w:sz w:val="32"/>
          <w:szCs w:val="32"/>
          <w:highlight w:val="none"/>
          <w:lang w:val="en-US" w:eastAsia="zh-CN"/>
        </w:rPr>
        <w:t>五、征地补偿标准</w:t>
      </w:r>
    </w:p>
    <w:p w14:paraId="4339823F">
      <w:pPr>
        <w:keepNext w:val="0"/>
        <w:keepLines w:val="0"/>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lang w:val="en-US" w:eastAsia="zh-CN"/>
        </w:rPr>
      </w:pPr>
      <w:r>
        <w:rPr>
          <w:rFonts w:hint="eastAsia" w:ascii="Times New Roman" w:hAnsi="Times New Roman" w:eastAsia="楷体" w:cs="楷体"/>
          <w:color w:val="auto"/>
          <w:spacing w:val="0"/>
          <w:kern w:val="2"/>
          <w:sz w:val="32"/>
          <w:szCs w:val="32"/>
          <w:highlight w:val="none"/>
          <w:lang w:val="en-US" w:eastAsia="zh-CN"/>
        </w:rPr>
        <w:t>（一）土地补偿费、安置补助费标准</w:t>
      </w:r>
    </w:p>
    <w:p w14:paraId="09CAB3A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auto"/>
        <w:kinsoku/>
        <w:wordWrap/>
        <w:overflowPunct/>
        <w:topLinePunct w:val="0"/>
        <w:bidi w:val="0"/>
        <w:adjustRightInd/>
        <w:snapToGrid/>
        <w:spacing w:line="600" w:lineRule="exact"/>
        <w:ind w:firstLine="640" w:firstLineChars="200"/>
        <w:jc w:val="both"/>
        <w:textAlignment w:val="auto"/>
        <w:rPr>
          <w:rFonts w:hint="eastAsia" w:ascii="Times New Roman" w:hAnsi="Times New Roman" w:eastAsia="仿宋_GB2312" w:cs="仿宋_GB2312"/>
          <w:color w:val="auto"/>
          <w:spacing w:val="0"/>
          <w:kern w:val="2"/>
          <w:sz w:val="32"/>
          <w:szCs w:val="32"/>
          <w:highlight w:val="none"/>
          <w:lang w:val="en-US" w:eastAsia="zh-CN"/>
        </w:rPr>
      </w:pPr>
      <w:r>
        <w:rPr>
          <w:rFonts w:hint="eastAsia" w:ascii="Times New Roman" w:hAnsi="Times New Roman" w:eastAsia="仿宋_GB2312" w:cs="仿宋_GB2312"/>
          <w:color w:val="auto"/>
          <w:sz w:val="32"/>
          <w:szCs w:val="32"/>
          <w:highlight w:val="none"/>
          <w:u w:val="none"/>
          <w:lang w:eastAsia="zh-CN"/>
        </w:rPr>
        <w:t>征收农用地的土地补偿费、安置补助费</w:t>
      </w:r>
      <w:r>
        <w:rPr>
          <w:rFonts w:hint="eastAsia" w:ascii="Times New Roman" w:hAnsi="Times New Roman" w:eastAsia="仿宋_GB2312" w:cs="仿宋_GB2312"/>
          <w:color w:val="auto"/>
          <w:spacing w:val="0"/>
          <w:kern w:val="2"/>
          <w:sz w:val="32"/>
          <w:szCs w:val="32"/>
          <w:highlight w:val="none"/>
          <w:lang w:val="en-US" w:eastAsia="zh-CN"/>
        </w:rPr>
        <w:t>主要用于被征地农户缴纳社会保障资金，</w:t>
      </w:r>
      <w:r>
        <w:rPr>
          <w:rFonts w:hint="eastAsia" w:ascii="Times New Roman" w:hAnsi="Times New Roman" w:eastAsia="仿宋_GB2312" w:cs="仿宋_GB2312"/>
          <w:color w:val="000000"/>
          <w:spacing w:val="0"/>
          <w:kern w:val="2"/>
          <w:sz w:val="32"/>
          <w:szCs w:val="32"/>
          <w:highlight w:val="none"/>
          <w:lang w:val="en-US" w:eastAsia="zh-CN" w:bidi="ar-SA"/>
        </w:rPr>
        <w:t>补偿标准按照《乐山市人民政府关于公布实施乐山市征地地上附着物和青苗补偿标准的通知》（乐府函〔2024〕109号）和《峨边彝族自治县人民政府关于公布实施峨边彝族自治县征收农用地区片综合地价标准的通知》（峨边府发〔2023〕9号）执行</w:t>
      </w:r>
      <w:r>
        <w:rPr>
          <w:rFonts w:hint="eastAsia" w:ascii="Times New Roman" w:hAnsi="Times New Roman" w:eastAsia="仿宋_GB2312" w:cs="仿宋_GB2312"/>
          <w:color w:val="auto"/>
          <w:sz w:val="32"/>
          <w:szCs w:val="32"/>
          <w:highlight w:val="none"/>
          <w:u w:val="none"/>
          <w:lang w:eastAsia="zh-CN"/>
        </w:rPr>
        <w:t>。</w:t>
      </w:r>
      <w:r>
        <w:rPr>
          <w:rFonts w:hint="eastAsia" w:ascii="Times New Roman" w:hAnsi="Times New Roman" w:eastAsia="仿宋_GB2312" w:cs="仿宋_GB2312"/>
          <w:color w:val="auto"/>
          <w:spacing w:val="0"/>
          <w:kern w:val="2"/>
          <w:sz w:val="32"/>
          <w:szCs w:val="32"/>
          <w:highlight w:val="none"/>
          <w:lang w:val="en-US" w:eastAsia="zh-CN"/>
        </w:rPr>
        <w:t>本批次征收集体农用地补偿标准按综合地价第</w:t>
      </w:r>
      <w:r>
        <w:rPr>
          <w:rFonts w:hint="eastAsia" w:ascii="Times New Roman" w:hAnsi="Times New Roman" w:eastAsia="黑体" w:cs="黑体"/>
          <w:color w:val="auto"/>
          <w:spacing w:val="0"/>
          <w:kern w:val="2"/>
          <w:sz w:val="32"/>
          <w:szCs w:val="32"/>
          <w:highlight w:val="none"/>
          <w:lang w:val="en-US" w:eastAsia="zh-CN"/>
        </w:rPr>
        <w:t>Ⅰ</w:t>
      </w:r>
      <w:r>
        <w:rPr>
          <w:rFonts w:hint="eastAsia" w:ascii="Times New Roman" w:hAnsi="Times New Roman" w:eastAsia="仿宋_GB2312" w:cs="仿宋_GB2312"/>
          <w:color w:val="auto"/>
          <w:spacing w:val="0"/>
          <w:kern w:val="2"/>
          <w:sz w:val="32"/>
          <w:szCs w:val="32"/>
          <w:highlight w:val="none"/>
          <w:lang w:val="en-US" w:eastAsia="zh-CN"/>
        </w:rPr>
        <w:t>区片4.95万元/亩执行（详见附件2），</w:t>
      </w:r>
      <w:r>
        <w:rPr>
          <w:rFonts w:hint="eastAsia" w:ascii="Times New Roman" w:hAnsi="Times New Roman" w:eastAsia="仿宋_GB2312" w:cs="仿宋_GB2312"/>
          <w:color w:val="auto"/>
          <w:sz w:val="32"/>
          <w:szCs w:val="32"/>
          <w:highlight w:val="none"/>
          <w:u w:val="none"/>
          <w:lang w:eastAsia="zh-CN"/>
        </w:rPr>
        <w:t>土地补偿费占征收农用地区片综合地价的20%，安置补助费占征收农用地区片综合地价的80%。征收农用地以外的其他集体土地补偿标准，按征收农用地区片综合地价的0.5倍执行。</w:t>
      </w:r>
      <w:r>
        <w:rPr>
          <w:rFonts w:hint="eastAsia" w:ascii="Times New Roman" w:hAnsi="Times New Roman" w:eastAsia="仿宋_GB2312" w:cs="仿宋_GB2312"/>
          <w:color w:val="auto"/>
          <w:sz w:val="32"/>
          <w:szCs w:val="32"/>
          <w:highlight w:val="none"/>
          <w:u w:val="none"/>
          <w:shd w:val="clear" w:color="auto" w:fill="FFFFFF"/>
          <w:lang w:val="en-US" w:eastAsia="zh-CN"/>
        </w:rPr>
        <w:t>耕</w:t>
      </w:r>
      <w:r>
        <w:rPr>
          <w:rFonts w:hint="eastAsia" w:ascii="Times New Roman" w:hAnsi="Times New Roman" w:eastAsia="仿宋_GB2312" w:cs="仿宋_GB2312"/>
          <w:color w:val="auto"/>
          <w:sz w:val="32"/>
          <w:szCs w:val="32"/>
          <w:highlight w:val="none"/>
          <w:u w:val="none"/>
          <w:shd w:val="clear" w:color="auto" w:fill="FFFFFF"/>
          <w:lang w:eastAsia="zh-CN"/>
        </w:rPr>
        <w:t>地</w:t>
      </w:r>
      <w:r>
        <w:rPr>
          <w:rFonts w:hint="eastAsia" w:ascii="Times New Roman" w:hAnsi="Times New Roman" w:eastAsia="仿宋_GB2312" w:cs="仿宋_GB2312"/>
          <w:color w:val="auto"/>
          <w:sz w:val="32"/>
          <w:szCs w:val="32"/>
          <w:highlight w:val="none"/>
          <w:lang w:eastAsia="zh-CN" w:bidi="ar"/>
        </w:rPr>
        <w:t>（含原承包地改造的园地，</w:t>
      </w:r>
      <w:r>
        <w:rPr>
          <w:rFonts w:hint="eastAsia" w:ascii="Times New Roman" w:hAnsi="Times New Roman" w:eastAsia="仿宋_GB2312" w:cs="仿宋_GB2312"/>
          <w:color w:val="auto"/>
          <w:sz w:val="32"/>
          <w:szCs w:val="32"/>
          <w:highlight w:val="none"/>
          <w:lang w:val="en-US" w:eastAsia="zh-CN" w:bidi="ar"/>
        </w:rPr>
        <w:t>下同</w:t>
      </w:r>
      <w:r>
        <w:rPr>
          <w:rFonts w:hint="eastAsia" w:ascii="Times New Roman" w:hAnsi="Times New Roman" w:eastAsia="仿宋_GB2312" w:cs="仿宋_GB2312"/>
          <w:color w:val="auto"/>
          <w:sz w:val="32"/>
          <w:szCs w:val="32"/>
          <w:highlight w:val="none"/>
          <w:lang w:eastAsia="zh-CN" w:bidi="ar"/>
        </w:rPr>
        <w:t>）</w:t>
      </w:r>
      <w:r>
        <w:rPr>
          <w:rFonts w:hint="eastAsia" w:ascii="Times New Roman" w:hAnsi="Times New Roman" w:eastAsia="仿宋_GB2312" w:cs="仿宋_GB2312"/>
          <w:color w:val="auto"/>
          <w:sz w:val="32"/>
          <w:szCs w:val="32"/>
          <w:highlight w:val="none"/>
          <w:u w:val="none"/>
          <w:lang w:eastAsia="zh-CN"/>
        </w:rPr>
        <w:t>的两补费统筹用于失地农民养老保障安置。</w:t>
      </w:r>
      <w:r>
        <w:rPr>
          <w:rFonts w:hint="eastAsia" w:ascii="Times New Roman" w:hAnsi="Times New Roman" w:eastAsia="仿宋_GB2312" w:cs="仿宋_GB2312"/>
          <w:color w:val="auto"/>
          <w:sz w:val="32"/>
          <w:szCs w:val="32"/>
          <w:highlight w:val="none"/>
          <w:u w:val="none"/>
          <w:lang w:val="en-US" w:eastAsia="zh-CN"/>
        </w:rPr>
        <w:t>耕地</w:t>
      </w:r>
      <w:r>
        <w:rPr>
          <w:rFonts w:hint="eastAsia" w:ascii="Times New Roman" w:hAnsi="Times New Roman" w:eastAsia="仿宋_GB2312" w:cs="仿宋_GB2312"/>
          <w:color w:val="auto"/>
          <w:sz w:val="32"/>
          <w:szCs w:val="32"/>
          <w:highlight w:val="none"/>
          <w:u w:val="none"/>
          <w:lang w:eastAsia="zh-CN"/>
        </w:rPr>
        <w:t>以外其他集体土地的两补费拨付给被征地集体经济组织，由被征地集体经济组织通过“一事一议”讨论分配方案进行分配。</w:t>
      </w:r>
    </w:p>
    <w:p w14:paraId="4E4A7D5A">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楷体_GB2312" w:cs="楷体_GB2312"/>
          <w:color w:val="auto"/>
          <w:spacing w:val="0"/>
          <w:kern w:val="2"/>
          <w:sz w:val="32"/>
          <w:szCs w:val="32"/>
          <w:highlight w:val="none"/>
          <w:u w:val="none"/>
          <w:lang w:val="en-US" w:eastAsia="zh-CN"/>
        </w:rPr>
      </w:pPr>
      <w:r>
        <w:rPr>
          <w:rFonts w:hint="eastAsia" w:ascii="Times New Roman" w:hAnsi="Times New Roman" w:eastAsia="楷体_GB2312" w:cs="楷体_GB2312"/>
          <w:color w:val="auto"/>
          <w:spacing w:val="0"/>
          <w:kern w:val="2"/>
          <w:sz w:val="32"/>
          <w:szCs w:val="32"/>
          <w:highlight w:val="none"/>
          <w:u w:val="none"/>
          <w:lang w:val="en-US" w:eastAsia="zh-CN"/>
        </w:rPr>
        <w:t>（二）养老保障安置</w:t>
      </w:r>
    </w:p>
    <w:p w14:paraId="2FEB25C8">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1.下列人员应认定为享有补偿安置权利的集体经济组织成员：</w:t>
      </w:r>
    </w:p>
    <w:p w14:paraId="2A6CD2C7">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（1）户口在本集体经济组织且有土地承包经营权的常住人员及其依法婚嫁、新生登记入户的人员；</w:t>
      </w:r>
    </w:p>
    <w:p w14:paraId="6EB70117">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（2）原户口在本集体经济组织且有土地承包经营权的现役军士和义务兵、自主就业回原籍的军士和义务兵、大中专院校及以上在校学生和服刑人员；</w:t>
      </w:r>
    </w:p>
    <w:p w14:paraId="32F1C95B">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（3）原户口在本集体经济组织通过买户口、购房、购买养老保险和就读大中专以上院校已转为城镇居民户口的人员，且现户口在峨边彝族自治县，在本集体经济组织仍有土地承包经营权并承担义务的人员；</w:t>
      </w:r>
    </w:p>
    <w:p w14:paraId="75FB0D56">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（4）符合法律法规和政策规定应当列入的其他人员。</w:t>
      </w:r>
    </w:p>
    <w:p w14:paraId="7D7F9CDD">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下列人员不得认定为享有补偿安置权利的集体经济组织成员：</w:t>
      </w:r>
    </w:p>
    <w:p w14:paraId="18D41DD8">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（1）享受过征地补偿安置的人员；</w:t>
      </w:r>
    </w:p>
    <w:p w14:paraId="5D00B967">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（2）依法婚嫁及其他人员入户时，原户口不属于农村集体经济组织成员；</w:t>
      </w:r>
    </w:p>
    <w:p w14:paraId="0428ADBA">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（3）党政机关、事业单位、国有企业人员；转业、自主择业、退休军官，政府安排工作的军士和义务兵，退休军士；</w:t>
      </w:r>
    </w:p>
    <w:p w14:paraId="54CAB969">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lang w:val="en-US" w:eastAsia="zh-CN"/>
        </w:rPr>
        <w:t>（4）法律法规规定不能列入的其他人员。</w:t>
      </w:r>
    </w:p>
    <w:p w14:paraId="7B14368E">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eastAsia="zh-CN"/>
        </w:rPr>
      </w:pPr>
      <w:r>
        <w:rPr>
          <w:rFonts w:hint="eastAsia" w:ascii="Times New Roman" w:hAnsi="Times New Roman" w:eastAsia="仿宋_GB2312" w:cs="仿宋_GB2312"/>
          <w:color w:val="auto"/>
          <w:spacing w:val="0"/>
          <w:kern w:val="2"/>
          <w:sz w:val="32"/>
          <w:szCs w:val="32"/>
          <w:highlight w:val="none"/>
          <w:u w:val="none"/>
          <w:lang w:val="en-US" w:eastAsia="zh-CN"/>
        </w:rPr>
        <w:t>征地范围内享有补偿安置权利的集体经济组织成员名单由集体经济组织认定并经公示无异议后，报沙坪镇人民政府审查备案。</w:t>
      </w:r>
    </w:p>
    <w:p w14:paraId="3533AADC">
      <w:pPr>
        <w:keepNext w:val="0"/>
        <w:keepLines w:val="0"/>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eastAsia="zh-CN" w:bidi="ar"/>
        </w:rPr>
      </w:pPr>
      <w:r>
        <w:rPr>
          <w:rFonts w:hint="eastAsia" w:ascii="Times New Roman" w:hAnsi="Times New Roman" w:eastAsia="仿宋_GB2312" w:cs="仿宋_GB2312"/>
          <w:color w:val="auto"/>
          <w:sz w:val="32"/>
          <w:szCs w:val="32"/>
          <w:highlight w:val="none"/>
          <w:lang w:val="en-US" w:eastAsia="zh-CN" w:bidi="ar"/>
        </w:rPr>
        <w:t>2.安置</w:t>
      </w:r>
      <w:r>
        <w:rPr>
          <w:rFonts w:hint="eastAsia" w:ascii="Times New Roman" w:hAnsi="Times New Roman" w:eastAsia="仿宋_GB2312" w:cs="仿宋_GB2312"/>
          <w:color w:val="auto"/>
          <w:sz w:val="32"/>
          <w:szCs w:val="32"/>
          <w:highlight w:val="none"/>
          <w:lang w:eastAsia="zh-CN" w:bidi="ar"/>
        </w:rPr>
        <w:t>人数锁定。</w:t>
      </w:r>
      <w:r>
        <w:rPr>
          <w:rFonts w:hint="eastAsia" w:ascii="Times New Roman" w:hAnsi="Times New Roman" w:eastAsia="仿宋_GB2312" w:cs="仿宋_GB2312"/>
          <w:color w:val="000000"/>
          <w:spacing w:val="0"/>
          <w:kern w:val="2"/>
          <w:sz w:val="32"/>
          <w:szCs w:val="32"/>
          <w:highlight w:val="none"/>
          <w:lang w:val="en-US" w:eastAsia="zh-CN" w:bidi="ar-SA"/>
        </w:rPr>
        <w:t>按照被征收的耕地面积除以征地前被征地集体经济组织人均耕地面积计算。涉及组进行过征地社保安置的，以当时征地社保安置人均耕地面积作为本次征地社保安置人均耕地面积，涉及组未进行过征地社保安置的以现状测绘确定该组人均耕地面积</w:t>
      </w:r>
      <w:r>
        <w:rPr>
          <w:rFonts w:hint="eastAsia" w:ascii="Times New Roman" w:hAnsi="Times New Roman" w:eastAsia="仿宋_GB2312" w:cs="仿宋_GB2312"/>
          <w:color w:val="auto"/>
          <w:sz w:val="32"/>
          <w:szCs w:val="32"/>
          <w:highlight w:val="none"/>
        </w:rPr>
        <w:t>。</w:t>
      </w:r>
    </w:p>
    <w:p w14:paraId="0AA02474">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sz w:val="32"/>
          <w:szCs w:val="32"/>
          <w:highlight w:val="none"/>
          <w:lang w:eastAsia="zh-CN" w:bidi="ar"/>
        </w:rPr>
        <w:t>本次征地项目</w:t>
      </w:r>
      <w:r>
        <w:rPr>
          <w:rFonts w:hint="eastAsia" w:ascii="Times New Roman" w:hAnsi="Times New Roman" w:eastAsia="仿宋_GB2312" w:cs="仿宋_GB2312"/>
          <w:color w:val="auto"/>
          <w:sz w:val="32"/>
          <w:szCs w:val="32"/>
          <w:highlight w:val="none"/>
          <w:lang w:bidi="ar"/>
        </w:rPr>
        <w:t>安置</w:t>
      </w:r>
      <w:r>
        <w:rPr>
          <w:rFonts w:hint="eastAsia" w:ascii="Times New Roman" w:hAnsi="Times New Roman" w:eastAsia="仿宋_GB2312" w:cs="仿宋_GB2312"/>
          <w:color w:val="auto"/>
          <w:sz w:val="32"/>
          <w:szCs w:val="32"/>
          <w:highlight w:val="none"/>
          <w:lang w:val="en-US" w:eastAsia="zh-CN" w:bidi="ar"/>
        </w:rPr>
        <w:t>人数14</w:t>
      </w:r>
      <w:r>
        <w:rPr>
          <w:rFonts w:hint="eastAsia" w:ascii="Times New Roman" w:hAnsi="Times New Roman" w:eastAsia="仿宋_GB2312" w:cs="仿宋_GB2312"/>
          <w:color w:val="auto"/>
          <w:sz w:val="32"/>
          <w:szCs w:val="32"/>
          <w:highlight w:val="none"/>
          <w:lang w:bidi="ar"/>
        </w:rPr>
        <w:t>人。</w:t>
      </w:r>
    </w:p>
    <w:p w14:paraId="5BB3CFE9">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sz w:val="32"/>
          <w:szCs w:val="32"/>
          <w:highlight w:val="none"/>
          <w:lang w:val="en-US" w:eastAsia="zh-CN" w:bidi="ar"/>
        </w:rPr>
        <w:t>3.</w:t>
      </w:r>
      <w:r>
        <w:rPr>
          <w:rFonts w:hint="eastAsia" w:ascii="Times New Roman" w:hAnsi="Times New Roman" w:eastAsia="仿宋_GB2312" w:cs="仿宋_GB2312"/>
          <w:color w:val="000000"/>
          <w:spacing w:val="0"/>
          <w:kern w:val="2"/>
          <w:sz w:val="32"/>
          <w:szCs w:val="32"/>
          <w:highlight w:val="none"/>
          <w:lang w:val="en-US" w:eastAsia="zh-CN" w:bidi="ar-SA"/>
        </w:rPr>
        <w:t>养老保障人员名单确定。需纳入养老保障等社会保障体系的安置对象以征地补偿安置公告时间为节点确定。被征地集体经济组织应严格执行“人地对应”原则，通过“一事一议”方式拟定被征地农民养老保障名单并进行公示；公示有异议的，召开村民代表会议表决议定后再次公示；被征地农民养老保障名单，经沙坪镇人民政府审核并在被征地农村集体经济组织所在地公示，公示无异议后报县自然资源局，由县自然资源局组织县公安局、县人社局、县农业农村局、沙坪镇人民政府五方会审，核定后报县人民政府审定</w:t>
      </w:r>
      <w:r>
        <w:rPr>
          <w:rFonts w:hint="eastAsia" w:ascii="Times New Roman" w:hAnsi="Times New Roman" w:eastAsia="仿宋_GB2312" w:cs="仿宋_GB2312"/>
          <w:color w:val="auto"/>
          <w:sz w:val="32"/>
          <w:szCs w:val="32"/>
          <w:highlight w:val="none"/>
          <w:lang w:bidi="ar"/>
        </w:rPr>
        <w:t>。</w:t>
      </w:r>
    </w:p>
    <w:p w14:paraId="2E89430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sz w:val="32"/>
          <w:szCs w:val="32"/>
          <w:highlight w:val="none"/>
          <w:lang w:eastAsia="zh-CN" w:bidi="ar"/>
        </w:rPr>
        <w:t>（</w:t>
      </w:r>
      <w:r>
        <w:rPr>
          <w:rFonts w:hint="eastAsia" w:ascii="Times New Roman" w:hAnsi="Times New Roman" w:eastAsia="仿宋_GB2312" w:cs="仿宋_GB2312"/>
          <w:color w:val="auto"/>
          <w:sz w:val="32"/>
          <w:szCs w:val="32"/>
          <w:highlight w:val="none"/>
          <w:lang w:val="en-US" w:eastAsia="zh-CN" w:bidi="ar"/>
        </w:rPr>
        <w:t>三</w:t>
      </w:r>
      <w:r>
        <w:rPr>
          <w:rFonts w:hint="eastAsia" w:ascii="Times New Roman" w:hAnsi="Times New Roman" w:eastAsia="仿宋_GB2312" w:cs="仿宋_GB2312"/>
          <w:color w:val="auto"/>
          <w:sz w:val="32"/>
          <w:szCs w:val="32"/>
          <w:highlight w:val="none"/>
          <w:lang w:eastAsia="zh-CN" w:bidi="ar"/>
        </w:rPr>
        <w:t>）</w:t>
      </w:r>
      <w:r>
        <w:rPr>
          <w:rFonts w:hint="eastAsia" w:ascii="Times New Roman" w:hAnsi="Times New Roman" w:eastAsia="仿宋_GB2312" w:cs="仿宋_GB2312"/>
          <w:color w:val="auto"/>
          <w:sz w:val="32"/>
          <w:szCs w:val="32"/>
          <w:highlight w:val="none"/>
          <w:lang w:bidi="ar"/>
        </w:rPr>
        <w:t>社会保障相关政策法规</w:t>
      </w:r>
      <w:r>
        <w:rPr>
          <w:rFonts w:hint="eastAsia" w:ascii="Times New Roman" w:hAnsi="Times New Roman" w:eastAsia="仿宋_GB2312" w:cs="仿宋_GB2312"/>
          <w:color w:val="auto"/>
          <w:sz w:val="32"/>
          <w:szCs w:val="32"/>
          <w:highlight w:val="none"/>
          <w:lang w:eastAsia="zh-CN" w:bidi="ar"/>
        </w:rPr>
        <w:t>。</w:t>
      </w:r>
      <w:r>
        <w:rPr>
          <w:rFonts w:hint="eastAsia" w:ascii="Times New Roman" w:hAnsi="Times New Roman" w:eastAsia="仿宋_GB2312" w:cs="仿宋_GB2312"/>
          <w:color w:val="auto"/>
          <w:sz w:val="32"/>
          <w:szCs w:val="32"/>
          <w:highlight w:val="none"/>
          <w:lang w:bidi="ar"/>
        </w:rPr>
        <w:t>被征地农民社会保障安置，按照《四川省被征地农民养老保障实施办法》（川人社发〔2018〕46号）《关于贯彻落实川人社发〔2018〕46号文件几个具体问题的通知》（乐人社发〔2019〕30号）</w:t>
      </w:r>
      <w:r>
        <w:rPr>
          <w:rFonts w:hint="eastAsia" w:ascii="Times New Roman" w:hAnsi="Times New Roman" w:eastAsia="仿宋_GB2312" w:cs="仿宋_GB2312"/>
          <w:color w:val="auto"/>
          <w:sz w:val="32"/>
          <w:szCs w:val="32"/>
          <w:highlight w:val="none"/>
          <w:u w:val="none"/>
          <w:lang w:eastAsia="zh-CN"/>
        </w:rPr>
        <w:t>《乐山市人民政府办公室关于印发乐山市基本医疗保险实施办法的通知》（乐府办发〔2016〕9号）</w:t>
      </w:r>
      <w:r>
        <w:rPr>
          <w:rFonts w:hint="eastAsia" w:ascii="Times New Roman" w:hAnsi="Times New Roman" w:eastAsia="仿宋_GB2312" w:cs="仿宋_GB2312"/>
          <w:color w:val="auto"/>
          <w:sz w:val="32"/>
          <w:szCs w:val="32"/>
          <w:highlight w:val="none"/>
          <w:lang w:bidi="ar"/>
        </w:rPr>
        <w:t>等文件精神执行。</w:t>
      </w:r>
    </w:p>
    <w:p w14:paraId="5F293F32">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lang w:val="en-US" w:eastAsia="zh-CN" w:bidi="ar"/>
        </w:rPr>
      </w:pPr>
      <w:r>
        <w:rPr>
          <w:rFonts w:hint="eastAsia" w:ascii="Times New Roman" w:hAnsi="Times New Roman" w:eastAsia="仿宋_GB2312" w:cs="仿宋_GB2312"/>
          <w:color w:val="auto"/>
          <w:spacing w:val="0"/>
          <w:kern w:val="2"/>
          <w:sz w:val="32"/>
          <w:szCs w:val="32"/>
          <w:highlight w:val="none"/>
          <w:lang w:val="en-US" w:eastAsia="zh-CN" w:bidi="ar"/>
        </w:rPr>
        <w:t>1.基本医疗保险</w:t>
      </w:r>
    </w:p>
    <w:p w14:paraId="124DB789">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仿宋_GB2312"/>
          <w:color w:val="auto"/>
          <w:spacing w:val="0"/>
          <w:kern w:val="2"/>
          <w:sz w:val="32"/>
          <w:szCs w:val="32"/>
          <w:highlight w:val="none"/>
          <w:lang w:val="en-US" w:eastAsia="zh-CN" w:bidi="ar"/>
        </w:rPr>
      </w:pPr>
      <w:r>
        <w:rPr>
          <w:rFonts w:hint="eastAsia" w:ascii="Times New Roman" w:hAnsi="Times New Roman" w:eastAsia="仿宋_GB2312" w:cs="仿宋_GB2312"/>
          <w:color w:val="auto"/>
          <w:spacing w:val="0"/>
          <w:kern w:val="2"/>
          <w:sz w:val="32"/>
          <w:szCs w:val="32"/>
          <w:highlight w:val="none"/>
          <w:lang w:val="en-US" w:eastAsia="zh-CN" w:bidi="ar"/>
        </w:rPr>
        <w:t>纳入社保安置人员，医疗保险按</w:t>
      </w:r>
      <w:r>
        <w:rPr>
          <w:rFonts w:hint="eastAsia" w:ascii="Times New Roman" w:hAnsi="Times New Roman" w:eastAsia="仿宋_GB2312" w:cs="仿宋_GB2312"/>
          <w:color w:val="auto"/>
          <w:sz w:val="32"/>
          <w:szCs w:val="32"/>
          <w:highlight w:val="none"/>
          <w:u w:val="none"/>
          <w:lang w:eastAsia="zh-CN"/>
        </w:rPr>
        <w:t>《乐山市人民政府办公室关于印发乐山市基本医疗保险实施办法的通知》（乐府办发〔2016〕9号）</w:t>
      </w:r>
      <w:r>
        <w:rPr>
          <w:rFonts w:hint="eastAsia" w:ascii="Times New Roman" w:hAnsi="Times New Roman" w:eastAsia="仿宋_GB2312" w:cs="仿宋_GB2312"/>
          <w:color w:val="auto"/>
          <w:sz w:val="32"/>
          <w:szCs w:val="32"/>
          <w:highlight w:val="none"/>
          <w:u w:val="none"/>
          <w:lang w:val="en-US" w:eastAsia="zh-CN"/>
        </w:rPr>
        <w:t>执行，</w:t>
      </w:r>
      <w:r>
        <w:rPr>
          <w:rFonts w:hint="eastAsia" w:ascii="Times New Roman" w:hAnsi="Times New Roman" w:eastAsia="仿宋_GB2312" w:cs="仿宋_GB2312"/>
          <w:color w:val="auto"/>
          <w:spacing w:val="0"/>
          <w:kern w:val="2"/>
          <w:sz w:val="32"/>
          <w:szCs w:val="32"/>
          <w:highlight w:val="none"/>
          <w:lang w:val="en-US" w:eastAsia="zh-CN" w:bidi="ar"/>
        </w:rPr>
        <w:t>由征地单位逐年向医疗保险征缴机构缴纳基本医疗保险费，累计代缴金额不得超过1万元。</w:t>
      </w:r>
    </w:p>
    <w:p w14:paraId="502CDCBF">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spacing w:val="0"/>
          <w:kern w:val="2"/>
          <w:sz w:val="32"/>
          <w:szCs w:val="32"/>
          <w:highlight w:val="none"/>
          <w:lang w:val="en-US" w:eastAsia="zh-CN" w:bidi="ar"/>
        </w:rPr>
        <w:t>2.失业保险补助金</w:t>
      </w:r>
    </w:p>
    <w:p w14:paraId="6B046F30">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sz w:val="32"/>
          <w:szCs w:val="32"/>
          <w:highlight w:val="none"/>
          <w:lang w:bidi="ar"/>
        </w:rPr>
        <w:t>按本</w:t>
      </w:r>
      <w:r>
        <w:rPr>
          <w:rFonts w:hint="eastAsia" w:ascii="Times New Roman" w:hAnsi="Times New Roman" w:eastAsia="仿宋_GB2312" w:cs="仿宋_GB2312"/>
          <w:color w:val="auto"/>
          <w:sz w:val="32"/>
          <w:szCs w:val="32"/>
          <w:highlight w:val="none"/>
          <w:lang w:val="en-US" w:eastAsia="zh-CN" w:bidi="ar"/>
        </w:rPr>
        <w:t>方案参加</w:t>
      </w:r>
      <w:r>
        <w:rPr>
          <w:rFonts w:hint="eastAsia" w:ascii="Times New Roman" w:hAnsi="Times New Roman" w:eastAsia="仿宋_GB2312" w:cs="仿宋_GB2312"/>
          <w:color w:val="auto"/>
          <w:sz w:val="32"/>
          <w:szCs w:val="32"/>
          <w:highlight w:val="none"/>
          <w:lang w:bidi="ar"/>
        </w:rPr>
        <w:t>基本养老保险的劳动年龄段人员，由征收</w:t>
      </w:r>
      <w:r>
        <w:rPr>
          <w:rFonts w:hint="eastAsia" w:ascii="Times New Roman" w:hAnsi="Times New Roman" w:eastAsia="仿宋_GB2312" w:cs="仿宋_GB2312"/>
          <w:color w:val="auto"/>
          <w:sz w:val="32"/>
          <w:szCs w:val="32"/>
          <w:highlight w:val="none"/>
          <w:lang w:val="en-US" w:eastAsia="zh-CN" w:bidi="ar"/>
        </w:rPr>
        <w:t>部门</w:t>
      </w:r>
      <w:r>
        <w:rPr>
          <w:rFonts w:hint="eastAsia" w:ascii="Times New Roman" w:hAnsi="Times New Roman" w:eastAsia="仿宋_GB2312" w:cs="仿宋_GB2312"/>
          <w:color w:val="auto"/>
          <w:sz w:val="32"/>
          <w:szCs w:val="32"/>
          <w:highlight w:val="none"/>
          <w:lang w:bidi="ar"/>
        </w:rPr>
        <w:t>一次性支付失业保险补助金5000元/人。</w:t>
      </w:r>
    </w:p>
    <w:p w14:paraId="3A16B23F">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val="en-US" w:eastAsia="zh-CN" w:bidi="ar"/>
        </w:rPr>
      </w:pPr>
      <w:r>
        <w:rPr>
          <w:rFonts w:hint="eastAsia" w:ascii="Times New Roman" w:hAnsi="Times New Roman" w:eastAsia="仿宋_GB2312" w:cs="仿宋_GB2312"/>
          <w:color w:val="auto"/>
          <w:sz w:val="32"/>
          <w:szCs w:val="32"/>
          <w:highlight w:val="none"/>
          <w:lang w:val="en-US" w:eastAsia="zh-CN" w:bidi="ar"/>
        </w:rPr>
        <w:t>3.其他事项</w:t>
      </w:r>
    </w:p>
    <w:p w14:paraId="1FBA093A">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sz w:val="32"/>
          <w:szCs w:val="32"/>
          <w:highlight w:val="none"/>
          <w:lang w:val="en-US" w:eastAsia="zh-CN" w:bidi="ar"/>
        </w:rPr>
        <w:t>（1）因土地征收致整户失去全部</w:t>
      </w:r>
      <w:r>
        <w:rPr>
          <w:rFonts w:hint="eastAsia" w:ascii="Times New Roman" w:hAnsi="Times New Roman" w:eastAsia="仿宋_GB2312" w:cs="仿宋_GB2312"/>
          <w:color w:val="auto"/>
          <w:sz w:val="32"/>
          <w:szCs w:val="32"/>
          <w:highlight w:val="none"/>
          <w:shd w:val="clear" w:color="auto" w:fill="auto"/>
          <w:lang w:val="en-US" w:eastAsia="zh-CN" w:bidi="ar"/>
        </w:rPr>
        <w:t>耕地</w:t>
      </w:r>
      <w:r>
        <w:rPr>
          <w:rFonts w:hint="eastAsia" w:ascii="Times New Roman" w:hAnsi="Times New Roman" w:eastAsia="仿宋_GB2312" w:cs="仿宋_GB2312"/>
          <w:color w:val="auto"/>
          <w:sz w:val="32"/>
          <w:szCs w:val="32"/>
          <w:highlight w:val="none"/>
          <w:lang w:val="en-US" w:eastAsia="zh-CN" w:bidi="ar"/>
        </w:rPr>
        <w:t>的</w:t>
      </w:r>
      <w:r>
        <w:rPr>
          <w:rFonts w:hint="eastAsia" w:ascii="Times New Roman" w:hAnsi="Times New Roman" w:eastAsia="仿宋_GB2312" w:cs="仿宋_GB2312"/>
          <w:color w:val="auto"/>
          <w:sz w:val="32"/>
          <w:szCs w:val="32"/>
          <w:highlight w:val="none"/>
          <w:lang w:bidi="ar"/>
        </w:rPr>
        <w:t>未满16周岁人员，</w:t>
      </w:r>
      <w:r>
        <w:rPr>
          <w:rFonts w:hint="eastAsia" w:ascii="Times New Roman" w:hAnsi="Times New Roman" w:eastAsia="仿宋_GB2312" w:cs="仿宋_GB2312"/>
          <w:color w:val="auto"/>
          <w:sz w:val="32"/>
          <w:szCs w:val="32"/>
          <w:highlight w:val="none"/>
          <w:lang w:val="en-US" w:eastAsia="zh-CN" w:bidi="ar"/>
        </w:rPr>
        <w:t>按照</w:t>
      </w:r>
      <w:r>
        <w:rPr>
          <w:rFonts w:hint="eastAsia" w:ascii="Times New Roman" w:hAnsi="Times New Roman" w:eastAsia="仿宋_GB2312" w:cs="仿宋_GB2312"/>
          <w:i w:val="0"/>
          <w:iCs w:val="0"/>
          <w:caps w:val="0"/>
          <w:color w:val="auto"/>
          <w:spacing w:val="0"/>
          <w:sz w:val="32"/>
          <w:szCs w:val="32"/>
          <w:highlight w:val="none"/>
          <w:lang w:bidi="ar"/>
        </w:rPr>
        <w:t>《乐山市征地农转非人员安置保障暂行办法》</w:t>
      </w:r>
      <w:r>
        <w:rPr>
          <w:rFonts w:hint="eastAsia" w:ascii="Times New Roman" w:hAnsi="Times New Roman" w:eastAsia="仿宋_GB2312" w:cs="仿宋_GB2312"/>
          <w:i w:val="0"/>
          <w:iCs w:val="0"/>
          <w:caps w:val="0"/>
          <w:color w:val="auto"/>
          <w:spacing w:val="0"/>
          <w:sz w:val="32"/>
          <w:szCs w:val="32"/>
          <w:highlight w:val="none"/>
          <w:lang w:val="en-US" w:eastAsia="zh-CN" w:bidi="ar"/>
        </w:rPr>
        <w:t>文件精神，给予一次性生活补贴。补贴标准参照我县上一年度最低生活保障标准以及社保缴费年限和基数标准，</w:t>
      </w:r>
      <w:r>
        <w:rPr>
          <w:rFonts w:hint="eastAsia" w:ascii="Times New Roman" w:hAnsi="Times New Roman" w:eastAsia="仿宋_GB2312" w:cs="仿宋_GB2312"/>
          <w:color w:val="auto"/>
          <w:sz w:val="32"/>
          <w:szCs w:val="32"/>
          <w:highlight w:val="none"/>
          <w:lang w:bidi="ar"/>
        </w:rPr>
        <w:t>由本人或法定监护人申请并签字（章）确认，经征收部门会同</w:t>
      </w:r>
      <w:r>
        <w:rPr>
          <w:rFonts w:hint="eastAsia" w:ascii="Times New Roman" w:hAnsi="Times New Roman" w:eastAsia="仿宋_GB2312" w:cs="仿宋_GB2312"/>
          <w:color w:val="auto"/>
          <w:sz w:val="32"/>
          <w:szCs w:val="32"/>
          <w:highlight w:val="none"/>
          <w:lang w:val="en-US" w:eastAsia="zh-CN" w:bidi="ar"/>
        </w:rPr>
        <w:t>沙坪镇和</w:t>
      </w:r>
      <w:r>
        <w:rPr>
          <w:rFonts w:hint="eastAsia" w:ascii="Times New Roman" w:hAnsi="Times New Roman" w:eastAsia="仿宋_GB2312" w:cs="仿宋_GB2312"/>
          <w:color w:val="auto"/>
          <w:sz w:val="32"/>
          <w:szCs w:val="32"/>
          <w:highlight w:val="none"/>
          <w:lang w:bidi="ar"/>
        </w:rPr>
        <w:t>人社</w:t>
      </w:r>
      <w:r>
        <w:rPr>
          <w:rFonts w:hint="eastAsia" w:ascii="Times New Roman" w:hAnsi="Times New Roman" w:eastAsia="仿宋_GB2312" w:cs="仿宋_GB2312"/>
          <w:color w:val="auto"/>
          <w:sz w:val="32"/>
          <w:szCs w:val="32"/>
          <w:highlight w:val="none"/>
          <w:lang w:val="en-US" w:eastAsia="zh-CN" w:bidi="ar"/>
        </w:rPr>
        <w:t>等</w:t>
      </w:r>
      <w:r>
        <w:rPr>
          <w:rFonts w:hint="eastAsia" w:ascii="Times New Roman" w:hAnsi="Times New Roman" w:eastAsia="仿宋_GB2312" w:cs="仿宋_GB2312"/>
          <w:color w:val="auto"/>
          <w:sz w:val="32"/>
          <w:szCs w:val="32"/>
          <w:highlight w:val="none"/>
          <w:lang w:bidi="ar"/>
        </w:rPr>
        <w:t>部门审核批准后，发放6万元的一次性货币补偿。</w:t>
      </w:r>
    </w:p>
    <w:p w14:paraId="0CC90458">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val="en-US" w:bidi="ar"/>
        </w:rPr>
      </w:pPr>
      <w:r>
        <w:rPr>
          <w:rFonts w:hint="eastAsia" w:ascii="Times New Roman" w:hAnsi="Times New Roman" w:eastAsia="仿宋_GB2312" w:cs="仿宋_GB2312"/>
          <w:color w:val="auto"/>
          <w:sz w:val="32"/>
          <w:szCs w:val="32"/>
          <w:highlight w:val="none"/>
          <w:lang w:val="en-US" w:eastAsia="zh-CN" w:bidi="ar"/>
        </w:rPr>
        <w:t>（2）重大疾病认定以峨边彝族自治县人民医院、峨边彝族自治县中医院或其他三级甲等医院确诊结果为准，重大疾病包含类型（详见附件3）。</w:t>
      </w:r>
    </w:p>
    <w:p w14:paraId="557A8E18">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黑体" w:cs="黑体"/>
          <w:color w:val="auto"/>
          <w:spacing w:val="0"/>
          <w:kern w:val="2"/>
          <w:sz w:val="32"/>
          <w:szCs w:val="32"/>
          <w:highlight w:val="none"/>
          <w:lang w:val="en-US" w:eastAsia="zh-CN"/>
        </w:rPr>
      </w:pPr>
      <w:r>
        <w:rPr>
          <w:rFonts w:hint="eastAsia" w:ascii="Times New Roman" w:hAnsi="Times New Roman" w:eastAsia="黑体" w:cs="黑体"/>
          <w:color w:val="auto"/>
          <w:spacing w:val="0"/>
          <w:kern w:val="2"/>
          <w:sz w:val="32"/>
          <w:szCs w:val="32"/>
          <w:highlight w:val="none"/>
          <w:lang w:val="en-US" w:eastAsia="zh-CN"/>
        </w:rPr>
        <w:t>六、其他事项</w:t>
      </w:r>
    </w:p>
    <w:p w14:paraId="6E5596EA">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u w:val="none"/>
          <w:lang w:eastAsia="zh-CN"/>
        </w:rPr>
      </w:pPr>
      <w:r>
        <w:rPr>
          <w:rFonts w:hint="eastAsia" w:ascii="Times New Roman" w:hAnsi="Times New Roman" w:eastAsia="仿宋_GB2312" w:cs="仿宋_GB2312"/>
          <w:color w:val="auto"/>
          <w:spacing w:val="0"/>
          <w:kern w:val="2"/>
          <w:sz w:val="32"/>
          <w:szCs w:val="32"/>
          <w:highlight w:val="none"/>
          <w:u w:val="none"/>
          <w:lang w:eastAsia="zh-CN"/>
        </w:rPr>
        <w:t>本次征收土地范围内的土地所有权人、使用权人应当在</w:t>
      </w:r>
      <w:r>
        <w:rPr>
          <w:rFonts w:hint="eastAsia" w:ascii="Times New Roman" w:hAnsi="Times New Roman" w:eastAsia="仿宋_GB2312" w:cs="仿宋_GB2312"/>
          <w:color w:val="auto"/>
          <w:spacing w:val="0"/>
          <w:kern w:val="2"/>
          <w:sz w:val="32"/>
          <w:szCs w:val="32"/>
          <w:highlight w:val="none"/>
          <w:u w:val="none"/>
          <w:lang w:val="en-US" w:eastAsia="zh-CN"/>
        </w:rPr>
        <w:t>征地补偿安置方案</w:t>
      </w:r>
      <w:r>
        <w:rPr>
          <w:rFonts w:hint="eastAsia" w:ascii="Times New Roman" w:hAnsi="Times New Roman" w:eastAsia="仿宋_GB2312" w:cs="仿宋_GB2312"/>
          <w:color w:val="auto"/>
          <w:spacing w:val="0"/>
          <w:kern w:val="2"/>
          <w:sz w:val="32"/>
          <w:szCs w:val="32"/>
          <w:highlight w:val="none"/>
          <w:u w:val="none"/>
          <w:lang w:eastAsia="zh-CN"/>
        </w:rPr>
        <w:t>公告发布之日起30日内持不动产权属证明材料或其他有关证明材料，到</w:t>
      </w:r>
      <w:r>
        <w:rPr>
          <w:rFonts w:hint="eastAsia" w:ascii="Times New Roman" w:hAnsi="Times New Roman" w:eastAsia="仿宋_GB2312" w:cs="仿宋_GB2312"/>
          <w:color w:val="auto"/>
          <w:spacing w:val="0"/>
          <w:kern w:val="2"/>
          <w:sz w:val="32"/>
          <w:szCs w:val="32"/>
          <w:highlight w:val="none"/>
          <w:u w:val="none"/>
          <w:lang w:val="en-US" w:eastAsia="zh-CN"/>
        </w:rPr>
        <w:t>沙坪</w:t>
      </w:r>
      <w:r>
        <w:rPr>
          <w:rFonts w:hint="eastAsia" w:ascii="Times New Roman" w:hAnsi="Times New Roman" w:eastAsia="仿宋_GB2312" w:cs="仿宋_GB2312"/>
          <w:color w:val="auto"/>
          <w:spacing w:val="0"/>
          <w:kern w:val="2"/>
          <w:sz w:val="32"/>
          <w:szCs w:val="32"/>
          <w:highlight w:val="none"/>
          <w:u w:val="none"/>
          <w:lang w:eastAsia="zh-CN"/>
        </w:rPr>
        <w:t>镇</w:t>
      </w:r>
      <w:r>
        <w:rPr>
          <w:rFonts w:hint="eastAsia" w:ascii="Times New Roman" w:hAnsi="Times New Roman" w:eastAsia="仿宋_GB2312" w:cs="仿宋_GB2312"/>
          <w:color w:val="auto"/>
          <w:spacing w:val="0"/>
          <w:kern w:val="2"/>
          <w:sz w:val="32"/>
          <w:szCs w:val="32"/>
          <w:highlight w:val="none"/>
          <w:u w:val="none"/>
          <w:lang w:val="en-US" w:eastAsia="zh-CN"/>
        </w:rPr>
        <w:t>人民</w:t>
      </w:r>
      <w:r>
        <w:rPr>
          <w:rFonts w:hint="eastAsia" w:ascii="Times New Roman" w:hAnsi="Times New Roman" w:eastAsia="仿宋_GB2312" w:cs="仿宋_GB2312"/>
          <w:color w:val="auto"/>
          <w:spacing w:val="0"/>
          <w:kern w:val="2"/>
          <w:sz w:val="32"/>
          <w:szCs w:val="32"/>
          <w:highlight w:val="none"/>
          <w:u w:val="none"/>
          <w:lang w:eastAsia="zh-CN"/>
        </w:rPr>
        <w:t>政府办理补偿登记。逾期未办理</w:t>
      </w:r>
      <w:r>
        <w:rPr>
          <w:rFonts w:hint="eastAsia" w:ascii="Times New Roman" w:hAnsi="Times New Roman" w:eastAsia="仿宋_GB2312" w:cs="仿宋_GB2312"/>
          <w:color w:val="auto"/>
          <w:spacing w:val="0"/>
          <w:kern w:val="2"/>
          <w:sz w:val="32"/>
          <w:szCs w:val="32"/>
          <w:highlight w:val="none"/>
          <w:u w:val="none"/>
          <w:lang w:val="en-US" w:eastAsia="zh-CN"/>
        </w:rPr>
        <w:t>补偿登记</w:t>
      </w:r>
      <w:r>
        <w:rPr>
          <w:rFonts w:hint="eastAsia" w:ascii="Times New Roman" w:hAnsi="Times New Roman" w:eastAsia="仿宋_GB2312" w:cs="仿宋_GB2312"/>
          <w:color w:val="auto"/>
          <w:spacing w:val="0"/>
          <w:kern w:val="2"/>
          <w:sz w:val="32"/>
          <w:szCs w:val="32"/>
          <w:highlight w:val="none"/>
          <w:u w:val="none"/>
          <w:lang w:eastAsia="zh-CN"/>
        </w:rPr>
        <w:t>的，</w:t>
      </w:r>
      <w:r>
        <w:rPr>
          <w:rFonts w:hint="eastAsia" w:ascii="Times New Roman" w:hAnsi="Times New Roman" w:eastAsia="仿宋_GB2312" w:cs="仿宋_GB2312"/>
          <w:color w:val="auto"/>
          <w:spacing w:val="0"/>
          <w:kern w:val="2"/>
          <w:sz w:val="32"/>
          <w:szCs w:val="32"/>
          <w:highlight w:val="none"/>
          <w:u w:val="none"/>
          <w:lang w:val="en-US" w:eastAsia="zh-CN"/>
        </w:rPr>
        <w:t>相关信息按照土地现状调查确认结果确定。</w:t>
      </w:r>
    </w:p>
    <w:p w14:paraId="57E2508A">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lang w:val="en-US" w:eastAsia="zh-CN"/>
        </w:rPr>
      </w:pPr>
      <w:r>
        <w:rPr>
          <w:rFonts w:hint="eastAsia" w:ascii="Times New Roman" w:hAnsi="Times New Roman" w:eastAsia="仿宋_GB2312" w:cs="仿宋_GB2312"/>
          <w:color w:val="auto"/>
          <w:spacing w:val="0"/>
          <w:kern w:val="2"/>
          <w:sz w:val="32"/>
          <w:szCs w:val="32"/>
          <w:highlight w:val="none"/>
          <w:lang w:val="en-US" w:eastAsia="zh-CN"/>
        </w:rPr>
        <w:t>被征地集体经济组织成员对本方案有不同意见的，可于公告之日起30日内提出书面意见，逾期未提出的，视为无意见。一半以上被征地集体经济组织成员不同意本方案的，县自然资源局将按照《自然资源听证规定》依法召开听证会。</w:t>
      </w:r>
    </w:p>
    <w:p w14:paraId="7190790F">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pacing w:val="0"/>
          <w:kern w:val="2"/>
          <w:sz w:val="32"/>
          <w:szCs w:val="32"/>
          <w:highlight w:val="none"/>
          <w:lang w:val="en-US" w:eastAsia="zh-CN"/>
        </w:rPr>
      </w:pPr>
      <w:r>
        <w:rPr>
          <w:rFonts w:hint="eastAsia" w:ascii="Times New Roman" w:hAnsi="Times New Roman" w:eastAsia="仿宋_GB2312" w:cs="仿宋_GB2312"/>
          <w:color w:val="auto"/>
          <w:spacing w:val="0"/>
          <w:kern w:val="2"/>
          <w:sz w:val="32"/>
          <w:szCs w:val="32"/>
          <w:highlight w:val="none"/>
          <w:lang w:val="en-US" w:eastAsia="zh-CN"/>
        </w:rPr>
        <w:t>本方案由县自然资源局负责解释，方案未尽事宜由县</w:t>
      </w:r>
      <w:r>
        <w:rPr>
          <w:rFonts w:hint="eastAsia" w:ascii="Times New Roman" w:hAnsi="Times New Roman" w:eastAsia="仿宋_GB2312" w:cs="仿宋_GB2312"/>
          <w:bCs w:val="0"/>
          <w:color w:val="auto"/>
          <w:sz w:val="32"/>
          <w:szCs w:val="32"/>
          <w:highlight w:val="none"/>
          <w:lang w:eastAsia="zh-CN"/>
        </w:rPr>
        <w:t>社区健身中心</w:t>
      </w:r>
      <w:r>
        <w:rPr>
          <w:rFonts w:hint="eastAsia" w:ascii="Times New Roman" w:hAnsi="Times New Roman" w:eastAsia="仿宋_GB2312" w:cs="仿宋_GB2312"/>
          <w:bCs w:val="0"/>
          <w:color w:val="auto"/>
          <w:sz w:val="32"/>
          <w:szCs w:val="32"/>
          <w:highlight w:val="none"/>
        </w:rPr>
        <w:t>基础设施建设项目</w:t>
      </w:r>
      <w:r>
        <w:rPr>
          <w:rFonts w:hint="eastAsia" w:ascii="Times New Roman" w:hAnsi="Times New Roman" w:eastAsia="仿宋_GB2312" w:cs="仿宋_GB2312"/>
          <w:color w:val="auto"/>
          <w:spacing w:val="0"/>
          <w:kern w:val="2"/>
          <w:sz w:val="32"/>
          <w:szCs w:val="32"/>
          <w:highlight w:val="none"/>
          <w:lang w:val="en-US" w:eastAsia="zh-CN"/>
        </w:rPr>
        <w:t>征收指挥部解决，重大事项按程序报县人民政府审批。</w:t>
      </w:r>
    </w:p>
    <w:p w14:paraId="6A83AF21">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 w:cs="仿宋"/>
          <w:color w:val="auto"/>
          <w:spacing w:val="0"/>
          <w:kern w:val="2"/>
          <w:sz w:val="32"/>
          <w:szCs w:val="32"/>
          <w:highlight w:val="none"/>
        </w:rPr>
      </w:pPr>
    </w:p>
    <w:p w14:paraId="5CF39EA6">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1600" w:leftChars="200" w:hanging="960" w:hangingChars="300"/>
        <w:textAlignment w:val="auto"/>
        <w:rPr>
          <w:rFonts w:hint="eastAsia" w:ascii="Times New Roman" w:hAnsi="Times New Roman" w:eastAsia="仿宋_GB2312" w:cs="仿宋_GB2312"/>
          <w:color w:val="auto"/>
          <w:spacing w:val="0"/>
          <w:kern w:val="2"/>
          <w:sz w:val="32"/>
          <w:szCs w:val="32"/>
          <w:highlight w:val="none"/>
          <w:u w:val="none"/>
          <w:lang w:eastAsia="zh-CN"/>
        </w:rPr>
      </w:pPr>
      <w:r>
        <w:rPr>
          <w:rFonts w:hint="eastAsia" w:ascii="Times New Roman" w:hAnsi="Times New Roman" w:eastAsia="仿宋_GB2312" w:cs="仿宋_GB2312"/>
          <w:color w:val="auto"/>
          <w:spacing w:val="0"/>
          <w:kern w:val="2"/>
          <w:sz w:val="32"/>
          <w:szCs w:val="32"/>
          <w:highlight w:val="none"/>
          <w:u w:val="none"/>
          <w:lang w:eastAsia="zh-CN"/>
        </w:rPr>
        <w:t>附件：</w:t>
      </w:r>
      <w:r>
        <w:rPr>
          <w:rFonts w:hint="eastAsia" w:ascii="Times New Roman" w:hAnsi="Times New Roman" w:eastAsia="仿宋_GB2312" w:cs="仿宋_GB2312"/>
          <w:color w:val="auto"/>
          <w:spacing w:val="0"/>
          <w:kern w:val="2"/>
          <w:sz w:val="32"/>
          <w:szCs w:val="32"/>
          <w:highlight w:val="none"/>
          <w:u w:val="none"/>
          <w:lang w:val="en-US" w:eastAsia="zh-CN"/>
        </w:rPr>
        <w:t>1</w:t>
      </w:r>
      <w:r>
        <w:rPr>
          <w:rFonts w:hint="default" w:ascii="Times New Roman" w:hAnsi="Times New Roman" w:eastAsia="仿宋_GB2312" w:cs="仿宋_GB2312"/>
          <w:color w:val="auto"/>
          <w:spacing w:val="0"/>
          <w:kern w:val="2"/>
          <w:sz w:val="32"/>
          <w:szCs w:val="32"/>
          <w:highlight w:val="none"/>
          <w:u w:val="none"/>
          <w:lang w:val="en-US" w:eastAsia="zh-CN"/>
        </w:rPr>
        <w:t>.</w:t>
      </w:r>
      <w:r>
        <w:rPr>
          <w:rFonts w:hint="eastAsia" w:ascii="Times New Roman" w:hAnsi="Times New Roman" w:eastAsia="仿宋_GB2312" w:cs="仿宋_GB2312"/>
          <w:color w:val="auto"/>
          <w:spacing w:val="0"/>
          <w:kern w:val="2"/>
          <w:sz w:val="32"/>
          <w:szCs w:val="32"/>
          <w:highlight w:val="none"/>
          <w:u w:val="none"/>
          <w:lang w:val="en-US" w:eastAsia="zh-CN"/>
        </w:rPr>
        <w:t>峨边彝族自治县社区健身中心工程项目土地现状调查表</w:t>
      </w:r>
    </w:p>
    <w:p w14:paraId="4B8D48E3">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1600" w:firstLineChars="500"/>
        <w:textAlignment w:val="auto"/>
        <w:rPr>
          <w:rFonts w:hint="eastAsia" w:ascii="Times New Roman" w:hAnsi="Times New Roman" w:eastAsia="仿宋_GB2312" w:cs="仿宋_GB2312"/>
          <w:color w:val="auto"/>
          <w:spacing w:val="0"/>
          <w:kern w:val="2"/>
          <w:sz w:val="32"/>
          <w:szCs w:val="32"/>
          <w:highlight w:val="none"/>
          <w:u w:val="none"/>
          <w:lang w:eastAsia="zh-CN"/>
        </w:rPr>
      </w:pPr>
      <w:r>
        <w:rPr>
          <w:rFonts w:hint="eastAsia" w:ascii="Times New Roman" w:hAnsi="Times New Roman" w:eastAsia="仿宋_GB2312" w:cs="仿宋_GB2312"/>
          <w:color w:val="auto"/>
          <w:spacing w:val="0"/>
          <w:kern w:val="2"/>
          <w:sz w:val="32"/>
          <w:szCs w:val="32"/>
          <w:highlight w:val="none"/>
          <w:u w:val="none"/>
          <w:lang w:val="en-US" w:eastAsia="zh-CN"/>
        </w:rPr>
        <w:t>2.</w:t>
      </w:r>
      <w:r>
        <w:rPr>
          <w:rFonts w:hint="eastAsia" w:ascii="Times New Roman" w:hAnsi="Times New Roman" w:eastAsia="仿宋_GB2312" w:cs="仿宋_GB2312"/>
          <w:color w:val="auto"/>
          <w:spacing w:val="0"/>
          <w:kern w:val="2"/>
          <w:sz w:val="32"/>
          <w:szCs w:val="32"/>
          <w:highlight w:val="none"/>
          <w:u w:val="none"/>
          <w:lang w:eastAsia="zh-CN"/>
        </w:rPr>
        <w:t>峨边彝族自治县征收农用地区片综合地价标准</w:t>
      </w:r>
    </w:p>
    <w:p w14:paraId="0122505E">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1600" w:firstLineChars="500"/>
        <w:textAlignment w:val="auto"/>
        <w:rPr>
          <w:rFonts w:hint="eastAsia" w:ascii="Times New Roman" w:hAnsi="Times New Roman" w:eastAsia="仿宋_GB2312" w:cs="仿宋_GB2312"/>
          <w:color w:val="auto"/>
          <w:spacing w:val="0"/>
          <w:kern w:val="2"/>
          <w:sz w:val="32"/>
          <w:szCs w:val="32"/>
          <w:highlight w:val="none"/>
          <w:u w:val="none"/>
          <w:lang w:val="en-US" w:eastAsia="zh-CN"/>
        </w:rPr>
      </w:pPr>
      <w:r>
        <w:rPr>
          <w:rFonts w:hint="eastAsia" w:ascii="Times New Roman" w:hAnsi="Times New Roman" w:eastAsia="仿宋_GB2312" w:cs="仿宋_GB2312"/>
          <w:color w:val="auto"/>
          <w:spacing w:val="0"/>
          <w:kern w:val="2"/>
          <w:sz w:val="32"/>
          <w:szCs w:val="32"/>
          <w:highlight w:val="none"/>
          <w:u w:val="none"/>
          <w:shd w:val="clear" w:color="auto" w:fill="auto"/>
          <w:lang w:val="en-US" w:eastAsia="zh-CN"/>
        </w:rPr>
        <w:t>3.</w:t>
      </w:r>
      <w:r>
        <w:rPr>
          <w:rFonts w:hint="eastAsia" w:ascii="Times New Roman" w:hAnsi="Times New Roman" w:eastAsia="仿宋_GB2312" w:cs="仿宋_GB2312"/>
          <w:b w:val="0"/>
          <w:color w:val="auto"/>
          <w:sz w:val="32"/>
          <w:szCs w:val="32"/>
          <w:highlight w:val="none"/>
          <w:lang w:val="en-US" w:eastAsia="zh-CN"/>
        </w:rPr>
        <w:t>2022年健康扶贫后评估中病种（25）</w:t>
      </w:r>
    </w:p>
    <w:p w14:paraId="0F91D220">
      <w:pPr>
        <w:shd w:val="clear" w:color="auto" w:fill="auto"/>
        <w:spacing w:line="600" w:lineRule="exact"/>
        <w:ind w:left="2432" w:leftChars="760" w:firstLine="67" w:firstLineChars="21"/>
        <w:jc w:val="left"/>
        <w:rPr>
          <w:rFonts w:hint="eastAsia" w:ascii="仿宋_GB2312" w:hAnsi="仿宋_GB2312" w:eastAsia="仿宋_GB2312" w:cs="仿宋_GB2312"/>
          <w:b w:val="0"/>
          <w:color w:val="auto"/>
          <w:sz w:val="32"/>
          <w:szCs w:val="32"/>
          <w:highlight w:val="none"/>
          <w:lang w:val="en-US" w:eastAsia="zh-CN"/>
        </w:rPr>
      </w:pPr>
    </w:p>
    <w:p w14:paraId="2DD1F91B">
      <w:pPr>
        <w:pStyle w:val="17"/>
        <w:keepNext w:val="0"/>
        <w:keepLines w:val="0"/>
        <w:pageBreakBefore w:val="0"/>
        <w:widowControl/>
        <w:shd w:val="clear" w:color="auto" w:fill="auto"/>
        <w:kinsoku/>
        <w:wordWrap/>
        <w:overflowPunct/>
        <w:topLinePunct w:val="0"/>
        <w:autoSpaceDE w:val="0"/>
        <w:autoSpaceDN w:val="0"/>
        <w:bidi w:val="0"/>
        <w:adjustRightInd w:val="0"/>
        <w:snapToGrid w:val="0"/>
        <w:spacing w:line="600" w:lineRule="exact"/>
        <w:ind w:firstLine="1600" w:firstLineChars="500"/>
        <w:textAlignment w:val="baseline"/>
        <w:outlineLvl w:val="0"/>
        <w:rPr>
          <w:rFonts w:hint="eastAsia" w:ascii="仿宋_GB2312" w:hAnsi="仿宋_GB2312" w:eastAsia="仿宋_GB2312" w:cs="仿宋_GB2312"/>
          <w:color w:val="auto"/>
          <w:spacing w:val="0"/>
          <w:kern w:val="2"/>
          <w:sz w:val="32"/>
          <w:szCs w:val="32"/>
          <w:highlight w:val="none"/>
          <w:u w:val="none"/>
          <w:shd w:val="clear" w:color="auto" w:fill="auto"/>
          <w:lang w:val="en-US" w:eastAsia="zh-CN"/>
        </w:rPr>
        <w:sectPr>
          <w:footerReference r:id="rId3" w:type="default"/>
          <w:pgSz w:w="11910" w:h="16840"/>
          <w:pgMar w:top="2041" w:right="1468" w:bottom="1587" w:left="1468" w:header="0" w:footer="992" w:gutter="0"/>
          <w:pgNumType w:fmt="decimal" w:start="1"/>
          <w:cols w:space="720" w:num="1"/>
        </w:sectPr>
      </w:pPr>
    </w:p>
    <w:tbl>
      <w:tblPr>
        <w:tblStyle w:val="10"/>
        <w:tblW w:w="228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3"/>
        <w:gridCol w:w="19570"/>
        <w:gridCol w:w="1446"/>
        <w:gridCol w:w="675"/>
      </w:tblGrid>
      <w:tr w14:paraId="79A74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193" w:type="dxa"/>
            <w:tcBorders>
              <w:top w:val="nil"/>
              <w:left w:val="nil"/>
              <w:bottom w:val="nil"/>
              <w:right w:val="nil"/>
            </w:tcBorders>
            <w:noWrap/>
            <w:vAlign w:val="center"/>
          </w:tcPr>
          <w:p w14:paraId="69D332C4">
            <w:pPr>
              <w:shd w:val="clear" w:color="auto" w:fill="auto"/>
              <w:spacing w:line="220" w:lineRule="atLeast"/>
              <w:jc w:val="both"/>
              <w:rPr>
                <w:rFonts w:hint="default" w:ascii="宋体" w:hAnsi="宋体" w:eastAsia="宋体" w:cs="宋体"/>
                <w:i w:val="0"/>
                <w:iCs w:val="0"/>
                <w:color w:val="000000"/>
                <w:sz w:val="22"/>
                <w:szCs w:val="22"/>
                <w:u w:val="none"/>
                <w:lang w:val="en-US" w:eastAsia="zh-CN"/>
              </w:rPr>
            </w:pPr>
            <w:r>
              <w:rPr>
                <w:rFonts w:hint="eastAsia" w:ascii="黑体" w:hAnsi="黑体" w:eastAsia="黑体" w:cs="黑体"/>
                <w:color w:val="auto"/>
                <w:sz w:val="32"/>
                <w:szCs w:val="32"/>
                <w:highlight w:val="none"/>
                <w:u w:val="none"/>
                <w:lang w:val="en-US" w:eastAsia="zh-CN"/>
              </w:rPr>
              <w:t>附件1</w:t>
            </w:r>
          </w:p>
        </w:tc>
        <w:tc>
          <w:tcPr>
            <w:tcW w:w="19570" w:type="dxa"/>
            <w:tcBorders>
              <w:top w:val="nil"/>
              <w:left w:val="nil"/>
              <w:bottom w:val="nil"/>
              <w:right w:val="nil"/>
            </w:tcBorders>
            <w:noWrap/>
            <w:vAlign w:val="center"/>
          </w:tcPr>
          <w:p w14:paraId="64D8E3BF">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3571AB92">
            <w:pPr>
              <w:keepNext w:val="0"/>
              <w:keepLines w:val="0"/>
              <w:widowControl/>
              <w:suppressLineNumbers w:val="0"/>
              <w:jc w:val="center"/>
              <w:textAlignment w:val="center"/>
              <w:rPr>
                <w:rFonts w:hint="eastAsia" w:ascii="方正小标宋简体" w:hAnsi="方正小标宋简体" w:eastAsia="方正小标宋简体" w:cs="方正小标宋简体"/>
                <w:b w:val="0"/>
                <w:bCs w:val="0"/>
                <w:i w:val="0"/>
                <w:iCs w:val="0"/>
                <w:color w:val="000000"/>
                <w:kern w:val="0"/>
                <w:sz w:val="41"/>
                <w:szCs w:val="41"/>
                <w:u w:val="none"/>
                <w:lang w:val="en-US" w:eastAsia="zh-CN" w:bidi="ar"/>
              </w:rPr>
            </w:pPr>
          </w:p>
          <w:p w14:paraId="38241648">
            <w:pPr>
              <w:keepNext w:val="0"/>
              <w:keepLines w:val="0"/>
              <w:widowControl/>
              <w:suppressLineNumbers w:val="0"/>
              <w:ind w:firstLine="410" w:firstLineChars="100"/>
              <w:jc w:val="both"/>
              <w:textAlignment w:val="center"/>
              <w:rPr>
                <w:rFonts w:hint="eastAsia" w:ascii="方正小标宋简体" w:hAnsi="方正小标宋简体" w:eastAsia="方正小标宋简体" w:cs="方正小标宋简体"/>
                <w:b w:val="0"/>
                <w:bCs w:val="0"/>
                <w:i w:val="0"/>
                <w:iCs w:val="0"/>
                <w:color w:val="000000"/>
                <w:kern w:val="0"/>
                <w:sz w:val="41"/>
                <w:szCs w:val="41"/>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1"/>
                <w:szCs w:val="41"/>
                <w:u w:val="none"/>
                <w:lang w:val="en-US" w:eastAsia="zh-CN" w:bidi="ar"/>
              </w:rPr>
              <w:t>峨边彝族自治县社区健身中心工程项目土地现状调查表</w:t>
            </w:r>
          </w:p>
          <w:p w14:paraId="2CA21E44">
            <w:pPr>
              <w:keepNext w:val="0"/>
              <w:keepLines w:val="0"/>
              <w:widowControl/>
              <w:suppressLineNumbers w:val="0"/>
              <w:jc w:val="center"/>
              <w:textAlignment w:val="center"/>
              <w:rPr>
                <w:rFonts w:hint="default"/>
                <w:lang w:val="en-US" w:eastAsia="zh-CN"/>
              </w:rPr>
            </w:pPr>
            <w:r>
              <w:rPr>
                <w:rFonts w:hint="eastAsia" w:ascii="宋体" w:hAnsi="宋体" w:cs="宋体"/>
                <w:i w:val="0"/>
                <w:iCs w:val="0"/>
                <w:color w:val="00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单位：亩</w:t>
            </w:r>
          </w:p>
        </w:tc>
        <w:tc>
          <w:tcPr>
            <w:tcW w:w="1446" w:type="dxa"/>
            <w:tcBorders>
              <w:top w:val="nil"/>
              <w:left w:val="nil"/>
              <w:bottom w:val="nil"/>
              <w:right w:val="nil"/>
            </w:tcBorders>
            <w:noWrap/>
            <w:vAlign w:val="center"/>
          </w:tcPr>
          <w:p w14:paraId="171E4DDA">
            <w:pPr>
              <w:jc w:val="center"/>
              <w:rPr>
                <w:rFonts w:hint="eastAsia" w:ascii="宋体" w:hAnsi="宋体" w:eastAsia="宋体" w:cs="宋体"/>
                <w:b/>
                <w:bCs/>
                <w:i w:val="0"/>
                <w:iCs w:val="0"/>
                <w:color w:val="000000"/>
                <w:sz w:val="28"/>
                <w:szCs w:val="28"/>
                <w:u w:val="none"/>
              </w:rPr>
            </w:pPr>
          </w:p>
        </w:tc>
        <w:tc>
          <w:tcPr>
            <w:tcW w:w="675" w:type="dxa"/>
            <w:tcBorders>
              <w:top w:val="nil"/>
              <w:left w:val="nil"/>
              <w:bottom w:val="nil"/>
              <w:right w:val="nil"/>
            </w:tcBorders>
            <w:noWrap/>
            <w:vAlign w:val="center"/>
          </w:tcPr>
          <w:p w14:paraId="6E12D278">
            <w:pPr>
              <w:jc w:val="center"/>
              <w:rPr>
                <w:rFonts w:hint="eastAsia" w:ascii="宋体" w:hAnsi="宋体" w:eastAsia="宋体" w:cs="宋体"/>
                <w:i w:val="0"/>
                <w:iCs w:val="0"/>
                <w:color w:val="000000"/>
                <w:sz w:val="22"/>
                <w:szCs w:val="22"/>
                <w:u w:val="none"/>
              </w:rPr>
            </w:pPr>
          </w:p>
        </w:tc>
      </w:tr>
    </w:tbl>
    <w:tbl>
      <w:tblPr>
        <w:tblStyle w:val="10"/>
        <w:tblpPr w:leftFromText="180" w:rightFromText="180" w:vertAnchor="text" w:horzAnchor="page" w:tblpXSpec="center" w:tblpY="158"/>
        <w:tblOverlap w:val="never"/>
        <w:tblW w:w="115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5"/>
        <w:gridCol w:w="1445"/>
        <w:gridCol w:w="1445"/>
        <w:gridCol w:w="1445"/>
        <w:gridCol w:w="1445"/>
        <w:gridCol w:w="1445"/>
        <w:gridCol w:w="1445"/>
        <w:gridCol w:w="1449"/>
      </w:tblGrid>
      <w:tr w14:paraId="757C0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1445" w:type="dxa"/>
            <w:tcBorders>
              <w:top w:val="single" w:color="000000" w:sz="4" w:space="0"/>
              <w:left w:val="single" w:color="000000" w:sz="4" w:space="0"/>
              <w:bottom w:val="single" w:color="000000" w:sz="4" w:space="0"/>
              <w:right w:val="single" w:color="000000" w:sz="4" w:space="0"/>
            </w:tcBorders>
            <w:noWrap/>
            <w:vAlign w:val="center"/>
          </w:tcPr>
          <w:p w14:paraId="19DAC4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村</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5B17F3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组</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004F590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总面积</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0B64D70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耕地</w:t>
            </w:r>
            <w:r>
              <w:rPr>
                <w:rFonts w:hint="eastAsia" w:ascii="宋体" w:hAnsi="宋体" w:cs="宋体"/>
                <w:i w:val="0"/>
                <w:iCs w:val="0"/>
                <w:color w:val="000000"/>
                <w:kern w:val="0"/>
                <w:sz w:val="28"/>
                <w:szCs w:val="28"/>
                <w:u w:val="none"/>
                <w:lang w:val="en-US" w:eastAsia="zh-CN" w:bidi="ar"/>
              </w:rPr>
              <w:t>（</w:t>
            </w:r>
            <w:r>
              <w:rPr>
                <w:rFonts w:hint="eastAsia" w:ascii="宋体" w:hAnsi="宋体" w:eastAsia="宋体" w:cs="宋体"/>
                <w:i w:val="0"/>
                <w:iCs w:val="0"/>
                <w:color w:val="000000"/>
                <w:kern w:val="0"/>
                <w:sz w:val="28"/>
                <w:szCs w:val="28"/>
                <w:u w:val="none"/>
                <w:lang w:val="en-US" w:eastAsia="zh-CN" w:bidi="ar"/>
              </w:rPr>
              <w:t>园地</w:t>
            </w:r>
            <w:r>
              <w:rPr>
                <w:rFonts w:hint="eastAsia" w:ascii="宋体" w:hAnsi="宋体" w:cs="宋体"/>
                <w:i w:val="0"/>
                <w:iCs w:val="0"/>
                <w:color w:val="000000"/>
                <w:kern w:val="0"/>
                <w:sz w:val="28"/>
                <w:szCs w:val="28"/>
                <w:u w:val="none"/>
                <w:lang w:val="en-US" w:eastAsia="zh-CN" w:bidi="ar"/>
              </w:rPr>
              <w:t>）</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7E555C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林地</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1E20D4D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其他农用地</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0FBE493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建设用地</w:t>
            </w:r>
          </w:p>
        </w:tc>
        <w:tc>
          <w:tcPr>
            <w:tcW w:w="1449" w:type="dxa"/>
            <w:tcBorders>
              <w:top w:val="single" w:color="000000" w:sz="4" w:space="0"/>
              <w:left w:val="single" w:color="000000" w:sz="4" w:space="0"/>
              <w:bottom w:val="single" w:color="000000" w:sz="4" w:space="0"/>
              <w:right w:val="single" w:color="000000" w:sz="4" w:space="0"/>
            </w:tcBorders>
            <w:noWrap/>
            <w:vAlign w:val="center"/>
          </w:tcPr>
          <w:p w14:paraId="5F27829C">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未利用地</w:t>
            </w:r>
          </w:p>
        </w:tc>
      </w:tr>
      <w:tr w14:paraId="0687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1445" w:type="dxa"/>
            <w:tcBorders>
              <w:top w:val="single" w:color="000000" w:sz="4" w:space="0"/>
              <w:left w:val="single" w:color="000000" w:sz="4" w:space="0"/>
              <w:bottom w:val="single" w:color="000000" w:sz="4" w:space="0"/>
              <w:right w:val="single" w:color="000000" w:sz="4" w:space="0"/>
            </w:tcBorders>
            <w:noWrap/>
            <w:vAlign w:val="center"/>
          </w:tcPr>
          <w:p w14:paraId="76D7C1B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河沟村</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1FF79E4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495FE6D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12.1062</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2288E7C9">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kern w:val="0"/>
                <w:sz w:val="28"/>
                <w:szCs w:val="28"/>
                <w:u w:val="none"/>
                <w:lang w:val="en-US" w:eastAsia="zh-CN" w:bidi="ar"/>
              </w:rPr>
              <w:t>12.1062</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12291E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0</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61568A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0</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7FF4E12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0</w:t>
            </w:r>
          </w:p>
        </w:tc>
        <w:tc>
          <w:tcPr>
            <w:tcW w:w="1449" w:type="dxa"/>
            <w:tcBorders>
              <w:top w:val="single" w:color="000000" w:sz="4" w:space="0"/>
              <w:left w:val="single" w:color="000000" w:sz="4" w:space="0"/>
              <w:bottom w:val="single" w:color="000000" w:sz="4" w:space="0"/>
              <w:right w:val="single" w:color="000000" w:sz="4" w:space="0"/>
            </w:tcBorders>
            <w:noWrap/>
            <w:vAlign w:val="center"/>
          </w:tcPr>
          <w:p w14:paraId="3D27C3A2">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0</w:t>
            </w:r>
          </w:p>
        </w:tc>
      </w:tr>
    </w:tbl>
    <w:p w14:paraId="6C3C34B3">
      <w:pPr>
        <w:pStyle w:val="17"/>
        <w:keepNext w:val="0"/>
        <w:keepLines w:val="0"/>
        <w:pageBreakBefore w:val="0"/>
        <w:widowControl/>
        <w:shd w:val="clear" w:color="auto" w:fill="auto"/>
        <w:kinsoku/>
        <w:wordWrap/>
        <w:overflowPunct/>
        <w:topLinePunct w:val="0"/>
        <w:autoSpaceDE w:val="0"/>
        <w:autoSpaceDN w:val="0"/>
        <w:bidi w:val="0"/>
        <w:adjustRightInd w:val="0"/>
        <w:snapToGrid w:val="0"/>
        <w:spacing w:line="600" w:lineRule="exact"/>
        <w:textAlignment w:val="baseline"/>
        <w:outlineLvl w:val="0"/>
        <w:rPr>
          <w:rFonts w:hint="default" w:ascii="黑体" w:hAnsi="黑体" w:eastAsia="黑体" w:cs="黑体"/>
          <w:color w:val="FF0000"/>
          <w:highlight w:val="none"/>
          <w:u w:val="none"/>
          <w:lang w:val="en-US" w:eastAsia="zh-CN"/>
        </w:rPr>
      </w:pPr>
    </w:p>
    <w:p w14:paraId="5C16CD07">
      <w:pPr>
        <w:pStyle w:val="17"/>
        <w:keepNext w:val="0"/>
        <w:keepLines w:val="0"/>
        <w:pageBreakBefore w:val="0"/>
        <w:widowControl/>
        <w:shd w:val="clear" w:color="auto" w:fill="auto"/>
        <w:kinsoku/>
        <w:wordWrap/>
        <w:overflowPunct/>
        <w:topLinePunct w:val="0"/>
        <w:autoSpaceDE w:val="0"/>
        <w:autoSpaceDN w:val="0"/>
        <w:bidi w:val="0"/>
        <w:adjustRightInd w:val="0"/>
        <w:snapToGrid w:val="0"/>
        <w:spacing w:line="600" w:lineRule="exact"/>
        <w:textAlignment w:val="baseline"/>
        <w:outlineLvl w:val="0"/>
        <w:rPr>
          <w:rFonts w:hint="default" w:ascii="黑体" w:hAnsi="黑体" w:eastAsia="黑体" w:cs="黑体"/>
          <w:color w:val="FF0000"/>
          <w:highlight w:val="none"/>
          <w:u w:val="none"/>
          <w:lang w:val="en-US" w:eastAsia="zh-CN"/>
        </w:rPr>
      </w:pPr>
    </w:p>
    <w:p w14:paraId="4D37139C">
      <w:pPr>
        <w:pStyle w:val="17"/>
        <w:keepNext w:val="0"/>
        <w:keepLines w:val="0"/>
        <w:pageBreakBefore w:val="0"/>
        <w:widowControl/>
        <w:shd w:val="clear" w:color="auto" w:fill="auto"/>
        <w:kinsoku/>
        <w:wordWrap/>
        <w:overflowPunct/>
        <w:topLinePunct w:val="0"/>
        <w:autoSpaceDE w:val="0"/>
        <w:autoSpaceDN w:val="0"/>
        <w:bidi w:val="0"/>
        <w:adjustRightInd w:val="0"/>
        <w:snapToGrid w:val="0"/>
        <w:spacing w:line="600" w:lineRule="exact"/>
        <w:textAlignment w:val="baseline"/>
        <w:outlineLvl w:val="0"/>
        <w:rPr>
          <w:rFonts w:hint="default" w:ascii="黑体" w:hAnsi="黑体" w:eastAsia="黑体" w:cs="黑体"/>
          <w:color w:val="FF0000"/>
          <w:highlight w:val="none"/>
          <w:u w:val="none"/>
          <w:lang w:val="en-US" w:eastAsia="zh-CN"/>
        </w:rPr>
        <w:sectPr>
          <w:footerReference r:id="rId4" w:type="default"/>
          <w:pgSz w:w="16840" w:h="11910" w:orient="landscape"/>
          <w:pgMar w:top="1468" w:right="2041" w:bottom="1468" w:left="1587" w:header="1134" w:footer="992" w:gutter="0"/>
          <w:pgNumType w:fmt="decimal"/>
          <w:cols w:space="720" w:num="1"/>
        </w:sectPr>
      </w:pPr>
    </w:p>
    <w:p w14:paraId="1E848CC0">
      <w:pPr>
        <w:shd w:val="clear" w:color="auto" w:fill="auto"/>
        <w:spacing w:line="220" w:lineRule="atLeast"/>
        <w:jc w:val="both"/>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附件2</w:t>
      </w:r>
    </w:p>
    <w:p w14:paraId="6DB096EE">
      <w:pPr>
        <w:keepNext w:val="0"/>
        <w:keepLines w:val="0"/>
        <w:pageBreakBefore w:val="0"/>
        <w:shd w:val="clear" w:color="auto" w:fill="auto"/>
        <w:kinsoku/>
        <w:overflowPunct/>
        <w:topLinePunct w:val="0"/>
        <w:bidi w:val="0"/>
        <w:spacing w:before="341" w:line="600" w:lineRule="exact"/>
        <w:ind w:left="80"/>
        <w:jc w:val="center"/>
        <w:rPr>
          <w:rFonts w:ascii="宋体" w:hAnsi="宋体" w:eastAsia="宋体" w:cs="宋体"/>
          <w:color w:val="auto"/>
          <w:sz w:val="41"/>
          <w:szCs w:val="41"/>
          <w:highlight w:val="none"/>
        </w:rPr>
      </w:pPr>
      <w:r>
        <w:rPr>
          <w:rFonts w:hint="eastAsia" w:ascii="方正小标宋简体" w:hAnsi="方正小标宋简体" w:eastAsia="方正小标宋简体" w:cs="方正小标宋简体"/>
          <w:b w:val="0"/>
          <w:bCs w:val="0"/>
          <w:color w:val="auto"/>
          <w:spacing w:val="-6"/>
          <w:sz w:val="41"/>
          <w:szCs w:val="41"/>
          <w:highlight w:val="none"/>
        </w:rPr>
        <w:t>峨边彝族自治县征收农用地区片综合地价标准表</w:t>
      </w:r>
    </w:p>
    <w:p w14:paraId="159AC9BB">
      <w:pPr>
        <w:shd w:val="clear" w:color="auto" w:fill="auto"/>
        <w:spacing w:before="61"/>
        <w:rPr>
          <w:color w:val="auto"/>
          <w:highlight w:val="none"/>
        </w:rPr>
      </w:pPr>
    </w:p>
    <w:tbl>
      <w:tblPr>
        <w:tblStyle w:val="16"/>
        <w:tblW w:w="87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1508"/>
        <w:gridCol w:w="4205"/>
        <w:gridCol w:w="1169"/>
        <w:gridCol w:w="1314"/>
      </w:tblGrid>
      <w:tr w14:paraId="586F5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94" w:type="dxa"/>
            <w:vMerge w:val="restart"/>
            <w:tcBorders>
              <w:bottom w:val="nil"/>
            </w:tcBorders>
            <w:noWrap w:val="0"/>
            <w:vAlign w:val="center"/>
          </w:tcPr>
          <w:p w14:paraId="2C559FD6">
            <w:pPr>
              <w:shd w:val="clear" w:color="auto" w:fill="auto"/>
              <w:spacing w:before="189" w:line="216" w:lineRule="auto"/>
              <w:ind w:left="28"/>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区片</w:t>
            </w:r>
          </w:p>
          <w:p w14:paraId="2BA9357A">
            <w:pPr>
              <w:shd w:val="clear" w:color="auto" w:fill="auto"/>
              <w:spacing w:before="189" w:line="216" w:lineRule="auto"/>
              <w:ind w:left="28"/>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编号</w:t>
            </w:r>
          </w:p>
        </w:tc>
        <w:tc>
          <w:tcPr>
            <w:tcW w:w="5713" w:type="dxa"/>
            <w:gridSpan w:val="2"/>
            <w:noWrap w:val="0"/>
            <w:vAlign w:val="center"/>
          </w:tcPr>
          <w:p w14:paraId="647E92E2">
            <w:pPr>
              <w:shd w:val="clear" w:color="auto" w:fill="auto"/>
              <w:spacing w:before="174" w:line="220" w:lineRule="auto"/>
              <w:ind w:left="0"/>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区片范围描述</w:t>
            </w:r>
          </w:p>
        </w:tc>
        <w:tc>
          <w:tcPr>
            <w:tcW w:w="1169" w:type="dxa"/>
            <w:vMerge w:val="restart"/>
            <w:tcBorders>
              <w:bottom w:val="nil"/>
            </w:tcBorders>
            <w:noWrap w:val="0"/>
            <w:vAlign w:val="center"/>
          </w:tcPr>
          <w:p w14:paraId="5B0A7062">
            <w:pPr>
              <w:shd w:val="clear" w:color="auto" w:fill="auto"/>
              <w:spacing w:before="71" w:line="250" w:lineRule="auto"/>
              <w:ind w:left="198" w:right="142" w:firstLine="50"/>
              <w:jc w:val="cente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pacing w:val="3"/>
                <w:sz w:val="22"/>
                <w:szCs w:val="22"/>
                <w:highlight w:val="none"/>
              </w:rPr>
              <w:t>区片价</w:t>
            </w:r>
            <w:r>
              <w:rPr>
                <w:rFonts w:hint="eastAsia" w:ascii="仿宋_GB2312" w:hAnsi="仿宋_GB2312" w:eastAsia="仿宋_GB2312" w:cs="仿宋_GB2312"/>
                <w:color w:val="auto"/>
                <w:spacing w:val="9"/>
                <w:sz w:val="22"/>
                <w:szCs w:val="22"/>
                <w:highlight w:val="none"/>
                <w:lang w:eastAsia="zh-CN"/>
              </w:rPr>
              <w:t>（</w:t>
            </w:r>
            <w:r>
              <w:rPr>
                <w:rFonts w:hint="eastAsia" w:ascii="仿宋_GB2312" w:hAnsi="仿宋_GB2312" w:eastAsia="仿宋_GB2312" w:cs="仿宋_GB2312"/>
                <w:color w:val="auto"/>
                <w:spacing w:val="9"/>
                <w:sz w:val="22"/>
                <w:szCs w:val="22"/>
                <w:highlight w:val="none"/>
              </w:rPr>
              <w:t>元/亩</w:t>
            </w:r>
            <w:r>
              <w:rPr>
                <w:rFonts w:hint="eastAsia" w:ascii="仿宋_GB2312" w:hAnsi="仿宋_GB2312" w:eastAsia="仿宋_GB2312" w:cs="仿宋_GB2312"/>
                <w:color w:val="auto"/>
                <w:spacing w:val="9"/>
                <w:sz w:val="22"/>
                <w:szCs w:val="22"/>
                <w:highlight w:val="none"/>
                <w:lang w:eastAsia="zh-CN"/>
              </w:rPr>
              <w:t>）</w:t>
            </w:r>
          </w:p>
        </w:tc>
        <w:tc>
          <w:tcPr>
            <w:tcW w:w="1314" w:type="dxa"/>
            <w:vMerge w:val="restart"/>
            <w:tcBorders>
              <w:bottom w:val="nil"/>
            </w:tcBorders>
            <w:noWrap w:val="0"/>
            <w:vAlign w:val="center"/>
          </w:tcPr>
          <w:p w14:paraId="0F474008">
            <w:pPr>
              <w:shd w:val="clear" w:color="auto" w:fill="auto"/>
              <w:spacing w:before="14" w:line="220" w:lineRule="auto"/>
              <w:ind w:left="209"/>
              <w:jc w:val="both"/>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土地补偿</w:t>
            </w:r>
          </w:p>
          <w:p w14:paraId="313F458B">
            <w:pPr>
              <w:shd w:val="clear" w:color="auto" w:fill="auto"/>
              <w:spacing w:before="57" w:line="253" w:lineRule="auto"/>
              <w:ind w:left="0" w:right="61" w:firstLine="0"/>
              <w:jc w:val="center"/>
              <w:rPr>
                <w:rFonts w:hint="eastAsia" w:ascii="仿宋_GB2312" w:hAnsi="仿宋_GB2312" w:eastAsia="仿宋_GB2312" w:cs="仿宋_GB2312"/>
                <w:color w:val="auto"/>
                <w:spacing w:val="1"/>
                <w:sz w:val="22"/>
                <w:szCs w:val="22"/>
                <w:highlight w:val="none"/>
              </w:rPr>
            </w:pPr>
            <w:r>
              <w:rPr>
                <w:rFonts w:hint="eastAsia" w:ascii="仿宋_GB2312" w:hAnsi="仿宋_GB2312" w:eastAsia="仿宋_GB2312" w:cs="仿宋_GB2312"/>
                <w:color w:val="auto"/>
                <w:spacing w:val="1"/>
                <w:sz w:val="22"/>
                <w:szCs w:val="22"/>
                <w:highlight w:val="none"/>
              </w:rPr>
              <w:t>费和安置</w:t>
            </w:r>
          </w:p>
          <w:p w14:paraId="20AF2E10">
            <w:pPr>
              <w:shd w:val="clear" w:color="auto" w:fill="auto"/>
              <w:spacing w:before="57" w:line="253" w:lineRule="auto"/>
              <w:ind w:left="0" w:right="61" w:firstLine="0"/>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5"/>
                <w:sz w:val="22"/>
                <w:szCs w:val="22"/>
                <w:highlight w:val="none"/>
              </w:rPr>
              <w:t>补助费比</w:t>
            </w:r>
            <w:r>
              <w:rPr>
                <w:rFonts w:hint="eastAsia" w:ascii="仿宋_GB2312" w:hAnsi="仿宋_GB2312" w:eastAsia="仿宋_GB2312" w:cs="仿宋_GB2312"/>
                <w:color w:val="auto"/>
                <w:spacing w:val="51"/>
                <w:sz w:val="22"/>
                <w:szCs w:val="22"/>
                <w:highlight w:val="none"/>
              </w:rPr>
              <w:t>例</w:t>
            </w:r>
          </w:p>
        </w:tc>
      </w:tr>
      <w:tr w14:paraId="37CD8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594" w:type="dxa"/>
            <w:vMerge w:val="continue"/>
            <w:tcBorders>
              <w:top w:val="nil"/>
            </w:tcBorders>
            <w:noWrap w:val="0"/>
            <w:textDirection w:val="tbRlV"/>
            <w:vAlign w:val="top"/>
          </w:tcPr>
          <w:p w14:paraId="4AF2D3B7">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27B9150B">
            <w:pPr>
              <w:shd w:val="clear" w:color="auto" w:fill="auto"/>
              <w:spacing w:before="226" w:line="219" w:lineRule="auto"/>
              <w:ind w:left="194"/>
              <w:jc w:val="center"/>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spacing w:val="-2"/>
                <w:sz w:val="22"/>
                <w:szCs w:val="22"/>
                <w:highlight w:val="none"/>
              </w:rPr>
              <w:t>乡镇名称</w:t>
            </w:r>
          </w:p>
        </w:tc>
        <w:tc>
          <w:tcPr>
            <w:tcW w:w="4205" w:type="dxa"/>
            <w:noWrap w:val="0"/>
            <w:vAlign w:val="top"/>
          </w:tcPr>
          <w:p w14:paraId="73BE6ACD">
            <w:pPr>
              <w:shd w:val="clear" w:color="auto" w:fill="auto"/>
              <w:spacing w:before="224" w:line="219" w:lineRule="auto"/>
              <w:ind w:left="1356"/>
              <w:jc w:val="both"/>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spacing w:val="-4"/>
                <w:sz w:val="22"/>
                <w:szCs w:val="22"/>
                <w:highlight w:val="none"/>
              </w:rPr>
              <w:t>村</w:t>
            </w:r>
            <w:r>
              <w:rPr>
                <w:rFonts w:hint="eastAsia" w:ascii="仿宋_GB2312" w:hAnsi="仿宋_GB2312" w:eastAsia="仿宋_GB2312" w:cs="仿宋_GB2312"/>
                <w:b w:val="0"/>
                <w:bCs w:val="0"/>
                <w:color w:val="auto"/>
                <w:spacing w:val="-4"/>
                <w:sz w:val="22"/>
                <w:szCs w:val="22"/>
                <w:highlight w:val="none"/>
                <w:lang w:eastAsia="zh-CN"/>
              </w:rPr>
              <w:t>（</w:t>
            </w:r>
            <w:r>
              <w:rPr>
                <w:rFonts w:hint="eastAsia" w:ascii="仿宋_GB2312" w:hAnsi="仿宋_GB2312" w:eastAsia="仿宋_GB2312" w:cs="仿宋_GB2312"/>
                <w:b w:val="0"/>
                <w:bCs w:val="0"/>
                <w:color w:val="auto"/>
                <w:spacing w:val="-4"/>
                <w:sz w:val="22"/>
                <w:szCs w:val="22"/>
                <w:highlight w:val="none"/>
              </w:rPr>
              <w:t>社区</w:t>
            </w:r>
            <w:r>
              <w:rPr>
                <w:rFonts w:hint="eastAsia" w:ascii="仿宋_GB2312" w:hAnsi="仿宋_GB2312" w:eastAsia="仿宋_GB2312" w:cs="仿宋_GB2312"/>
                <w:b w:val="0"/>
                <w:bCs w:val="0"/>
                <w:color w:val="auto"/>
                <w:spacing w:val="-4"/>
                <w:sz w:val="22"/>
                <w:szCs w:val="22"/>
                <w:highlight w:val="none"/>
                <w:lang w:eastAsia="zh-CN"/>
              </w:rPr>
              <w:t>）</w:t>
            </w:r>
            <w:r>
              <w:rPr>
                <w:rFonts w:hint="eastAsia" w:ascii="仿宋_GB2312" w:hAnsi="仿宋_GB2312" w:eastAsia="仿宋_GB2312" w:cs="仿宋_GB2312"/>
                <w:b w:val="0"/>
                <w:bCs w:val="0"/>
                <w:color w:val="auto"/>
                <w:spacing w:val="-4"/>
                <w:sz w:val="22"/>
                <w:szCs w:val="22"/>
                <w:highlight w:val="none"/>
              </w:rPr>
              <w:t>名称</w:t>
            </w:r>
          </w:p>
        </w:tc>
        <w:tc>
          <w:tcPr>
            <w:tcW w:w="1169" w:type="dxa"/>
            <w:vMerge w:val="continue"/>
            <w:tcBorders>
              <w:top w:val="nil"/>
            </w:tcBorders>
            <w:noWrap w:val="0"/>
            <w:vAlign w:val="top"/>
          </w:tcPr>
          <w:p w14:paraId="4238DCC1">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tcBorders>
            <w:noWrap w:val="0"/>
            <w:vAlign w:val="top"/>
          </w:tcPr>
          <w:p w14:paraId="4D064C0A">
            <w:pPr>
              <w:pStyle w:val="18"/>
              <w:shd w:val="clear" w:color="auto" w:fill="auto"/>
              <w:rPr>
                <w:rFonts w:hint="eastAsia" w:ascii="仿宋_GB2312" w:hAnsi="仿宋_GB2312" w:eastAsia="仿宋_GB2312" w:cs="仿宋_GB2312"/>
                <w:color w:val="auto"/>
                <w:highlight w:val="none"/>
              </w:rPr>
            </w:pPr>
          </w:p>
        </w:tc>
      </w:tr>
      <w:tr w14:paraId="45E25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noWrap w:val="0"/>
            <w:vAlign w:val="top"/>
          </w:tcPr>
          <w:p w14:paraId="30DE69DE">
            <w:pPr>
              <w:shd w:val="clear" w:color="auto" w:fill="auto"/>
              <w:spacing w:before="221" w:line="241" w:lineRule="auto"/>
              <w:ind w:left="234"/>
              <w:rPr>
                <w:rFonts w:hint="eastAsia" w:ascii="仿宋_GB2312" w:hAnsi="仿宋_GB2312" w:eastAsia="仿宋_GB2312" w:cs="仿宋_GB2312"/>
                <w:color w:val="auto"/>
                <w:sz w:val="22"/>
                <w:szCs w:val="22"/>
                <w:highlight w:val="none"/>
              </w:rPr>
            </w:pPr>
            <w:r>
              <w:rPr>
                <w:rFonts w:hint="eastAsia" w:ascii="微软雅黑" w:hAnsi="微软雅黑" w:eastAsia="微软雅黑" w:cs="微软雅黑"/>
                <w:color w:val="auto"/>
                <w:sz w:val="22"/>
                <w:szCs w:val="22"/>
                <w:highlight w:val="none"/>
              </w:rPr>
              <w:t>Ⅰ</w:t>
            </w:r>
          </w:p>
        </w:tc>
        <w:tc>
          <w:tcPr>
            <w:tcW w:w="1508" w:type="dxa"/>
            <w:noWrap w:val="0"/>
            <w:vAlign w:val="top"/>
          </w:tcPr>
          <w:p w14:paraId="4976A06C">
            <w:pPr>
              <w:shd w:val="clear" w:color="auto" w:fill="auto"/>
              <w:spacing w:before="200"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3"/>
                <w:sz w:val="22"/>
                <w:szCs w:val="22"/>
                <w:highlight w:val="none"/>
              </w:rPr>
              <w:t>沙坪镇</w:t>
            </w:r>
          </w:p>
        </w:tc>
        <w:tc>
          <w:tcPr>
            <w:tcW w:w="4205" w:type="dxa"/>
            <w:noWrap w:val="0"/>
            <w:vAlign w:val="top"/>
          </w:tcPr>
          <w:p w14:paraId="4DF72DEA">
            <w:pPr>
              <w:shd w:val="clear" w:color="auto" w:fill="auto"/>
              <w:spacing w:before="58" w:line="231" w:lineRule="auto"/>
              <w:ind w:left="133" w:right="11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新声村、双河村、河沟村、红星村、马嘶</w:t>
            </w:r>
            <w:r>
              <w:rPr>
                <w:rFonts w:hint="eastAsia" w:ascii="仿宋_GB2312" w:hAnsi="仿宋_GB2312" w:eastAsia="仿宋_GB2312" w:cs="仿宋_GB2312"/>
                <w:color w:val="auto"/>
                <w:spacing w:val="-3"/>
                <w:sz w:val="22"/>
                <w:szCs w:val="22"/>
                <w:highlight w:val="none"/>
              </w:rPr>
              <w:t>溪村</w:t>
            </w:r>
          </w:p>
        </w:tc>
        <w:tc>
          <w:tcPr>
            <w:tcW w:w="1169" w:type="dxa"/>
            <w:noWrap w:val="0"/>
            <w:vAlign w:val="top"/>
          </w:tcPr>
          <w:p w14:paraId="48D349E7">
            <w:pPr>
              <w:shd w:val="clear" w:color="auto" w:fill="auto"/>
              <w:spacing w:before="256" w:line="183" w:lineRule="auto"/>
              <w:ind w:left="308"/>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49500</w:t>
            </w:r>
          </w:p>
        </w:tc>
        <w:tc>
          <w:tcPr>
            <w:tcW w:w="1314" w:type="dxa"/>
            <w:vMerge w:val="restart"/>
            <w:tcBorders>
              <w:bottom w:val="nil"/>
            </w:tcBorders>
            <w:noWrap w:val="0"/>
            <w:vAlign w:val="top"/>
          </w:tcPr>
          <w:p w14:paraId="473DB2BB">
            <w:pPr>
              <w:pStyle w:val="18"/>
              <w:shd w:val="clear" w:color="auto" w:fill="auto"/>
              <w:spacing w:line="243" w:lineRule="auto"/>
              <w:rPr>
                <w:rFonts w:hint="eastAsia" w:ascii="仿宋_GB2312" w:hAnsi="仿宋_GB2312" w:eastAsia="仿宋_GB2312" w:cs="仿宋_GB2312"/>
                <w:color w:val="auto"/>
                <w:highlight w:val="none"/>
              </w:rPr>
            </w:pPr>
          </w:p>
          <w:p w14:paraId="343CEDAC">
            <w:pPr>
              <w:pStyle w:val="18"/>
              <w:shd w:val="clear" w:color="auto" w:fill="auto"/>
              <w:spacing w:line="243" w:lineRule="auto"/>
              <w:rPr>
                <w:rFonts w:hint="eastAsia" w:ascii="仿宋_GB2312" w:hAnsi="仿宋_GB2312" w:eastAsia="仿宋_GB2312" w:cs="仿宋_GB2312"/>
                <w:color w:val="auto"/>
                <w:highlight w:val="none"/>
              </w:rPr>
            </w:pPr>
          </w:p>
          <w:p w14:paraId="73B66A71">
            <w:pPr>
              <w:pStyle w:val="18"/>
              <w:shd w:val="clear" w:color="auto" w:fill="auto"/>
              <w:spacing w:line="243" w:lineRule="auto"/>
              <w:rPr>
                <w:rFonts w:hint="eastAsia" w:ascii="仿宋_GB2312" w:hAnsi="仿宋_GB2312" w:eastAsia="仿宋_GB2312" w:cs="仿宋_GB2312"/>
                <w:color w:val="auto"/>
                <w:highlight w:val="none"/>
              </w:rPr>
            </w:pPr>
          </w:p>
          <w:p w14:paraId="65FF855D">
            <w:pPr>
              <w:pStyle w:val="18"/>
              <w:shd w:val="clear" w:color="auto" w:fill="auto"/>
              <w:spacing w:line="243" w:lineRule="auto"/>
              <w:rPr>
                <w:rFonts w:hint="eastAsia" w:ascii="仿宋_GB2312" w:hAnsi="仿宋_GB2312" w:eastAsia="仿宋_GB2312" w:cs="仿宋_GB2312"/>
                <w:color w:val="auto"/>
                <w:highlight w:val="none"/>
              </w:rPr>
            </w:pPr>
          </w:p>
          <w:p w14:paraId="48892FE0">
            <w:pPr>
              <w:pStyle w:val="18"/>
              <w:shd w:val="clear" w:color="auto" w:fill="auto"/>
              <w:spacing w:line="243" w:lineRule="auto"/>
              <w:rPr>
                <w:rFonts w:hint="eastAsia" w:ascii="仿宋_GB2312" w:hAnsi="仿宋_GB2312" w:eastAsia="仿宋_GB2312" w:cs="仿宋_GB2312"/>
                <w:color w:val="auto"/>
                <w:highlight w:val="none"/>
              </w:rPr>
            </w:pPr>
          </w:p>
          <w:p w14:paraId="47563768">
            <w:pPr>
              <w:pStyle w:val="18"/>
              <w:shd w:val="clear" w:color="auto" w:fill="auto"/>
              <w:spacing w:line="243" w:lineRule="auto"/>
              <w:rPr>
                <w:rFonts w:hint="eastAsia" w:ascii="仿宋_GB2312" w:hAnsi="仿宋_GB2312" w:eastAsia="仿宋_GB2312" w:cs="仿宋_GB2312"/>
                <w:color w:val="auto"/>
                <w:highlight w:val="none"/>
              </w:rPr>
            </w:pPr>
          </w:p>
          <w:p w14:paraId="47605457">
            <w:pPr>
              <w:pStyle w:val="18"/>
              <w:shd w:val="clear" w:color="auto" w:fill="auto"/>
              <w:spacing w:line="243" w:lineRule="auto"/>
              <w:rPr>
                <w:rFonts w:hint="eastAsia" w:ascii="仿宋_GB2312" w:hAnsi="仿宋_GB2312" w:eastAsia="仿宋_GB2312" w:cs="仿宋_GB2312"/>
                <w:color w:val="auto"/>
                <w:highlight w:val="none"/>
              </w:rPr>
            </w:pPr>
          </w:p>
          <w:p w14:paraId="53738410">
            <w:pPr>
              <w:pStyle w:val="18"/>
              <w:shd w:val="clear" w:color="auto" w:fill="auto"/>
              <w:spacing w:line="243" w:lineRule="auto"/>
              <w:rPr>
                <w:rFonts w:hint="eastAsia" w:ascii="仿宋_GB2312" w:hAnsi="仿宋_GB2312" w:eastAsia="仿宋_GB2312" w:cs="仿宋_GB2312"/>
                <w:color w:val="auto"/>
                <w:highlight w:val="none"/>
              </w:rPr>
            </w:pPr>
          </w:p>
          <w:p w14:paraId="3F8856B1">
            <w:pPr>
              <w:pStyle w:val="18"/>
              <w:shd w:val="clear" w:color="auto" w:fill="auto"/>
              <w:spacing w:line="243" w:lineRule="auto"/>
              <w:rPr>
                <w:rFonts w:hint="eastAsia" w:ascii="仿宋_GB2312" w:hAnsi="仿宋_GB2312" w:eastAsia="仿宋_GB2312" w:cs="仿宋_GB2312"/>
                <w:color w:val="auto"/>
                <w:highlight w:val="none"/>
              </w:rPr>
            </w:pPr>
          </w:p>
          <w:p w14:paraId="682378F1">
            <w:pPr>
              <w:pStyle w:val="18"/>
              <w:shd w:val="clear" w:color="auto" w:fill="auto"/>
              <w:spacing w:line="243" w:lineRule="auto"/>
              <w:rPr>
                <w:rFonts w:hint="eastAsia" w:ascii="仿宋_GB2312" w:hAnsi="仿宋_GB2312" w:eastAsia="仿宋_GB2312" w:cs="仿宋_GB2312"/>
                <w:color w:val="auto"/>
                <w:highlight w:val="none"/>
              </w:rPr>
            </w:pPr>
          </w:p>
          <w:p w14:paraId="0C6FE0F1">
            <w:pPr>
              <w:pStyle w:val="18"/>
              <w:shd w:val="clear" w:color="auto" w:fill="auto"/>
              <w:spacing w:line="244" w:lineRule="auto"/>
              <w:rPr>
                <w:rFonts w:hint="eastAsia" w:ascii="仿宋_GB2312" w:hAnsi="仿宋_GB2312" w:eastAsia="仿宋_GB2312" w:cs="仿宋_GB2312"/>
                <w:color w:val="auto"/>
                <w:highlight w:val="none"/>
              </w:rPr>
            </w:pPr>
          </w:p>
          <w:p w14:paraId="29F51C6F">
            <w:pPr>
              <w:pStyle w:val="18"/>
              <w:shd w:val="clear" w:color="auto" w:fill="auto"/>
              <w:spacing w:line="244" w:lineRule="auto"/>
              <w:rPr>
                <w:rFonts w:hint="eastAsia" w:ascii="仿宋_GB2312" w:hAnsi="仿宋_GB2312" w:eastAsia="仿宋_GB2312" w:cs="仿宋_GB2312"/>
                <w:color w:val="auto"/>
                <w:highlight w:val="none"/>
              </w:rPr>
            </w:pPr>
          </w:p>
          <w:p w14:paraId="409FC199">
            <w:pPr>
              <w:pStyle w:val="18"/>
              <w:shd w:val="clear" w:color="auto" w:fill="auto"/>
              <w:spacing w:line="244" w:lineRule="auto"/>
              <w:rPr>
                <w:rFonts w:hint="eastAsia" w:ascii="仿宋_GB2312" w:hAnsi="仿宋_GB2312" w:eastAsia="仿宋_GB2312" w:cs="仿宋_GB2312"/>
                <w:color w:val="auto"/>
                <w:highlight w:val="none"/>
              </w:rPr>
            </w:pPr>
          </w:p>
          <w:p w14:paraId="0F832327">
            <w:pPr>
              <w:pStyle w:val="18"/>
              <w:shd w:val="clear" w:color="auto" w:fill="auto"/>
              <w:spacing w:line="244" w:lineRule="auto"/>
              <w:rPr>
                <w:rFonts w:hint="eastAsia" w:ascii="仿宋_GB2312" w:hAnsi="仿宋_GB2312" w:eastAsia="仿宋_GB2312" w:cs="仿宋_GB2312"/>
                <w:color w:val="auto"/>
                <w:highlight w:val="none"/>
              </w:rPr>
            </w:pPr>
          </w:p>
          <w:p w14:paraId="4DD59226">
            <w:pPr>
              <w:pStyle w:val="18"/>
              <w:shd w:val="clear" w:color="auto" w:fill="auto"/>
              <w:spacing w:line="244" w:lineRule="auto"/>
              <w:rPr>
                <w:rFonts w:hint="eastAsia" w:ascii="仿宋_GB2312" w:hAnsi="仿宋_GB2312" w:eastAsia="仿宋_GB2312" w:cs="仿宋_GB2312"/>
                <w:color w:val="auto"/>
                <w:highlight w:val="none"/>
              </w:rPr>
            </w:pPr>
          </w:p>
          <w:p w14:paraId="62C0F3FE">
            <w:pPr>
              <w:pStyle w:val="18"/>
              <w:shd w:val="clear" w:color="auto" w:fill="auto"/>
              <w:spacing w:line="244" w:lineRule="auto"/>
              <w:rPr>
                <w:rFonts w:hint="eastAsia" w:ascii="仿宋_GB2312" w:hAnsi="仿宋_GB2312" w:eastAsia="仿宋_GB2312" w:cs="仿宋_GB2312"/>
                <w:color w:val="auto"/>
                <w:highlight w:val="none"/>
              </w:rPr>
            </w:pPr>
          </w:p>
          <w:p w14:paraId="11DD9D61">
            <w:pPr>
              <w:pStyle w:val="18"/>
              <w:shd w:val="clear" w:color="auto" w:fill="auto"/>
              <w:spacing w:line="244" w:lineRule="auto"/>
              <w:rPr>
                <w:rFonts w:hint="eastAsia" w:ascii="仿宋_GB2312" w:hAnsi="仿宋_GB2312" w:eastAsia="仿宋_GB2312" w:cs="仿宋_GB2312"/>
                <w:color w:val="auto"/>
                <w:highlight w:val="none"/>
              </w:rPr>
            </w:pPr>
          </w:p>
          <w:p w14:paraId="14105B3F">
            <w:pPr>
              <w:pStyle w:val="18"/>
              <w:shd w:val="clear" w:color="auto" w:fill="auto"/>
              <w:spacing w:line="244" w:lineRule="auto"/>
              <w:rPr>
                <w:rFonts w:hint="eastAsia" w:ascii="仿宋_GB2312" w:hAnsi="仿宋_GB2312" w:eastAsia="仿宋_GB2312" w:cs="仿宋_GB2312"/>
                <w:color w:val="auto"/>
                <w:highlight w:val="none"/>
              </w:rPr>
            </w:pPr>
          </w:p>
          <w:p w14:paraId="6C63BE60">
            <w:pPr>
              <w:pStyle w:val="18"/>
              <w:shd w:val="clear" w:color="auto" w:fill="auto"/>
              <w:spacing w:line="244" w:lineRule="auto"/>
              <w:rPr>
                <w:rFonts w:hint="eastAsia" w:ascii="仿宋_GB2312" w:hAnsi="仿宋_GB2312" w:eastAsia="仿宋_GB2312" w:cs="仿宋_GB2312"/>
                <w:color w:val="auto"/>
                <w:highlight w:val="none"/>
              </w:rPr>
            </w:pPr>
          </w:p>
          <w:p w14:paraId="526C9C49">
            <w:pPr>
              <w:shd w:val="clear" w:color="auto" w:fill="auto"/>
              <w:spacing w:before="72" w:line="183" w:lineRule="auto"/>
              <w:ind w:left="489"/>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3"/>
                <w:sz w:val="22"/>
                <w:szCs w:val="22"/>
                <w:highlight w:val="none"/>
              </w:rPr>
              <w:t>2:8</w:t>
            </w:r>
          </w:p>
        </w:tc>
      </w:tr>
      <w:tr w14:paraId="66D92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594" w:type="dxa"/>
            <w:vMerge w:val="restart"/>
            <w:tcBorders>
              <w:bottom w:val="nil"/>
            </w:tcBorders>
            <w:noWrap w:val="0"/>
            <w:vAlign w:val="top"/>
          </w:tcPr>
          <w:p w14:paraId="57A8B2C2">
            <w:pPr>
              <w:pStyle w:val="18"/>
              <w:shd w:val="clear" w:color="auto" w:fill="auto"/>
              <w:spacing w:line="326" w:lineRule="auto"/>
              <w:rPr>
                <w:rFonts w:hint="eastAsia" w:ascii="仿宋_GB2312" w:hAnsi="仿宋_GB2312" w:eastAsia="仿宋_GB2312" w:cs="仿宋_GB2312"/>
                <w:color w:val="auto"/>
                <w:highlight w:val="none"/>
              </w:rPr>
            </w:pPr>
          </w:p>
          <w:p w14:paraId="331F9751">
            <w:pPr>
              <w:pStyle w:val="18"/>
              <w:shd w:val="clear" w:color="auto" w:fill="auto"/>
              <w:spacing w:line="327" w:lineRule="auto"/>
              <w:rPr>
                <w:rFonts w:hint="eastAsia" w:ascii="仿宋_GB2312" w:hAnsi="仿宋_GB2312" w:eastAsia="仿宋_GB2312" w:cs="仿宋_GB2312"/>
                <w:color w:val="auto"/>
                <w:highlight w:val="none"/>
              </w:rPr>
            </w:pPr>
          </w:p>
          <w:p w14:paraId="0A7F9365">
            <w:pPr>
              <w:shd w:val="clear" w:color="auto" w:fill="auto"/>
              <w:spacing w:before="71" w:line="182" w:lineRule="auto"/>
              <w:ind w:left="174"/>
              <w:rPr>
                <w:rFonts w:hint="eastAsia" w:ascii="仿宋_GB2312" w:hAnsi="仿宋_GB2312" w:eastAsia="仿宋_GB2312" w:cs="仿宋_GB2312"/>
                <w:color w:val="auto"/>
                <w:sz w:val="22"/>
                <w:szCs w:val="22"/>
                <w:highlight w:val="none"/>
              </w:rPr>
            </w:pPr>
            <w:r>
              <w:rPr>
                <w:rFonts w:hint="eastAsia" w:ascii="微软雅黑" w:hAnsi="微软雅黑" w:eastAsia="微软雅黑" w:cs="微软雅黑"/>
                <w:color w:val="auto"/>
                <w:sz w:val="22"/>
                <w:szCs w:val="22"/>
                <w:highlight w:val="none"/>
              </w:rPr>
              <w:t>Ⅱ</w:t>
            </w:r>
          </w:p>
        </w:tc>
        <w:tc>
          <w:tcPr>
            <w:tcW w:w="1508" w:type="dxa"/>
            <w:noWrap w:val="0"/>
            <w:vAlign w:val="top"/>
          </w:tcPr>
          <w:p w14:paraId="3801627A">
            <w:pPr>
              <w:pStyle w:val="18"/>
              <w:shd w:val="clear" w:color="auto" w:fill="auto"/>
              <w:spacing w:line="287" w:lineRule="auto"/>
              <w:rPr>
                <w:rFonts w:hint="eastAsia" w:ascii="仿宋_GB2312" w:hAnsi="仿宋_GB2312" w:eastAsia="仿宋_GB2312" w:cs="仿宋_GB2312"/>
                <w:color w:val="auto"/>
                <w:highlight w:val="none"/>
              </w:rPr>
            </w:pPr>
          </w:p>
          <w:p w14:paraId="526D7A59">
            <w:pPr>
              <w:shd w:val="clear" w:color="auto" w:fill="auto"/>
              <w:spacing w:before="72"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3"/>
                <w:sz w:val="22"/>
                <w:szCs w:val="22"/>
                <w:highlight w:val="none"/>
              </w:rPr>
              <w:t>沙坪镇</w:t>
            </w:r>
          </w:p>
        </w:tc>
        <w:tc>
          <w:tcPr>
            <w:tcW w:w="4205" w:type="dxa"/>
            <w:noWrap w:val="0"/>
            <w:vAlign w:val="top"/>
          </w:tcPr>
          <w:p w14:paraId="557508F0">
            <w:pPr>
              <w:shd w:val="clear" w:color="auto" w:fill="auto"/>
              <w:spacing w:before="61"/>
              <w:ind w:left="133"/>
              <w:jc w:val="both"/>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7"/>
                <w:sz w:val="22"/>
                <w:szCs w:val="22"/>
                <w:highlight w:val="none"/>
              </w:rPr>
              <w:t>松林坡村、万漩村、果山村、六丰村、峨星村、郭凡村、雪山村、岩月村、红花村、</w:t>
            </w:r>
            <w:r>
              <w:rPr>
                <w:rFonts w:hint="eastAsia" w:ascii="仿宋_GB2312" w:hAnsi="仿宋_GB2312" w:eastAsia="仿宋_GB2312" w:cs="仿宋_GB2312"/>
                <w:color w:val="auto"/>
                <w:spacing w:val="-6"/>
                <w:sz w:val="22"/>
                <w:szCs w:val="22"/>
                <w:highlight w:val="none"/>
              </w:rPr>
              <w:t>太坪村</w:t>
            </w:r>
          </w:p>
        </w:tc>
        <w:tc>
          <w:tcPr>
            <w:tcW w:w="1169" w:type="dxa"/>
            <w:vMerge w:val="restart"/>
            <w:tcBorders>
              <w:bottom w:val="nil"/>
            </w:tcBorders>
            <w:noWrap w:val="0"/>
            <w:vAlign w:val="top"/>
          </w:tcPr>
          <w:p w14:paraId="37084158">
            <w:pPr>
              <w:pStyle w:val="18"/>
              <w:shd w:val="clear" w:color="auto" w:fill="auto"/>
              <w:spacing w:line="326" w:lineRule="auto"/>
              <w:rPr>
                <w:rFonts w:hint="eastAsia" w:ascii="仿宋_GB2312" w:hAnsi="仿宋_GB2312" w:eastAsia="仿宋_GB2312" w:cs="仿宋_GB2312"/>
                <w:color w:val="auto"/>
                <w:highlight w:val="none"/>
              </w:rPr>
            </w:pPr>
          </w:p>
          <w:p w14:paraId="293CACE7">
            <w:pPr>
              <w:pStyle w:val="18"/>
              <w:shd w:val="clear" w:color="auto" w:fill="auto"/>
              <w:spacing w:line="326" w:lineRule="auto"/>
              <w:rPr>
                <w:rFonts w:hint="eastAsia" w:ascii="仿宋_GB2312" w:hAnsi="仿宋_GB2312" w:eastAsia="仿宋_GB2312" w:cs="仿宋_GB2312"/>
                <w:color w:val="auto"/>
                <w:highlight w:val="none"/>
              </w:rPr>
            </w:pPr>
          </w:p>
          <w:p w14:paraId="42D9A5B8">
            <w:pPr>
              <w:shd w:val="clear" w:color="auto" w:fill="auto"/>
              <w:spacing w:before="71" w:line="183" w:lineRule="auto"/>
              <w:ind w:left="308"/>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48500</w:t>
            </w:r>
          </w:p>
        </w:tc>
        <w:tc>
          <w:tcPr>
            <w:tcW w:w="1314" w:type="dxa"/>
            <w:vMerge w:val="continue"/>
            <w:tcBorders>
              <w:top w:val="nil"/>
              <w:bottom w:val="nil"/>
            </w:tcBorders>
            <w:noWrap w:val="0"/>
            <w:vAlign w:val="top"/>
          </w:tcPr>
          <w:p w14:paraId="5A35099F">
            <w:pPr>
              <w:pStyle w:val="18"/>
              <w:shd w:val="clear" w:color="auto" w:fill="auto"/>
              <w:rPr>
                <w:rFonts w:hint="eastAsia" w:ascii="仿宋_GB2312" w:hAnsi="仿宋_GB2312" w:eastAsia="仿宋_GB2312" w:cs="仿宋_GB2312"/>
                <w:color w:val="auto"/>
                <w:highlight w:val="none"/>
              </w:rPr>
            </w:pPr>
          </w:p>
        </w:tc>
      </w:tr>
      <w:tr w14:paraId="5D46A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tcBorders>
            <w:noWrap w:val="0"/>
            <w:vAlign w:val="top"/>
          </w:tcPr>
          <w:p w14:paraId="54B920A4">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460579FD">
            <w:pPr>
              <w:shd w:val="clear" w:color="auto" w:fill="auto"/>
              <w:spacing w:before="202" w:line="220"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0"/>
                <w:sz w:val="22"/>
                <w:szCs w:val="22"/>
                <w:highlight w:val="none"/>
              </w:rPr>
              <w:t>新场乡</w:t>
            </w:r>
          </w:p>
        </w:tc>
        <w:tc>
          <w:tcPr>
            <w:tcW w:w="4205" w:type="dxa"/>
            <w:noWrap w:val="0"/>
            <w:vAlign w:val="top"/>
          </w:tcPr>
          <w:p w14:paraId="4206D197">
            <w:pPr>
              <w:shd w:val="clear" w:color="auto" w:fill="auto"/>
              <w:spacing w:before="51" w:line="234" w:lineRule="auto"/>
              <w:ind w:left="133" w:right="11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新凤村、庞沟村、星星村、羊子岩村、长</w:t>
            </w:r>
            <w:r>
              <w:rPr>
                <w:rFonts w:hint="eastAsia" w:ascii="仿宋_GB2312" w:hAnsi="仿宋_GB2312" w:eastAsia="仿宋_GB2312" w:cs="仿宋_GB2312"/>
                <w:color w:val="auto"/>
                <w:spacing w:val="5"/>
                <w:sz w:val="22"/>
                <w:szCs w:val="22"/>
                <w:highlight w:val="none"/>
              </w:rPr>
              <w:t>虹村</w:t>
            </w:r>
          </w:p>
        </w:tc>
        <w:tc>
          <w:tcPr>
            <w:tcW w:w="1169" w:type="dxa"/>
            <w:vMerge w:val="continue"/>
            <w:tcBorders>
              <w:top w:val="nil"/>
            </w:tcBorders>
            <w:noWrap w:val="0"/>
            <w:vAlign w:val="top"/>
          </w:tcPr>
          <w:p w14:paraId="5BED27A6">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220FE4CE">
            <w:pPr>
              <w:pStyle w:val="18"/>
              <w:shd w:val="clear" w:color="auto" w:fill="auto"/>
              <w:rPr>
                <w:rFonts w:hint="eastAsia" w:ascii="仿宋_GB2312" w:hAnsi="仿宋_GB2312" w:eastAsia="仿宋_GB2312" w:cs="仿宋_GB2312"/>
                <w:color w:val="auto"/>
                <w:highlight w:val="none"/>
              </w:rPr>
            </w:pPr>
          </w:p>
        </w:tc>
      </w:tr>
      <w:tr w14:paraId="32789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restart"/>
            <w:tcBorders>
              <w:bottom w:val="nil"/>
            </w:tcBorders>
            <w:noWrap w:val="0"/>
            <w:vAlign w:val="top"/>
          </w:tcPr>
          <w:p w14:paraId="3E411A4D">
            <w:pPr>
              <w:pStyle w:val="18"/>
              <w:shd w:val="clear" w:color="auto" w:fill="auto"/>
              <w:spacing w:line="247" w:lineRule="auto"/>
              <w:rPr>
                <w:rFonts w:hint="eastAsia" w:ascii="仿宋_GB2312" w:hAnsi="仿宋_GB2312" w:eastAsia="仿宋_GB2312" w:cs="仿宋_GB2312"/>
                <w:color w:val="auto"/>
                <w:highlight w:val="none"/>
              </w:rPr>
            </w:pPr>
          </w:p>
          <w:p w14:paraId="643CF2E3">
            <w:pPr>
              <w:pStyle w:val="18"/>
              <w:shd w:val="clear" w:color="auto" w:fill="auto"/>
              <w:spacing w:line="247" w:lineRule="auto"/>
              <w:rPr>
                <w:rFonts w:hint="eastAsia" w:ascii="仿宋_GB2312" w:hAnsi="仿宋_GB2312" w:eastAsia="仿宋_GB2312" w:cs="仿宋_GB2312"/>
                <w:color w:val="auto"/>
                <w:highlight w:val="none"/>
              </w:rPr>
            </w:pPr>
          </w:p>
          <w:p w14:paraId="4D4BDA79">
            <w:pPr>
              <w:pStyle w:val="18"/>
              <w:shd w:val="clear" w:color="auto" w:fill="auto"/>
              <w:spacing w:line="247" w:lineRule="auto"/>
              <w:rPr>
                <w:rFonts w:hint="eastAsia" w:ascii="仿宋_GB2312" w:hAnsi="仿宋_GB2312" w:eastAsia="仿宋_GB2312" w:cs="仿宋_GB2312"/>
                <w:color w:val="auto"/>
                <w:highlight w:val="none"/>
              </w:rPr>
            </w:pPr>
          </w:p>
          <w:p w14:paraId="424436F0">
            <w:pPr>
              <w:pStyle w:val="18"/>
              <w:shd w:val="clear" w:color="auto" w:fill="auto"/>
              <w:spacing w:line="247" w:lineRule="auto"/>
              <w:rPr>
                <w:rFonts w:hint="eastAsia" w:ascii="仿宋_GB2312" w:hAnsi="仿宋_GB2312" w:eastAsia="仿宋_GB2312" w:cs="仿宋_GB2312"/>
                <w:color w:val="auto"/>
                <w:highlight w:val="none"/>
              </w:rPr>
            </w:pPr>
          </w:p>
          <w:p w14:paraId="231D173D">
            <w:pPr>
              <w:pStyle w:val="18"/>
              <w:shd w:val="clear" w:color="auto" w:fill="auto"/>
              <w:spacing w:line="247" w:lineRule="auto"/>
              <w:rPr>
                <w:rFonts w:hint="eastAsia" w:ascii="仿宋_GB2312" w:hAnsi="仿宋_GB2312" w:eastAsia="仿宋_GB2312" w:cs="仿宋_GB2312"/>
                <w:color w:val="auto"/>
                <w:highlight w:val="none"/>
              </w:rPr>
            </w:pPr>
          </w:p>
          <w:p w14:paraId="1B68497F">
            <w:pPr>
              <w:pStyle w:val="18"/>
              <w:shd w:val="clear" w:color="auto" w:fill="auto"/>
              <w:spacing w:line="247" w:lineRule="auto"/>
              <w:rPr>
                <w:rFonts w:hint="eastAsia" w:ascii="仿宋_GB2312" w:hAnsi="仿宋_GB2312" w:eastAsia="仿宋_GB2312" w:cs="仿宋_GB2312"/>
                <w:color w:val="auto"/>
                <w:highlight w:val="none"/>
              </w:rPr>
            </w:pPr>
          </w:p>
          <w:p w14:paraId="71D7AF0D">
            <w:pPr>
              <w:pStyle w:val="18"/>
              <w:shd w:val="clear" w:color="auto" w:fill="auto"/>
              <w:spacing w:line="247" w:lineRule="auto"/>
              <w:rPr>
                <w:rFonts w:hint="eastAsia" w:ascii="仿宋_GB2312" w:hAnsi="仿宋_GB2312" w:eastAsia="仿宋_GB2312" w:cs="仿宋_GB2312"/>
                <w:color w:val="auto"/>
                <w:highlight w:val="none"/>
              </w:rPr>
            </w:pPr>
          </w:p>
          <w:p w14:paraId="61100889">
            <w:pPr>
              <w:shd w:val="clear" w:color="auto" w:fill="auto"/>
              <w:spacing w:before="72" w:line="235" w:lineRule="auto"/>
              <w:ind w:left="174"/>
              <w:rPr>
                <w:rFonts w:hint="eastAsia" w:ascii="仿宋_GB2312" w:hAnsi="仿宋_GB2312" w:eastAsia="仿宋_GB2312" w:cs="仿宋_GB2312"/>
                <w:color w:val="auto"/>
                <w:sz w:val="22"/>
                <w:szCs w:val="22"/>
                <w:highlight w:val="none"/>
              </w:rPr>
            </w:pPr>
            <w:r>
              <w:rPr>
                <w:rFonts w:hint="eastAsia" w:ascii="微软雅黑" w:hAnsi="微软雅黑" w:eastAsia="微软雅黑" w:cs="微软雅黑"/>
                <w:color w:val="auto"/>
                <w:sz w:val="22"/>
                <w:szCs w:val="22"/>
                <w:highlight w:val="none"/>
              </w:rPr>
              <w:t>Ⅲ</w:t>
            </w:r>
          </w:p>
        </w:tc>
        <w:tc>
          <w:tcPr>
            <w:tcW w:w="1508" w:type="dxa"/>
            <w:noWrap w:val="0"/>
            <w:vAlign w:val="top"/>
          </w:tcPr>
          <w:p w14:paraId="7DEA902A">
            <w:pPr>
              <w:shd w:val="clear" w:color="auto" w:fill="auto"/>
              <w:spacing w:before="203"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3"/>
                <w:sz w:val="22"/>
                <w:szCs w:val="22"/>
                <w:highlight w:val="none"/>
              </w:rPr>
              <w:t>毛坪镇</w:t>
            </w:r>
          </w:p>
        </w:tc>
        <w:tc>
          <w:tcPr>
            <w:tcW w:w="4205" w:type="dxa"/>
            <w:noWrap w:val="0"/>
            <w:vAlign w:val="top"/>
          </w:tcPr>
          <w:p w14:paraId="7FDF6C8C">
            <w:pPr>
              <w:shd w:val="clear" w:color="auto" w:fill="auto"/>
              <w:spacing w:before="41" w:line="238" w:lineRule="auto"/>
              <w:ind w:left="133" w:right="93" w:hanging="2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新华村、等分村、云心村、长梯村、高山</w:t>
            </w:r>
            <w:r>
              <w:rPr>
                <w:rFonts w:hint="eastAsia" w:ascii="仿宋_GB2312" w:hAnsi="仿宋_GB2312" w:eastAsia="仿宋_GB2312" w:cs="仿宋_GB2312"/>
                <w:color w:val="auto"/>
                <w:spacing w:val="-1"/>
                <w:sz w:val="22"/>
                <w:szCs w:val="22"/>
                <w:highlight w:val="none"/>
              </w:rPr>
              <w:t>村、凡山村、凤凰村</w:t>
            </w:r>
          </w:p>
        </w:tc>
        <w:tc>
          <w:tcPr>
            <w:tcW w:w="1169" w:type="dxa"/>
            <w:vMerge w:val="restart"/>
            <w:tcBorders>
              <w:bottom w:val="nil"/>
            </w:tcBorders>
            <w:noWrap w:val="0"/>
            <w:vAlign w:val="top"/>
          </w:tcPr>
          <w:p w14:paraId="71A64B1B">
            <w:pPr>
              <w:pStyle w:val="18"/>
              <w:shd w:val="clear" w:color="auto" w:fill="auto"/>
              <w:spacing w:line="252" w:lineRule="auto"/>
              <w:rPr>
                <w:rFonts w:hint="eastAsia" w:ascii="仿宋_GB2312" w:hAnsi="仿宋_GB2312" w:eastAsia="仿宋_GB2312" w:cs="仿宋_GB2312"/>
                <w:color w:val="auto"/>
                <w:highlight w:val="none"/>
              </w:rPr>
            </w:pPr>
          </w:p>
          <w:p w14:paraId="047549B5">
            <w:pPr>
              <w:pStyle w:val="18"/>
              <w:shd w:val="clear" w:color="auto" w:fill="auto"/>
              <w:spacing w:line="252" w:lineRule="auto"/>
              <w:rPr>
                <w:rFonts w:hint="eastAsia" w:ascii="仿宋_GB2312" w:hAnsi="仿宋_GB2312" w:eastAsia="仿宋_GB2312" w:cs="仿宋_GB2312"/>
                <w:color w:val="auto"/>
                <w:highlight w:val="none"/>
              </w:rPr>
            </w:pPr>
          </w:p>
          <w:p w14:paraId="357CD649">
            <w:pPr>
              <w:pStyle w:val="18"/>
              <w:shd w:val="clear" w:color="auto" w:fill="auto"/>
              <w:spacing w:line="252" w:lineRule="auto"/>
              <w:rPr>
                <w:rFonts w:hint="eastAsia" w:ascii="仿宋_GB2312" w:hAnsi="仿宋_GB2312" w:eastAsia="仿宋_GB2312" w:cs="仿宋_GB2312"/>
                <w:color w:val="auto"/>
                <w:highlight w:val="none"/>
              </w:rPr>
            </w:pPr>
          </w:p>
          <w:p w14:paraId="3E02B91C">
            <w:pPr>
              <w:pStyle w:val="18"/>
              <w:shd w:val="clear" w:color="auto" w:fill="auto"/>
              <w:spacing w:line="252" w:lineRule="auto"/>
              <w:rPr>
                <w:rFonts w:hint="eastAsia" w:ascii="仿宋_GB2312" w:hAnsi="仿宋_GB2312" w:eastAsia="仿宋_GB2312" w:cs="仿宋_GB2312"/>
                <w:color w:val="auto"/>
                <w:highlight w:val="none"/>
              </w:rPr>
            </w:pPr>
          </w:p>
          <w:p w14:paraId="08E2031A">
            <w:pPr>
              <w:pStyle w:val="18"/>
              <w:shd w:val="clear" w:color="auto" w:fill="auto"/>
              <w:spacing w:line="253" w:lineRule="auto"/>
              <w:rPr>
                <w:rFonts w:hint="eastAsia" w:ascii="仿宋_GB2312" w:hAnsi="仿宋_GB2312" w:eastAsia="仿宋_GB2312" w:cs="仿宋_GB2312"/>
                <w:color w:val="auto"/>
                <w:highlight w:val="none"/>
              </w:rPr>
            </w:pPr>
          </w:p>
          <w:p w14:paraId="7E9CE088">
            <w:pPr>
              <w:pStyle w:val="18"/>
              <w:shd w:val="clear" w:color="auto" w:fill="auto"/>
              <w:spacing w:line="253" w:lineRule="auto"/>
              <w:rPr>
                <w:rFonts w:hint="eastAsia" w:ascii="仿宋_GB2312" w:hAnsi="仿宋_GB2312" w:eastAsia="仿宋_GB2312" w:cs="仿宋_GB2312"/>
                <w:color w:val="auto"/>
                <w:highlight w:val="none"/>
              </w:rPr>
            </w:pPr>
          </w:p>
          <w:p w14:paraId="1C57DFF9">
            <w:pPr>
              <w:pStyle w:val="18"/>
              <w:shd w:val="clear" w:color="auto" w:fill="auto"/>
              <w:spacing w:line="253" w:lineRule="auto"/>
              <w:rPr>
                <w:rFonts w:hint="eastAsia" w:ascii="仿宋_GB2312" w:hAnsi="仿宋_GB2312" w:eastAsia="仿宋_GB2312" w:cs="仿宋_GB2312"/>
                <w:color w:val="auto"/>
                <w:highlight w:val="none"/>
              </w:rPr>
            </w:pPr>
          </w:p>
          <w:p w14:paraId="10454362">
            <w:pPr>
              <w:shd w:val="clear" w:color="auto" w:fill="auto"/>
              <w:spacing w:before="71" w:line="183" w:lineRule="auto"/>
              <w:ind w:left="308"/>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45000</w:t>
            </w:r>
          </w:p>
        </w:tc>
        <w:tc>
          <w:tcPr>
            <w:tcW w:w="1314" w:type="dxa"/>
            <w:vMerge w:val="continue"/>
            <w:tcBorders>
              <w:top w:val="nil"/>
              <w:bottom w:val="nil"/>
            </w:tcBorders>
            <w:noWrap w:val="0"/>
            <w:vAlign w:val="top"/>
          </w:tcPr>
          <w:p w14:paraId="7C4172DE">
            <w:pPr>
              <w:pStyle w:val="18"/>
              <w:shd w:val="clear" w:color="auto" w:fill="auto"/>
              <w:rPr>
                <w:rFonts w:hint="eastAsia" w:ascii="仿宋_GB2312" w:hAnsi="仿宋_GB2312" w:eastAsia="仿宋_GB2312" w:cs="仿宋_GB2312"/>
                <w:color w:val="auto"/>
                <w:highlight w:val="none"/>
              </w:rPr>
            </w:pPr>
          </w:p>
        </w:tc>
      </w:tr>
      <w:tr w14:paraId="634C0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94" w:type="dxa"/>
            <w:vMerge w:val="continue"/>
            <w:tcBorders>
              <w:top w:val="nil"/>
              <w:bottom w:val="nil"/>
            </w:tcBorders>
            <w:noWrap w:val="0"/>
            <w:vAlign w:val="top"/>
          </w:tcPr>
          <w:p w14:paraId="182DB6CA">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35D6AAC3">
            <w:pPr>
              <w:shd w:val="clear" w:color="auto" w:fill="auto"/>
              <w:spacing w:before="214"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五渡镇</w:t>
            </w:r>
          </w:p>
        </w:tc>
        <w:tc>
          <w:tcPr>
            <w:tcW w:w="4205" w:type="dxa"/>
            <w:noWrap w:val="0"/>
            <w:vAlign w:val="top"/>
          </w:tcPr>
          <w:p w14:paraId="71C6DB6C">
            <w:pPr>
              <w:shd w:val="clear" w:color="auto" w:fill="auto"/>
              <w:spacing w:before="62" w:line="238" w:lineRule="auto"/>
              <w:ind w:left="133" w:right="89"/>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工农村、先锋村、五渡村、铜河村、双凤</w:t>
            </w:r>
            <w:r>
              <w:rPr>
                <w:rFonts w:hint="eastAsia" w:ascii="仿宋_GB2312" w:hAnsi="仿宋_GB2312" w:eastAsia="仿宋_GB2312" w:cs="仿宋_GB2312"/>
                <w:color w:val="auto"/>
                <w:spacing w:val="-1"/>
                <w:sz w:val="22"/>
                <w:szCs w:val="22"/>
                <w:highlight w:val="none"/>
              </w:rPr>
              <w:t>村、新茶村、胜利村、葛村村</w:t>
            </w:r>
          </w:p>
        </w:tc>
        <w:tc>
          <w:tcPr>
            <w:tcW w:w="1169" w:type="dxa"/>
            <w:vMerge w:val="continue"/>
            <w:tcBorders>
              <w:top w:val="nil"/>
              <w:bottom w:val="nil"/>
            </w:tcBorders>
            <w:noWrap w:val="0"/>
            <w:vAlign w:val="top"/>
          </w:tcPr>
          <w:p w14:paraId="5287558A">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7CC77EEE">
            <w:pPr>
              <w:pStyle w:val="18"/>
              <w:shd w:val="clear" w:color="auto" w:fill="auto"/>
              <w:rPr>
                <w:rFonts w:hint="eastAsia" w:ascii="仿宋_GB2312" w:hAnsi="仿宋_GB2312" w:eastAsia="仿宋_GB2312" w:cs="仿宋_GB2312"/>
                <w:color w:val="auto"/>
                <w:highlight w:val="none"/>
              </w:rPr>
            </w:pPr>
          </w:p>
        </w:tc>
      </w:tr>
      <w:tr w14:paraId="68DCE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bottom w:val="nil"/>
            </w:tcBorders>
            <w:noWrap w:val="0"/>
            <w:vAlign w:val="top"/>
          </w:tcPr>
          <w:p w14:paraId="1CE6E455">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1BDAE3BD">
            <w:pPr>
              <w:shd w:val="clear" w:color="auto" w:fill="auto"/>
              <w:spacing w:before="204" w:line="219" w:lineRule="auto"/>
              <w:ind w:left="30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黑竹沟镇</w:t>
            </w:r>
          </w:p>
        </w:tc>
        <w:tc>
          <w:tcPr>
            <w:tcW w:w="4205" w:type="dxa"/>
            <w:noWrap w:val="0"/>
            <w:vAlign w:val="top"/>
          </w:tcPr>
          <w:p w14:paraId="3E9D841A">
            <w:pPr>
              <w:shd w:val="clear" w:color="auto" w:fill="auto"/>
              <w:spacing w:before="53" w:line="233" w:lineRule="auto"/>
              <w:ind w:left="133" w:right="8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底底古村、西河村、依乌村、古井村、马</w:t>
            </w:r>
            <w:r>
              <w:rPr>
                <w:rFonts w:hint="eastAsia" w:ascii="仿宋_GB2312" w:hAnsi="仿宋_GB2312" w:eastAsia="仿宋_GB2312" w:cs="仿宋_GB2312"/>
                <w:color w:val="auto"/>
                <w:spacing w:val="-2"/>
                <w:sz w:val="22"/>
                <w:szCs w:val="22"/>
                <w:highlight w:val="none"/>
              </w:rPr>
              <w:t>杵千村</w:t>
            </w:r>
          </w:p>
        </w:tc>
        <w:tc>
          <w:tcPr>
            <w:tcW w:w="1169" w:type="dxa"/>
            <w:vMerge w:val="continue"/>
            <w:tcBorders>
              <w:top w:val="nil"/>
              <w:bottom w:val="nil"/>
            </w:tcBorders>
            <w:noWrap w:val="0"/>
            <w:vAlign w:val="top"/>
          </w:tcPr>
          <w:p w14:paraId="76282E72">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05803D6F">
            <w:pPr>
              <w:pStyle w:val="18"/>
              <w:shd w:val="clear" w:color="auto" w:fill="auto"/>
              <w:rPr>
                <w:rFonts w:hint="eastAsia" w:ascii="仿宋_GB2312" w:hAnsi="仿宋_GB2312" w:eastAsia="仿宋_GB2312" w:cs="仿宋_GB2312"/>
                <w:color w:val="auto"/>
                <w:highlight w:val="none"/>
              </w:rPr>
            </w:pPr>
          </w:p>
        </w:tc>
      </w:tr>
      <w:tr w14:paraId="27F48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594" w:type="dxa"/>
            <w:vMerge w:val="continue"/>
            <w:tcBorders>
              <w:top w:val="nil"/>
              <w:bottom w:val="nil"/>
            </w:tcBorders>
            <w:noWrap w:val="0"/>
            <w:vAlign w:val="top"/>
          </w:tcPr>
          <w:p w14:paraId="32F619CD">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4E2B55A4">
            <w:pPr>
              <w:shd w:val="clear" w:color="auto" w:fill="auto"/>
              <w:spacing w:before="215"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0"/>
                <w:sz w:val="22"/>
                <w:szCs w:val="22"/>
                <w:highlight w:val="none"/>
              </w:rPr>
              <w:t>宜坪乡</w:t>
            </w:r>
          </w:p>
        </w:tc>
        <w:tc>
          <w:tcPr>
            <w:tcW w:w="4205" w:type="dxa"/>
            <w:noWrap w:val="0"/>
            <w:vAlign w:val="top"/>
          </w:tcPr>
          <w:p w14:paraId="693883E8">
            <w:pPr>
              <w:shd w:val="clear" w:color="auto" w:fill="auto"/>
              <w:spacing w:before="63" w:line="227" w:lineRule="auto"/>
              <w:ind w:left="133" w:right="109"/>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桐花村、宜坪村、庙岗村、泉水村、草坪</w:t>
            </w:r>
            <w:r>
              <w:rPr>
                <w:rFonts w:hint="eastAsia" w:ascii="仿宋_GB2312" w:hAnsi="仿宋_GB2312" w:eastAsia="仿宋_GB2312" w:cs="仿宋_GB2312"/>
                <w:color w:val="auto"/>
                <w:sz w:val="22"/>
                <w:szCs w:val="22"/>
                <w:highlight w:val="none"/>
              </w:rPr>
              <w:t>村</w:t>
            </w:r>
          </w:p>
        </w:tc>
        <w:tc>
          <w:tcPr>
            <w:tcW w:w="1169" w:type="dxa"/>
            <w:vMerge w:val="continue"/>
            <w:tcBorders>
              <w:top w:val="nil"/>
              <w:bottom w:val="nil"/>
            </w:tcBorders>
            <w:noWrap w:val="0"/>
            <w:vAlign w:val="top"/>
          </w:tcPr>
          <w:p w14:paraId="5B55A500">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4452E178">
            <w:pPr>
              <w:pStyle w:val="18"/>
              <w:shd w:val="clear" w:color="auto" w:fill="auto"/>
              <w:rPr>
                <w:rFonts w:hint="eastAsia" w:ascii="仿宋_GB2312" w:hAnsi="仿宋_GB2312" w:eastAsia="仿宋_GB2312" w:cs="仿宋_GB2312"/>
                <w:color w:val="auto"/>
                <w:highlight w:val="none"/>
              </w:rPr>
            </w:pPr>
          </w:p>
        </w:tc>
      </w:tr>
      <w:tr w14:paraId="17F3B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bottom w:val="nil"/>
            </w:tcBorders>
            <w:noWrap w:val="0"/>
            <w:vAlign w:val="top"/>
          </w:tcPr>
          <w:p w14:paraId="5073207D">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7DC91A39">
            <w:pPr>
              <w:shd w:val="clear" w:color="auto" w:fill="auto"/>
              <w:spacing w:before="205"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红旗镇</w:t>
            </w:r>
          </w:p>
        </w:tc>
        <w:tc>
          <w:tcPr>
            <w:tcW w:w="4205" w:type="dxa"/>
            <w:noWrap w:val="0"/>
            <w:vAlign w:val="top"/>
          </w:tcPr>
          <w:p w14:paraId="38CAE67D">
            <w:pPr>
              <w:shd w:val="clear" w:color="auto" w:fill="auto"/>
              <w:spacing w:before="44" w:line="235" w:lineRule="auto"/>
              <w:ind w:left="133" w:right="89"/>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四坪村、上云村、大坪村、觉莫村、为觉村</w:t>
            </w:r>
          </w:p>
        </w:tc>
        <w:tc>
          <w:tcPr>
            <w:tcW w:w="1169" w:type="dxa"/>
            <w:vMerge w:val="continue"/>
            <w:tcBorders>
              <w:top w:val="nil"/>
              <w:bottom w:val="nil"/>
            </w:tcBorders>
            <w:noWrap w:val="0"/>
            <w:vAlign w:val="top"/>
          </w:tcPr>
          <w:p w14:paraId="6A4033E0">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6D1177D0">
            <w:pPr>
              <w:pStyle w:val="18"/>
              <w:shd w:val="clear" w:color="auto" w:fill="auto"/>
              <w:rPr>
                <w:rFonts w:hint="eastAsia" w:ascii="仿宋_GB2312" w:hAnsi="仿宋_GB2312" w:eastAsia="仿宋_GB2312" w:cs="仿宋_GB2312"/>
                <w:color w:val="auto"/>
                <w:highlight w:val="none"/>
              </w:rPr>
            </w:pPr>
          </w:p>
        </w:tc>
      </w:tr>
      <w:tr w14:paraId="4CF98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continue"/>
            <w:tcBorders>
              <w:top w:val="nil"/>
            </w:tcBorders>
            <w:noWrap w:val="0"/>
            <w:vAlign w:val="top"/>
          </w:tcPr>
          <w:p w14:paraId="585618FF">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6AFC1099">
            <w:pPr>
              <w:shd w:val="clear" w:color="auto" w:fill="auto"/>
              <w:spacing w:before="206" w:line="220"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0"/>
                <w:sz w:val="22"/>
                <w:szCs w:val="22"/>
                <w:highlight w:val="none"/>
              </w:rPr>
              <w:t>金岩乡</w:t>
            </w:r>
          </w:p>
        </w:tc>
        <w:tc>
          <w:tcPr>
            <w:tcW w:w="4205" w:type="dxa"/>
            <w:noWrap w:val="0"/>
            <w:vAlign w:val="top"/>
          </w:tcPr>
          <w:p w14:paraId="27A78B62">
            <w:pPr>
              <w:shd w:val="clear" w:color="auto" w:fill="auto"/>
              <w:spacing w:before="65" w:line="228" w:lineRule="auto"/>
              <w:ind w:left="133" w:right="83"/>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俄罗村、挖吉村、罗卜村、金岩村、共和</w:t>
            </w:r>
            <w:r>
              <w:rPr>
                <w:rFonts w:hint="eastAsia" w:ascii="仿宋_GB2312" w:hAnsi="仿宋_GB2312" w:eastAsia="仿宋_GB2312" w:cs="仿宋_GB2312"/>
                <w:color w:val="auto"/>
                <w:spacing w:val="-1"/>
                <w:sz w:val="22"/>
                <w:szCs w:val="22"/>
                <w:highlight w:val="none"/>
              </w:rPr>
              <w:t>村、团结村、温泉村、挖托村</w:t>
            </w:r>
          </w:p>
        </w:tc>
        <w:tc>
          <w:tcPr>
            <w:tcW w:w="1169" w:type="dxa"/>
            <w:vMerge w:val="continue"/>
            <w:tcBorders>
              <w:top w:val="nil"/>
            </w:tcBorders>
            <w:noWrap w:val="0"/>
            <w:vAlign w:val="top"/>
          </w:tcPr>
          <w:p w14:paraId="12E76D1F">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7E174798">
            <w:pPr>
              <w:pStyle w:val="18"/>
              <w:shd w:val="clear" w:color="auto" w:fill="auto"/>
              <w:rPr>
                <w:rFonts w:hint="eastAsia" w:ascii="仿宋_GB2312" w:hAnsi="仿宋_GB2312" w:eastAsia="仿宋_GB2312" w:cs="仿宋_GB2312"/>
                <w:color w:val="auto"/>
                <w:highlight w:val="none"/>
              </w:rPr>
            </w:pPr>
          </w:p>
        </w:tc>
      </w:tr>
      <w:tr w14:paraId="7BA1C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594" w:type="dxa"/>
            <w:vMerge w:val="restart"/>
            <w:tcBorders>
              <w:bottom w:val="nil"/>
            </w:tcBorders>
            <w:noWrap w:val="0"/>
            <w:vAlign w:val="top"/>
          </w:tcPr>
          <w:p w14:paraId="57176B07">
            <w:pPr>
              <w:pStyle w:val="18"/>
              <w:shd w:val="clear" w:color="auto" w:fill="auto"/>
              <w:spacing w:line="275" w:lineRule="auto"/>
              <w:rPr>
                <w:rFonts w:hint="eastAsia" w:ascii="仿宋_GB2312" w:hAnsi="仿宋_GB2312" w:eastAsia="仿宋_GB2312" w:cs="仿宋_GB2312"/>
                <w:color w:val="auto"/>
                <w:highlight w:val="none"/>
              </w:rPr>
            </w:pPr>
          </w:p>
          <w:p w14:paraId="6B363EDB">
            <w:pPr>
              <w:pStyle w:val="18"/>
              <w:shd w:val="clear" w:color="auto" w:fill="auto"/>
              <w:spacing w:line="275" w:lineRule="auto"/>
              <w:rPr>
                <w:rFonts w:hint="eastAsia" w:ascii="仿宋_GB2312" w:hAnsi="仿宋_GB2312" w:eastAsia="仿宋_GB2312" w:cs="仿宋_GB2312"/>
                <w:color w:val="auto"/>
                <w:highlight w:val="none"/>
              </w:rPr>
            </w:pPr>
          </w:p>
          <w:p w14:paraId="1BA6ADF4">
            <w:pPr>
              <w:pStyle w:val="18"/>
              <w:shd w:val="clear" w:color="auto" w:fill="auto"/>
              <w:spacing w:line="275" w:lineRule="auto"/>
              <w:rPr>
                <w:rFonts w:hint="eastAsia" w:ascii="仿宋_GB2312" w:hAnsi="仿宋_GB2312" w:eastAsia="仿宋_GB2312" w:cs="仿宋_GB2312"/>
                <w:color w:val="auto"/>
                <w:highlight w:val="none"/>
              </w:rPr>
            </w:pPr>
          </w:p>
          <w:p w14:paraId="62CAA92D">
            <w:pPr>
              <w:pStyle w:val="18"/>
              <w:shd w:val="clear" w:color="auto" w:fill="auto"/>
              <w:spacing w:line="276" w:lineRule="auto"/>
              <w:rPr>
                <w:rFonts w:hint="eastAsia" w:ascii="仿宋_GB2312" w:hAnsi="仿宋_GB2312" w:eastAsia="仿宋_GB2312" w:cs="仿宋_GB2312"/>
                <w:color w:val="auto"/>
                <w:highlight w:val="none"/>
              </w:rPr>
            </w:pPr>
          </w:p>
          <w:p w14:paraId="35548EC9">
            <w:pPr>
              <w:pStyle w:val="18"/>
              <w:shd w:val="clear" w:color="auto" w:fill="auto"/>
              <w:spacing w:line="276" w:lineRule="auto"/>
              <w:rPr>
                <w:rFonts w:hint="eastAsia" w:ascii="仿宋_GB2312" w:hAnsi="仿宋_GB2312" w:eastAsia="仿宋_GB2312" w:cs="仿宋_GB2312"/>
                <w:color w:val="auto"/>
                <w:highlight w:val="none"/>
              </w:rPr>
            </w:pPr>
          </w:p>
          <w:p w14:paraId="75C53A00">
            <w:pPr>
              <w:pStyle w:val="18"/>
              <w:shd w:val="clear" w:color="auto" w:fill="auto"/>
              <w:spacing w:line="276" w:lineRule="auto"/>
              <w:rPr>
                <w:rFonts w:hint="eastAsia" w:ascii="仿宋_GB2312" w:hAnsi="仿宋_GB2312" w:eastAsia="仿宋_GB2312" w:cs="仿宋_GB2312"/>
                <w:color w:val="auto"/>
                <w:highlight w:val="none"/>
              </w:rPr>
            </w:pPr>
          </w:p>
          <w:p w14:paraId="2D5161F5">
            <w:pPr>
              <w:shd w:val="clear" w:color="auto" w:fill="auto"/>
              <w:spacing w:before="71" w:line="182" w:lineRule="auto"/>
              <w:ind w:left="174"/>
              <w:rPr>
                <w:rFonts w:hint="eastAsia" w:ascii="仿宋_GB2312" w:hAnsi="仿宋_GB2312" w:eastAsia="仿宋_GB2312" w:cs="仿宋_GB2312"/>
                <w:color w:val="auto"/>
                <w:sz w:val="22"/>
                <w:szCs w:val="22"/>
                <w:highlight w:val="none"/>
              </w:rPr>
            </w:pPr>
            <w:r>
              <w:rPr>
                <w:rFonts w:hint="eastAsia" w:ascii="微软雅黑" w:hAnsi="微软雅黑" w:eastAsia="微软雅黑" w:cs="微软雅黑"/>
                <w:color w:val="auto"/>
                <w:spacing w:val="-6"/>
                <w:sz w:val="22"/>
                <w:szCs w:val="22"/>
                <w:highlight w:val="none"/>
              </w:rPr>
              <w:t>Ⅳ</w:t>
            </w:r>
          </w:p>
        </w:tc>
        <w:tc>
          <w:tcPr>
            <w:tcW w:w="1508" w:type="dxa"/>
            <w:noWrap w:val="0"/>
            <w:vAlign w:val="top"/>
          </w:tcPr>
          <w:p w14:paraId="3885C363">
            <w:pPr>
              <w:shd w:val="clear" w:color="auto" w:fill="auto"/>
              <w:spacing w:before="207"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3"/>
                <w:sz w:val="22"/>
                <w:szCs w:val="22"/>
                <w:highlight w:val="none"/>
              </w:rPr>
              <w:t>大堡镇</w:t>
            </w:r>
          </w:p>
        </w:tc>
        <w:tc>
          <w:tcPr>
            <w:tcW w:w="4205" w:type="dxa"/>
            <w:noWrap w:val="0"/>
            <w:vAlign w:val="top"/>
          </w:tcPr>
          <w:p w14:paraId="376DE360">
            <w:pPr>
              <w:shd w:val="clear" w:color="auto" w:fill="auto"/>
              <w:spacing w:before="75" w:line="224" w:lineRule="auto"/>
              <w:ind w:left="133" w:right="11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新火村、较场村、桥楼村、集广村、双九村、化林村、万坪村</w:t>
            </w:r>
          </w:p>
        </w:tc>
        <w:tc>
          <w:tcPr>
            <w:tcW w:w="1169" w:type="dxa"/>
            <w:vMerge w:val="restart"/>
            <w:tcBorders>
              <w:bottom w:val="nil"/>
            </w:tcBorders>
            <w:noWrap w:val="0"/>
            <w:vAlign w:val="top"/>
          </w:tcPr>
          <w:p w14:paraId="33442469">
            <w:pPr>
              <w:pStyle w:val="18"/>
              <w:shd w:val="clear" w:color="auto" w:fill="auto"/>
              <w:spacing w:line="275" w:lineRule="auto"/>
              <w:rPr>
                <w:rFonts w:hint="eastAsia" w:ascii="仿宋_GB2312" w:hAnsi="仿宋_GB2312" w:eastAsia="仿宋_GB2312" w:cs="仿宋_GB2312"/>
                <w:color w:val="auto"/>
                <w:highlight w:val="none"/>
              </w:rPr>
            </w:pPr>
          </w:p>
          <w:p w14:paraId="12139D4B">
            <w:pPr>
              <w:pStyle w:val="18"/>
              <w:shd w:val="clear" w:color="auto" w:fill="auto"/>
              <w:spacing w:line="275" w:lineRule="auto"/>
              <w:rPr>
                <w:rFonts w:hint="eastAsia" w:ascii="仿宋_GB2312" w:hAnsi="仿宋_GB2312" w:eastAsia="仿宋_GB2312" w:cs="仿宋_GB2312"/>
                <w:color w:val="auto"/>
                <w:highlight w:val="none"/>
              </w:rPr>
            </w:pPr>
          </w:p>
          <w:p w14:paraId="3A22E30A">
            <w:pPr>
              <w:pStyle w:val="18"/>
              <w:shd w:val="clear" w:color="auto" w:fill="auto"/>
              <w:spacing w:line="275" w:lineRule="auto"/>
              <w:rPr>
                <w:rFonts w:hint="eastAsia" w:ascii="仿宋_GB2312" w:hAnsi="仿宋_GB2312" w:eastAsia="仿宋_GB2312" w:cs="仿宋_GB2312"/>
                <w:color w:val="auto"/>
                <w:highlight w:val="none"/>
              </w:rPr>
            </w:pPr>
          </w:p>
          <w:p w14:paraId="65016612">
            <w:pPr>
              <w:pStyle w:val="18"/>
              <w:shd w:val="clear" w:color="auto" w:fill="auto"/>
              <w:spacing w:line="275" w:lineRule="auto"/>
              <w:rPr>
                <w:rFonts w:hint="eastAsia" w:ascii="仿宋_GB2312" w:hAnsi="仿宋_GB2312" w:eastAsia="仿宋_GB2312" w:cs="仿宋_GB2312"/>
                <w:color w:val="auto"/>
                <w:highlight w:val="none"/>
              </w:rPr>
            </w:pPr>
          </w:p>
          <w:p w14:paraId="23E7E9E7">
            <w:pPr>
              <w:pStyle w:val="18"/>
              <w:shd w:val="clear" w:color="auto" w:fill="auto"/>
              <w:spacing w:line="276" w:lineRule="auto"/>
              <w:rPr>
                <w:rFonts w:hint="eastAsia" w:ascii="仿宋_GB2312" w:hAnsi="仿宋_GB2312" w:eastAsia="仿宋_GB2312" w:cs="仿宋_GB2312"/>
                <w:color w:val="auto"/>
                <w:highlight w:val="none"/>
              </w:rPr>
            </w:pPr>
          </w:p>
          <w:p w14:paraId="52B86667">
            <w:pPr>
              <w:pStyle w:val="18"/>
              <w:shd w:val="clear" w:color="auto" w:fill="auto"/>
              <w:spacing w:line="276" w:lineRule="auto"/>
              <w:rPr>
                <w:rFonts w:hint="eastAsia" w:ascii="仿宋_GB2312" w:hAnsi="仿宋_GB2312" w:eastAsia="仿宋_GB2312" w:cs="仿宋_GB2312"/>
                <w:color w:val="auto"/>
                <w:highlight w:val="none"/>
              </w:rPr>
            </w:pPr>
          </w:p>
          <w:p w14:paraId="3EEE3E1F">
            <w:pPr>
              <w:shd w:val="clear" w:color="auto" w:fill="auto"/>
              <w:spacing w:before="71" w:line="183" w:lineRule="auto"/>
              <w:ind w:left="308"/>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42500</w:t>
            </w:r>
          </w:p>
        </w:tc>
        <w:tc>
          <w:tcPr>
            <w:tcW w:w="1314" w:type="dxa"/>
            <w:vMerge w:val="continue"/>
            <w:tcBorders>
              <w:top w:val="nil"/>
              <w:bottom w:val="nil"/>
            </w:tcBorders>
            <w:noWrap w:val="0"/>
            <w:vAlign w:val="top"/>
          </w:tcPr>
          <w:p w14:paraId="6F6AE50A">
            <w:pPr>
              <w:pStyle w:val="18"/>
              <w:shd w:val="clear" w:color="auto" w:fill="auto"/>
              <w:rPr>
                <w:rFonts w:hint="eastAsia" w:ascii="仿宋_GB2312" w:hAnsi="仿宋_GB2312" w:eastAsia="仿宋_GB2312" w:cs="仿宋_GB2312"/>
                <w:color w:val="auto"/>
                <w:highlight w:val="none"/>
              </w:rPr>
            </w:pPr>
          </w:p>
        </w:tc>
      </w:tr>
      <w:tr w14:paraId="7FFA8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594" w:type="dxa"/>
            <w:vMerge w:val="continue"/>
            <w:tcBorders>
              <w:top w:val="nil"/>
              <w:bottom w:val="nil"/>
            </w:tcBorders>
            <w:noWrap w:val="0"/>
            <w:vAlign w:val="top"/>
          </w:tcPr>
          <w:p w14:paraId="7C6E0B41">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4522E169">
            <w:pPr>
              <w:pStyle w:val="18"/>
              <w:shd w:val="clear" w:color="auto" w:fill="auto"/>
              <w:spacing w:line="294" w:lineRule="auto"/>
              <w:rPr>
                <w:rFonts w:hint="eastAsia" w:ascii="仿宋_GB2312" w:hAnsi="仿宋_GB2312" w:eastAsia="仿宋_GB2312" w:cs="仿宋_GB2312"/>
                <w:color w:val="auto"/>
                <w:highlight w:val="none"/>
              </w:rPr>
            </w:pPr>
          </w:p>
          <w:p w14:paraId="745722DF">
            <w:pPr>
              <w:shd w:val="clear" w:color="auto" w:fill="auto"/>
              <w:spacing w:before="72"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3"/>
                <w:sz w:val="22"/>
                <w:szCs w:val="22"/>
                <w:highlight w:val="none"/>
              </w:rPr>
              <w:t>新林镇</w:t>
            </w:r>
          </w:p>
        </w:tc>
        <w:tc>
          <w:tcPr>
            <w:tcW w:w="4205" w:type="dxa"/>
            <w:noWrap w:val="0"/>
            <w:vAlign w:val="top"/>
          </w:tcPr>
          <w:p w14:paraId="3F565F09">
            <w:pPr>
              <w:shd w:val="clear" w:color="auto" w:fill="auto"/>
              <w:spacing w:before="35" w:line="247" w:lineRule="auto"/>
              <w:ind w:left="132" w:hanging="9"/>
              <w:jc w:val="both"/>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茗新村、金星村、黄泥村、麻柳村、九龙</w:t>
            </w:r>
            <w:r>
              <w:rPr>
                <w:rFonts w:hint="eastAsia" w:ascii="仿宋_GB2312" w:hAnsi="仿宋_GB2312" w:eastAsia="仿宋_GB2312" w:cs="仿宋_GB2312"/>
                <w:color w:val="auto"/>
                <w:spacing w:val="5"/>
                <w:sz w:val="22"/>
                <w:szCs w:val="22"/>
                <w:highlight w:val="none"/>
              </w:rPr>
              <w:t>村、红椿村、大香村、楠木村、新林村、</w:t>
            </w:r>
            <w:r>
              <w:rPr>
                <w:rFonts w:hint="eastAsia" w:ascii="仿宋_GB2312" w:hAnsi="仿宋_GB2312" w:eastAsia="仿宋_GB2312" w:cs="仿宋_GB2312"/>
                <w:color w:val="auto"/>
                <w:spacing w:val="1"/>
                <w:sz w:val="22"/>
                <w:szCs w:val="22"/>
                <w:highlight w:val="none"/>
              </w:rPr>
              <w:t>白杨村、瓦洛村</w:t>
            </w:r>
          </w:p>
        </w:tc>
        <w:tc>
          <w:tcPr>
            <w:tcW w:w="1169" w:type="dxa"/>
            <w:vMerge w:val="continue"/>
            <w:tcBorders>
              <w:top w:val="nil"/>
              <w:bottom w:val="nil"/>
            </w:tcBorders>
            <w:noWrap w:val="0"/>
            <w:vAlign w:val="top"/>
          </w:tcPr>
          <w:p w14:paraId="13389E34">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609E6204">
            <w:pPr>
              <w:pStyle w:val="18"/>
              <w:shd w:val="clear" w:color="auto" w:fill="auto"/>
              <w:rPr>
                <w:rFonts w:hint="eastAsia" w:ascii="仿宋_GB2312" w:hAnsi="仿宋_GB2312" w:eastAsia="仿宋_GB2312" w:cs="仿宋_GB2312"/>
                <w:color w:val="auto"/>
                <w:highlight w:val="none"/>
              </w:rPr>
            </w:pPr>
          </w:p>
        </w:tc>
      </w:tr>
      <w:tr w14:paraId="58294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94" w:type="dxa"/>
            <w:vMerge w:val="continue"/>
            <w:tcBorders>
              <w:top w:val="nil"/>
              <w:bottom w:val="nil"/>
            </w:tcBorders>
            <w:noWrap w:val="0"/>
            <w:vAlign w:val="top"/>
          </w:tcPr>
          <w:p w14:paraId="389D44D8">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3AC3E6F8">
            <w:pPr>
              <w:shd w:val="clear" w:color="auto" w:fill="auto"/>
              <w:spacing w:before="129" w:line="219" w:lineRule="auto"/>
              <w:ind w:left="30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2"/>
                <w:sz w:val="22"/>
                <w:szCs w:val="22"/>
                <w:highlight w:val="none"/>
              </w:rPr>
              <w:t>黑竹沟镇</w:t>
            </w:r>
          </w:p>
        </w:tc>
        <w:tc>
          <w:tcPr>
            <w:tcW w:w="4205" w:type="dxa"/>
            <w:noWrap w:val="0"/>
            <w:vAlign w:val="top"/>
          </w:tcPr>
          <w:p w14:paraId="71218F30">
            <w:pPr>
              <w:shd w:val="clear" w:color="auto" w:fill="auto"/>
              <w:spacing w:before="127" w:line="219" w:lineRule="auto"/>
              <w:ind w:left="133"/>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解放村、巴溪村</w:t>
            </w:r>
          </w:p>
        </w:tc>
        <w:tc>
          <w:tcPr>
            <w:tcW w:w="1169" w:type="dxa"/>
            <w:vMerge w:val="continue"/>
            <w:tcBorders>
              <w:top w:val="nil"/>
              <w:bottom w:val="nil"/>
            </w:tcBorders>
            <w:noWrap w:val="0"/>
            <w:vAlign w:val="top"/>
          </w:tcPr>
          <w:p w14:paraId="4D7F65A2">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2C87A0D3">
            <w:pPr>
              <w:pStyle w:val="18"/>
              <w:shd w:val="clear" w:color="auto" w:fill="auto"/>
              <w:rPr>
                <w:rFonts w:hint="eastAsia" w:ascii="仿宋_GB2312" w:hAnsi="仿宋_GB2312" w:eastAsia="仿宋_GB2312" w:cs="仿宋_GB2312"/>
                <w:color w:val="auto"/>
                <w:highlight w:val="none"/>
              </w:rPr>
            </w:pPr>
          </w:p>
        </w:tc>
      </w:tr>
      <w:tr w14:paraId="7334F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94" w:type="dxa"/>
            <w:vMerge w:val="continue"/>
            <w:tcBorders>
              <w:top w:val="nil"/>
              <w:bottom w:val="nil"/>
            </w:tcBorders>
            <w:noWrap w:val="0"/>
            <w:vAlign w:val="top"/>
          </w:tcPr>
          <w:p w14:paraId="30CB2B3F">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40A10A5A">
            <w:pPr>
              <w:shd w:val="clear" w:color="auto" w:fill="auto"/>
              <w:spacing w:before="119"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0"/>
                <w:sz w:val="22"/>
                <w:szCs w:val="22"/>
                <w:highlight w:val="none"/>
              </w:rPr>
              <w:t>杨河乡</w:t>
            </w:r>
          </w:p>
        </w:tc>
        <w:tc>
          <w:tcPr>
            <w:tcW w:w="4205" w:type="dxa"/>
            <w:noWrap w:val="0"/>
            <w:vAlign w:val="top"/>
          </w:tcPr>
          <w:p w14:paraId="4510990D">
            <w:pPr>
              <w:shd w:val="clear" w:color="auto" w:fill="auto"/>
              <w:spacing w:before="117" w:line="219" w:lineRule="auto"/>
              <w:ind w:left="133"/>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高湾村、牟加村、仲子村、桠桠村</w:t>
            </w:r>
          </w:p>
        </w:tc>
        <w:tc>
          <w:tcPr>
            <w:tcW w:w="1169" w:type="dxa"/>
            <w:vMerge w:val="continue"/>
            <w:tcBorders>
              <w:top w:val="nil"/>
              <w:bottom w:val="nil"/>
            </w:tcBorders>
            <w:noWrap w:val="0"/>
            <w:vAlign w:val="top"/>
          </w:tcPr>
          <w:p w14:paraId="69ABE809">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76B66A9F">
            <w:pPr>
              <w:pStyle w:val="18"/>
              <w:shd w:val="clear" w:color="auto" w:fill="auto"/>
              <w:rPr>
                <w:rFonts w:hint="eastAsia" w:ascii="仿宋_GB2312" w:hAnsi="仿宋_GB2312" w:eastAsia="仿宋_GB2312" w:cs="仿宋_GB2312"/>
                <w:color w:val="auto"/>
                <w:highlight w:val="none"/>
              </w:rPr>
            </w:pPr>
          </w:p>
        </w:tc>
      </w:tr>
      <w:tr w14:paraId="24038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94" w:type="dxa"/>
            <w:vMerge w:val="continue"/>
            <w:tcBorders>
              <w:top w:val="nil"/>
              <w:bottom w:val="nil"/>
            </w:tcBorders>
            <w:noWrap w:val="0"/>
            <w:vAlign w:val="top"/>
          </w:tcPr>
          <w:p w14:paraId="7F07ACD0">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0494369F">
            <w:pPr>
              <w:shd w:val="clear" w:color="auto" w:fill="auto"/>
              <w:spacing w:before="129"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0"/>
                <w:sz w:val="22"/>
                <w:szCs w:val="22"/>
                <w:highlight w:val="none"/>
              </w:rPr>
              <w:t>平等乡</w:t>
            </w:r>
          </w:p>
        </w:tc>
        <w:tc>
          <w:tcPr>
            <w:tcW w:w="4205" w:type="dxa"/>
            <w:noWrap w:val="0"/>
            <w:vAlign w:val="top"/>
          </w:tcPr>
          <w:p w14:paraId="39B3E1BC">
            <w:pPr>
              <w:shd w:val="clear" w:color="auto" w:fill="auto"/>
              <w:spacing w:before="127" w:line="219" w:lineRule="auto"/>
              <w:ind w:left="133"/>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观慈村、光明村、清溪村、平等村</w:t>
            </w:r>
          </w:p>
        </w:tc>
        <w:tc>
          <w:tcPr>
            <w:tcW w:w="1169" w:type="dxa"/>
            <w:vMerge w:val="continue"/>
            <w:tcBorders>
              <w:top w:val="nil"/>
              <w:bottom w:val="nil"/>
            </w:tcBorders>
            <w:noWrap w:val="0"/>
            <w:vAlign w:val="top"/>
          </w:tcPr>
          <w:p w14:paraId="4E0C28F3">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bottom w:val="nil"/>
            </w:tcBorders>
            <w:noWrap w:val="0"/>
            <w:vAlign w:val="top"/>
          </w:tcPr>
          <w:p w14:paraId="245032B4">
            <w:pPr>
              <w:pStyle w:val="18"/>
              <w:shd w:val="clear" w:color="auto" w:fill="auto"/>
              <w:rPr>
                <w:rFonts w:hint="eastAsia" w:ascii="仿宋_GB2312" w:hAnsi="仿宋_GB2312" w:eastAsia="仿宋_GB2312" w:cs="仿宋_GB2312"/>
                <w:color w:val="auto"/>
                <w:highlight w:val="none"/>
              </w:rPr>
            </w:pPr>
          </w:p>
        </w:tc>
      </w:tr>
      <w:tr w14:paraId="4F19B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94" w:type="dxa"/>
            <w:vMerge w:val="continue"/>
            <w:tcBorders>
              <w:top w:val="nil"/>
            </w:tcBorders>
            <w:noWrap w:val="0"/>
            <w:vAlign w:val="top"/>
          </w:tcPr>
          <w:p w14:paraId="7507BFEF">
            <w:pPr>
              <w:pStyle w:val="18"/>
              <w:shd w:val="clear" w:color="auto" w:fill="auto"/>
              <w:rPr>
                <w:rFonts w:hint="eastAsia" w:ascii="仿宋_GB2312" w:hAnsi="仿宋_GB2312" w:eastAsia="仿宋_GB2312" w:cs="仿宋_GB2312"/>
                <w:color w:val="auto"/>
                <w:highlight w:val="none"/>
              </w:rPr>
            </w:pPr>
          </w:p>
        </w:tc>
        <w:tc>
          <w:tcPr>
            <w:tcW w:w="1508" w:type="dxa"/>
            <w:noWrap w:val="0"/>
            <w:vAlign w:val="top"/>
          </w:tcPr>
          <w:p w14:paraId="23AC8F73">
            <w:pPr>
              <w:shd w:val="clear" w:color="auto" w:fill="auto"/>
              <w:spacing w:before="207" w:line="219" w:lineRule="auto"/>
              <w:ind w:left="41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0"/>
                <w:sz w:val="22"/>
                <w:szCs w:val="22"/>
                <w:highlight w:val="none"/>
              </w:rPr>
              <w:t>勒乌乡</w:t>
            </w:r>
          </w:p>
        </w:tc>
        <w:tc>
          <w:tcPr>
            <w:tcW w:w="4205" w:type="dxa"/>
            <w:noWrap w:val="0"/>
            <w:vAlign w:val="top"/>
          </w:tcPr>
          <w:p w14:paraId="49FD948D">
            <w:pPr>
              <w:shd w:val="clear" w:color="auto" w:fill="auto"/>
              <w:spacing w:before="58" w:line="233" w:lineRule="auto"/>
              <w:ind w:left="133" w:right="8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
                <w:sz w:val="22"/>
                <w:szCs w:val="22"/>
                <w:highlight w:val="none"/>
              </w:rPr>
              <w:t>勒乌村、祖马村、余坪村、柑子口村、马</w:t>
            </w:r>
            <w:r>
              <w:rPr>
                <w:rFonts w:hint="eastAsia" w:ascii="仿宋_GB2312" w:hAnsi="仿宋_GB2312" w:eastAsia="仿宋_GB2312" w:cs="仿宋_GB2312"/>
                <w:color w:val="auto"/>
                <w:spacing w:val="-3"/>
                <w:sz w:val="22"/>
                <w:szCs w:val="22"/>
                <w:highlight w:val="none"/>
              </w:rPr>
              <w:t>井村</w:t>
            </w:r>
          </w:p>
        </w:tc>
        <w:tc>
          <w:tcPr>
            <w:tcW w:w="1169" w:type="dxa"/>
            <w:vMerge w:val="continue"/>
            <w:tcBorders>
              <w:top w:val="nil"/>
            </w:tcBorders>
            <w:noWrap w:val="0"/>
            <w:vAlign w:val="top"/>
          </w:tcPr>
          <w:p w14:paraId="42318A2B">
            <w:pPr>
              <w:pStyle w:val="18"/>
              <w:shd w:val="clear" w:color="auto" w:fill="auto"/>
              <w:rPr>
                <w:rFonts w:hint="eastAsia" w:ascii="仿宋_GB2312" w:hAnsi="仿宋_GB2312" w:eastAsia="仿宋_GB2312" w:cs="仿宋_GB2312"/>
                <w:color w:val="auto"/>
                <w:highlight w:val="none"/>
              </w:rPr>
            </w:pPr>
          </w:p>
        </w:tc>
        <w:tc>
          <w:tcPr>
            <w:tcW w:w="1314" w:type="dxa"/>
            <w:vMerge w:val="continue"/>
            <w:tcBorders>
              <w:top w:val="nil"/>
            </w:tcBorders>
            <w:noWrap w:val="0"/>
            <w:vAlign w:val="top"/>
          </w:tcPr>
          <w:p w14:paraId="2E1BD851">
            <w:pPr>
              <w:pStyle w:val="18"/>
              <w:shd w:val="clear" w:color="auto" w:fill="auto"/>
              <w:rPr>
                <w:rFonts w:hint="eastAsia" w:ascii="仿宋_GB2312" w:hAnsi="仿宋_GB2312" w:eastAsia="仿宋_GB2312" w:cs="仿宋_GB2312"/>
                <w:color w:val="auto"/>
                <w:highlight w:val="none"/>
              </w:rPr>
            </w:pPr>
          </w:p>
        </w:tc>
      </w:tr>
    </w:tbl>
    <w:p w14:paraId="41AC9006">
      <w:pPr>
        <w:shd w:val="clear" w:color="auto" w:fill="auto"/>
        <w:rPr>
          <w:rFonts w:ascii="Arial" w:hAnsi="Arial" w:eastAsia="Arial" w:cs="Arial"/>
          <w:color w:val="auto"/>
          <w:sz w:val="21"/>
          <w:szCs w:val="21"/>
          <w:highlight w:val="none"/>
        </w:rPr>
        <w:sectPr>
          <w:pgSz w:w="11910" w:h="16840"/>
          <w:pgMar w:top="2041" w:right="1468" w:bottom="1587" w:left="1468" w:header="1134" w:footer="992" w:gutter="0"/>
          <w:pgNumType w:fmt="decimal"/>
          <w:cols w:space="720" w:num="1"/>
        </w:sectPr>
      </w:pPr>
    </w:p>
    <w:p w14:paraId="71A4E7C6">
      <w:pPr>
        <w:shd w:val="clear" w:color="auto" w:fill="auto"/>
        <w:spacing w:line="220" w:lineRule="atLeast"/>
        <w:jc w:val="both"/>
        <w:rPr>
          <w:rFonts w:hint="default" w:ascii="黑体" w:hAnsi="黑体" w:eastAsia="黑体" w:cs="黑体"/>
          <w:color w:val="auto"/>
          <w:kern w:val="2"/>
          <w:sz w:val="32"/>
          <w:szCs w:val="32"/>
          <w:highlight w:val="none"/>
          <w:u w:val="none"/>
          <w:lang w:val="en-US" w:eastAsia="zh-CN" w:bidi="ar-SA"/>
        </w:rPr>
      </w:pPr>
      <w:r>
        <w:rPr>
          <w:rFonts w:hint="eastAsia" w:ascii="黑体" w:hAnsi="黑体" w:eastAsia="黑体" w:cs="黑体"/>
          <w:color w:val="auto"/>
          <w:sz w:val="32"/>
          <w:szCs w:val="32"/>
          <w:highlight w:val="none"/>
          <w:u w:val="none"/>
          <w:lang w:eastAsia="zh-CN"/>
        </w:rPr>
        <w:t>附件</w:t>
      </w:r>
      <w:r>
        <w:rPr>
          <w:rFonts w:hint="eastAsia" w:ascii="黑体" w:hAnsi="黑体" w:eastAsia="黑体" w:cs="黑体"/>
          <w:color w:val="auto"/>
          <w:sz w:val="32"/>
          <w:szCs w:val="32"/>
          <w:highlight w:val="none"/>
          <w:u w:val="none"/>
          <w:lang w:val="en-US" w:eastAsia="zh-CN"/>
        </w:rPr>
        <w:t>3</w:t>
      </w:r>
    </w:p>
    <w:p w14:paraId="60193BB6">
      <w:pPr>
        <w:keepNext w:val="0"/>
        <w:keepLines w:val="0"/>
        <w:pageBreakBefore w:val="0"/>
        <w:shd w:val="clear" w:color="auto" w:fill="auto"/>
        <w:wordWrap/>
        <w:overflowPunct/>
        <w:topLinePunct w:val="0"/>
        <w:bidi w:val="0"/>
        <w:spacing w:line="220" w:lineRule="atLeast"/>
        <w:jc w:val="center"/>
        <w:rPr>
          <w:rFonts w:hint="default" w:ascii="黑体" w:hAnsi="黑体" w:eastAsia="黑体" w:cs="黑体"/>
          <w:color w:val="auto"/>
          <w:kern w:val="2"/>
          <w:sz w:val="41"/>
          <w:szCs w:val="41"/>
          <w:highlight w:val="none"/>
          <w:u w:val="none"/>
          <w:lang w:val="en-US" w:eastAsia="zh-CN" w:bidi="ar-SA"/>
        </w:rPr>
      </w:pPr>
      <w:r>
        <w:rPr>
          <w:rFonts w:hint="eastAsia" w:ascii="方正小标宋简体" w:hAnsi="方正小标宋简体" w:eastAsia="方正小标宋简体" w:cs="方正小标宋简体"/>
          <w:b w:val="0"/>
          <w:bCs/>
          <w:sz w:val="41"/>
          <w:szCs w:val="41"/>
          <w:highlight w:val="none"/>
          <w:lang w:val="en-US" w:eastAsia="zh-CN"/>
        </w:rPr>
        <w:t>2022年健康扶贫后评估中病种（25）</w:t>
      </w:r>
    </w:p>
    <w:p w14:paraId="7F1851A2">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4"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color w:val="000000"/>
          <w:w w:val="96"/>
          <w:sz w:val="32"/>
          <w:szCs w:val="32"/>
          <w:highlight w:val="none"/>
        </w:rPr>
        <w:t>国家卫健委规定救治大病25个病种</w:t>
      </w:r>
      <w:r>
        <w:rPr>
          <w:rFonts w:hint="eastAsia" w:ascii="仿宋_GB2312" w:hAnsi="仿宋_GB2312" w:eastAsia="仿宋_GB2312" w:cs="仿宋_GB2312"/>
          <w:b w:val="0"/>
          <w:bCs w:val="0"/>
          <w:w w:val="96"/>
          <w:sz w:val="32"/>
          <w:szCs w:val="32"/>
          <w:highlight w:val="none"/>
          <w:lang w:eastAsia="zh-CN"/>
        </w:rPr>
        <w:t>（国卫生办医函〔</w:t>
      </w:r>
      <w:r>
        <w:rPr>
          <w:rFonts w:hint="eastAsia" w:ascii="仿宋_GB2312" w:hAnsi="仿宋_GB2312" w:eastAsia="仿宋_GB2312" w:cs="仿宋_GB2312"/>
          <w:b w:val="0"/>
          <w:bCs w:val="0"/>
          <w:w w:val="96"/>
          <w:sz w:val="32"/>
          <w:szCs w:val="32"/>
          <w:highlight w:val="none"/>
          <w:lang w:val="en-US" w:eastAsia="zh-CN"/>
        </w:rPr>
        <w:t>2019〕427号</w:t>
      </w:r>
      <w:r>
        <w:rPr>
          <w:rFonts w:hint="eastAsia" w:ascii="仿宋_GB2312" w:hAnsi="仿宋_GB2312" w:eastAsia="仿宋_GB2312" w:cs="仿宋_GB2312"/>
          <w:b w:val="0"/>
          <w:bCs w:val="0"/>
          <w:w w:val="96"/>
          <w:sz w:val="32"/>
          <w:szCs w:val="32"/>
          <w:highlight w:val="none"/>
          <w:lang w:eastAsia="zh-CN"/>
        </w:rPr>
        <w:t>），</w:t>
      </w:r>
      <w:r>
        <w:rPr>
          <w:rFonts w:hint="eastAsia" w:ascii="仿宋_GB2312" w:hAnsi="仿宋_GB2312" w:eastAsia="仿宋_GB2312" w:cs="仿宋_GB2312"/>
          <w:b w:val="0"/>
          <w:bCs w:val="0"/>
          <w:sz w:val="32"/>
          <w:szCs w:val="32"/>
          <w:highlight w:val="none"/>
        </w:rPr>
        <w:t>2019年农村贫困人口大病专项救治的25个病种包括：</w:t>
      </w:r>
    </w:p>
    <w:p w14:paraId="42939604">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Times New Roman" w:hAnsi="Times New Roman" w:eastAsia="仿宋_GB2312" w:cs="仿宋_GB2312"/>
          <w:b w:val="0"/>
          <w:bCs w:val="0"/>
          <w:sz w:val="32"/>
          <w:szCs w:val="32"/>
          <w:highlight w:val="none"/>
        </w:rPr>
        <w:t>儿童先心病、儿童白血病、胃癌、食道癌、结肠癌、直肠癌、终末期肾病、肺癌、肝癌、乳腺癌、宫颈癌、急性心肌梗死、白内障、尘肺、神经母细胞瘤、儿童淋巴瘤、骨肉瘤、血友病、地中海贫血、唇腭裂、尿道下裂、耐多药结核病</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新增</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、脑卒中（新增）、慢性阻塞性肺气肿（新增）、艾滋病机会感染（新增）。</w:t>
      </w:r>
    </w:p>
    <w:p w14:paraId="63B71BD4">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60" w:lineRule="exact"/>
        <w:jc w:val="both"/>
        <w:textAlignment w:val="auto"/>
        <w:rPr>
          <w:rFonts w:hint="eastAsia"/>
          <w:sz w:val="32"/>
          <w:szCs w:val="32"/>
          <w:lang w:val="en-US" w:eastAsia="zh-CN"/>
        </w:rPr>
      </w:pPr>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6E72FC5-DE75-46EF-8C4E-3B95D48CC070}"/>
  </w:font>
  <w:font w:name="黑体">
    <w:panose1 w:val="02010609060101010101"/>
    <w:charset w:val="86"/>
    <w:family w:val="auto"/>
    <w:pitch w:val="default"/>
    <w:sig w:usb0="800002BF" w:usb1="38CF7CFA" w:usb2="00000016" w:usb3="00000000" w:csb0="00040001" w:csb1="00000000"/>
    <w:embedRegular r:id="rId2" w:fontKey="{8FAA3AB4-FCA7-4F87-9C8C-F391BC1869E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3" w:fontKey="{C7699131-BC8D-4227-874A-7DDED6599322}"/>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embedRegular r:id="rId4" w:fontKey="{C5638E57-F2EF-47A2-BC78-2713E6DAB26A}"/>
  </w:font>
  <w:font w:name="方正小标宋简体">
    <w:panose1 w:val="03000509000000000000"/>
    <w:charset w:val="86"/>
    <w:family w:val="script"/>
    <w:pitch w:val="default"/>
    <w:sig w:usb0="00000001" w:usb1="080E0000" w:usb2="00000000" w:usb3="00000000" w:csb0="00040000" w:csb1="00000000"/>
    <w:embedRegular r:id="rId5" w:fontKey="{DF4DCE57-EDB3-49E1-BFA9-AE246855ECD2}"/>
  </w:font>
  <w:font w:name="楷体">
    <w:panose1 w:val="02010609060101010101"/>
    <w:charset w:val="86"/>
    <w:family w:val="auto"/>
    <w:pitch w:val="default"/>
    <w:sig w:usb0="800002BF" w:usb1="38CF7CFA" w:usb2="00000016" w:usb3="00000000" w:csb0="00040001" w:csb1="00000000"/>
    <w:embedRegular r:id="rId6" w:fontKey="{1EFF3469-C07C-433D-ABA1-7BD06544A9EE}"/>
  </w:font>
  <w:font w:name="楷体_GB2312">
    <w:panose1 w:val="02010609030101010101"/>
    <w:charset w:val="86"/>
    <w:family w:val="auto"/>
    <w:pitch w:val="default"/>
    <w:sig w:usb0="00000001" w:usb1="080E0000" w:usb2="00000000" w:usb3="00000000" w:csb0="00040000" w:csb1="00000000"/>
    <w:embedRegular r:id="rId7" w:fontKey="{C5360310-1CA7-4C1A-A084-38C550063DC5}"/>
  </w:font>
  <w:font w:name="微软雅黑">
    <w:panose1 w:val="020B0503020204020204"/>
    <w:charset w:val="86"/>
    <w:family w:val="auto"/>
    <w:pitch w:val="default"/>
    <w:sig w:usb0="80000287" w:usb1="280F3C52" w:usb2="00000016" w:usb3="00000000" w:csb0="0004001F" w:csb1="00000000"/>
    <w:embedRegular r:id="rId8" w:fontKey="{48B8104B-F000-4BB9-9E1B-E273167654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B6A8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D3ED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6D3ED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0778E">
    <w:pPr>
      <w:spacing w:before="1" w:line="176" w:lineRule="auto"/>
      <w:rPr>
        <w:rFonts w:ascii="宋体" w:hAnsi="宋体" w:eastAsia="宋体" w:cs="宋体"/>
        <w:sz w:val="30"/>
        <w:szCs w:val="30"/>
      </w:rPr>
    </w:pPr>
    <w:r>
      <w:rPr>
        <w:sz w:val="3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B4169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14:paraId="33B4169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66D9B">
    <w:pPr>
      <w:pStyle w:val="5"/>
      <w:jc w:val="both"/>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CB57C">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59CB57C">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5A6B97D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81D1B">
    <w:pPr>
      <w:pStyle w:val="6"/>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8B08B"/>
    <w:multiLevelType w:val="singleLevel"/>
    <w:tmpl w:val="A968B08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2OTg5NGZkNmIxZWI3Zjk2ZWFjNTkwZjdmNmE4ZTIifQ=="/>
  </w:docVars>
  <w:rsids>
    <w:rsidRoot w:val="00000000"/>
    <w:rsid w:val="016C00A1"/>
    <w:rsid w:val="017460A8"/>
    <w:rsid w:val="045F066D"/>
    <w:rsid w:val="054D10C0"/>
    <w:rsid w:val="07454E7C"/>
    <w:rsid w:val="07FA6940"/>
    <w:rsid w:val="0BDA4CAF"/>
    <w:rsid w:val="0DF742E8"/>
    <w:rsid w:val="107514F4"/>
    <w:rsid w:val="12F44B5D"/>
    <w:rsid w:val="144959A5"/>
    <w:rsid w:val="1A7032F0"/>
    <w:rsid w:val="1ACA04C6"/>
    <w:rsid w:val="20034EC4"/>
    <w:rsid w:val="20A21C21"/>
    <w:rsid w:val="20B00754"/>
    <w:rsid w:val="22C24A6D"/>
    <w:rsid w:val="2AE73002"/>
    <w:rsid w:val="2BD055AF"/>
    <w:rsid w:val="2DEB07D0"/>
    <w:rsid w:val="2E0028ED"/>
    <w:rsid w:val="2E070A94"/>
    <w:rsid w:val="2E14322B"/>
    <w:rsid w:val="2E3F3468"/>
    <w:rsid w:val="32574489"/>
    <w:rsid w:val="33EE4EFF"/>
    <w:rsid w:val="343D0BC3"/>
    <w:rsid w:val="37FB4CEF"/>
    <w:rsid w:val="38AB673F"/>
    <w:rsid w:val="39070EDA"/>
    <w:rsid w:val="3E65226D"/>
    <w:rsid w:val="3EA33F9A"/>
    <w:rsid w:val="42191E7C"/>
    <w:rsid w:val="4A8D0102"/>
    <w:rsid w:val="4C881CB6"/>
    <w:rsid w:val="51334633"/>
    <w:rsid w:val="524466D7"/>
    <w:rsid w:val="530D210B"/>
    <w:rsid w:val="55237D57"/>
    <w:rsid w:val="56B81F0A"/>
    <w:rsid w:val="56F805F7"/>
    <w:rsid w:val="58C570BC"/>
    <w:rsid w:val="5E2D130D"/>
    <w:rsid w:val="5F3D315F"/>
    <w:rsid w:val="636B31D9"/>
    <w:rsid w:val="673A0130"/>
    <w:rsid w:val="677C0558"/>
    <w:rsid w:val="68364600"/>
    <w:rsid w:val="68AE07A7"/>
    <w:rsid w:val="6C2965BF"/>
    <w:rsid w:val="6CFA7F2C"/>
    <w:rsid w:val="6D9C2F09"/>
    <w:rsid w:val="6E380F78"/>
    <w:rsid w:val="6E863A67"/>
    <w:rsid w:val="6F5C4ECE"/>
    <w:rsid w:val="752713E2"/>
    <w:rsid w:val="78CE4DE3"/>
    <w:rsid w:val="7CB41EA6"/>
    <w:rsid w:val="7DA04175"/>
    <w:rsid w:val="7DD37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ESI仿宋-GB2312" w:hAnsi="CESI仿宋-GB2312" w:eastAsia="CESI仿宋-GB2312" w:cs="宋体"/>
      <w:kern w:val="2"/>
      <w:sz w:val="32"/>
      <w:szCs w:val="32"/>
      <w:lang w:val="en-US" w:eastAsia="zh-CN" w:bidi="ar-SA"/>
    </w:rPr>
  </w:style>
  <w:style w:type="paragraph" w:styleId="3">
    <w:name w:val="heading 2"/>
    <w:basedOn w:val="1"/>
    <w:next w:val="1"/>
    <w:autoRedefine/>
    <w:qFormat/>
    <w:uiPriority w:val="0"/>
    <w:pPr>
      <w:keepNext/>
      <w:keepLines/>
      <w:outlineLvl w:val="1"/>
    </w:pPr>
    <w:rPr>
      <w:rFonts w:ascii="黑体" w:hAnsi="黑体" w:eastAsia="黑体"/>
      <w:bCs/>
      <w:kern w:val="0"/>
      <w:szCs w:val="20"/>
    </w:rPr>
  </w:style>
  <w:style w:type="paragraph" w:styleId="2">
    <w:name w:val="heading 4"/>
    <w:basedOn w:val="1"/>
    <w:next w:val="1"/>
    <w:autoRedefine/>
    <w:qFormat/>
    <w:uiPriority w:val="0"/>
    <w:pPr>
      <w:keepNext/>
      <w:keepLines/>
      <w:spacing w:line="372" w:lineRule="auto"/>
      <w:outlineLvl w:val="3"/>
    </w:pPr>
    <w:rPr>
      <w:rFonts w:ascii="Arial" w:hAnsi="Arial" w:eastAsia="黑体" w:cs="Times New Roman"/>
      <w:b/>
      <w:bCs/>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1"/>
    <w:pPr>
      <w:autoSpaceDE w:val="0"/>
      <w:autoSpaceDN w:val="0"/>
      <w:adjustRightInd w:val="0"/>
      <w:ind w:left="119"/>
      <w:jc w:val="left"/>
    </w:pPr>
    <w:rPr>
      <w:rFonts w:ascii="宋体" w:hAnsi="Times New Roman" w:eastAsia="宋体" w:cs="宋体"/>
      <w:kern w:val="0"/>
      <w:sz w:val="30"/>
      <w:szCs w:val="30"/>
    </w:rPr>
  </w:style>
  <w:style w:type="paragraph" w:styleId="5">
    <w:name w:val="footer"/>
    <w:basedOn w:val="1"/>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autoRedefine/>
    <w:unhideWhenUsed/>
    <w:qFormat/>
    <w:uiPriority w:val="39"/>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Title"/>
    <w:basedOn w:val="1"/>
    <w:next w:val="1"/>
    <w:autoRedefine/>
    <w:qFormat/>
    <w:uiPriority w:val="0"/>
    <w:pPr>
      <w:spacing w:before="240" w:after="60"/>
      <w:jc w:val="center"/>
      <w:outlineLvl w:val="0"/>
    </w:pPr>
    <w:rPr>
      <w:rFonts w:ascii="Arial" w:hAnsi="Arial" w:cs="Arial"/>
      <w:b/>
      <w:bCs/>
      <w:sz w:val="32"/>
      <w:szCs w:val="32"/>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NormalCharacter"/>
    <w:autoRedefine/>
    <w:qFormat/>
    <w:uiPriority w:val="0"/>
  </w:style>
  <w:style w:type="character" w:customStyle="1" w:styleId="14">
    <w:name w:val="15"/>
    <w:basedOn w:val="12"/>
    <w:autoRedefine/>
    <w:qFormat/>
    <w:uiPriority w:val="0"/>
    <w:rPr>
      <w:rFonts w:hint="default" w:ascii="Times New Roman" w:hAnsi="Times New Roman" w:cs="Times New Roman"/>
      <w:b/>
      <w:bCs/>
      <w:sz w:val="18"/>
      <w:szCs w:val="18"/>
    </w:rPr>
  </w:style>
  <w:style w:type="character" w:customStyle="1" w:styleId="15">
    <w:name w:val="font11"/>
    <w:basedOn w:val="12"/>
    <w:autoRedefine/>
    <w:qFormat/>
    <w:uiPriority w:val="0"/>
    <w:rPr>
      <w:rFonts w:hint="eastAsia" w:ascii="宋体" w:hAnsi="宋体" w:eastAsia="宋体" w:cs="宋体"/>
      <w:color w:val="000000"/>
      <w:sz w:val="22"/>
      <w:szCs w:val="22"/>
      <w:u w:val="none"/>
    </w:rPr>
  </w:style>
  <w:style w:type="table" w:customStyle="1" w:styleId="16">
    <w:name w:val="Table Normal"/>
    <w:autoRedefine/>
    <w:qFormat/>
    <w:uiPriority w:val="0"/>
    <w:tblPr>
      <w:tblCellMar>
        <w:top w:w="0" w:type="dxa"/>
        <w:left w:w="0" w:type="dxa"/>
        <w:bottom w:w="0" w:type="dxa"/>
        <w:right w:w="0" w:type="dxa"/>
      </w:tblCellMar>
    </w:tblPr>
  </w:style>
  <w:style w:type="paragraph" w:customStyle="1" w:styleId="17">
    <w:name w:val="二级目录（附件）"/>
    <w:basedOn w:val="1"/>
    <w:qFormat/>
    <w:uiPriority w:val="0"/>
    <w:pPr>
      <w:spacing w:line="349" w:lineRule="auto"/>
      <w:jc w:val="left"/>
    </w:pPr>
    <w:rPr>
      <w:rFonts w:hint="eastAsia" w:ascii="方正小标宋简体" w:hAnsi="方正小标宋简体" w:eastAsia="宋体" w:cs="方正小标宋简体"/>
      <w:color w:val="auto"/>
      <w:sz w:val="28"/>
      <w:szCs w:val="96"/>
    </w:rPr>
  </w:style>
  <w:style w:type="paragraph" w:customStyle="1" w:styleId="18">
    <w:name w:val="Table Text"/>
    <w:basedOn w:val="1"/>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7b592690-78d8-4aad-a3f4-747fe4b5e5a7</errorID>
      <errorWord>、等</errorWord>
      <group>L1_Punc</group>
      <groupName>标点问题</groupName>
      <ability>L2_Punc</ability>
      <abilityName>标点符号检查</abilityName>
      <candidateList>
        <item>等</item>
      </candidateList>
      <explain>“及”“和”“等”连词前不宜使用顿号，建议删除（或使用逗号）。</explain>
      <paraID>7FDF6C8C</paraID>
      <start>3</start>
      <end>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07b548-7020-4592-8749-d6bd2f90acf0}">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3132</Words>
  <Characters>3241</Characters>
  <Lines>0</Lines>
  <Paragraphs>0</Paragraphs>
  <TotalTime>27</TotalTime>
  <ScaleCrop>false</ScaleCrop>
  <LinksUpToDate>false</LinksUpToDate>
  <CharactersWithSpaces>3260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2023-11-17T09:44:00Z</dcterms:created>
  <dc:creator>Administrator</dc:creator>
  <cp:lastModifiedBy>碧云天</cp:lastModifiedBy>
  <cp:lastPrinted>2025-07-15T06:54:00Z</cp:lastPrinted>
  <dcterms:modified xsi:type="dcterms:W3CDTF">2025-11-10T03:23:57Z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EA48D76BA7FD442AADFCAEC17A8C6AE3_13</vt:lpwstr>
  </property>
  <property fmtid="{D5CDD505-2E9C-101B-9397-08002B2CF9AE}" pid="4" name="KSOTemplateDocerSaveRecord">
    <vt:lpwstr>eyJoZGlkIjoiNzI2ZGI0OGUzMDAzMzk0YmE1OTYyMDVlZGMwMmYyODYiLCJ1c2VySWQiOiIxMTM5NjM2MTk5In0=</vt:lpwstr>
  </property>
</Properties>
</file>