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32612">
      <w:pPr>
        <w:keepNext w:val="0"/>
        <w:keepLines w:val="0"/>
        <w:pageBreakBefore w:val="0"/>
        <w:widowControl w:val="0"/>
        <w:kinsoku/>
        <w:wordWrap/>
        <w:topLinePunct w:val="0"/>
        <w:autoSpaceDE/>
        <w:autoSpaceDN/>
        <w:bidi w:val="0"/>
        <w:spacing w:line="600" w:lineRule="exact"/>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bookmarkStart w:id="0" w:name="_GoBack"/>
      <w:bookmarkEnd w:id="0"/>
    </w:p>
    <w:p w14:paraId="6AA84203">
      <w:pPr>
        <w:pStyle w:val="2"/>
        <w:keepNext w:val="0"/>
        <w:keepLines w:val="0"/>
        <w:pageBreakBefore w:val="0"/>
        <w:widowControl w:val="0"/>
        <w:kinsoku/>
        <w:wordWrap/>
        <w:topLinePunct w:val="0"/>
        <w:autoSpaceDE/>
        <w:autoSpaceDN/>
        <w:bidi w:val="0"/>
        <w:spacing w:line="600" w:lineRule="exact"/>
        <w:textAlignment w:val="auto"/>
        <w:rPr>
          <w:rFonts w:hint="eastAsia"/>
          <w:lang w:eastAsia="zh-CN"/>
        </w:rPr>
      </w:pPr>
    </w:p>
    <w:p w14:paraId="2B3D2D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《峨边彝族自治县移风易俗条例实施细则》</w:t>
      </w:r>
    </w:p>
    <w:p w14:paraId="115777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（征求意见稿）</w:t>
      </w:r>
    </w:p>
    <w:p w14:paraId="77E9427D">
      <w:pPr>
        <w:spacing w:before="240"/>
        <w:rPr>
          <w:rFonts w:ascii="楷体" w:hAnsi="楷体" w:eastAsia="楷体"/>
          <w:color w:val="3B3838" w:themeColor="background2" w:themeShade="40"/>
          <w:sz w:val="30"/>
          <w:szCs w:val="30"/>
        </w:rPr>
      </w:pPr>
      <w:r>
        <w:rPr>
          <w:rFonts w:hint="eastAsia" w:ascii="楷体" w:hAnsi="楷体" w:eastAsia="楷体"/>
          <w:color w:val="3B3838" w:themeColor="background2" w:themeShade="40"/>
          <w:sz w:val="30"/>
          <w:szCs w:val="30"/>
        </w:rPr>
        <w:t>（2025年*月*日峨边彝族自治县人民政府第*次常务会议通过）</w:t>
      </w:r>
    </w:p>
    <w:p w14:paraId="765B1999">
      <w:pPr>
        <w:keepNext w:val="0"/>
        <w:keepLines w:val="0"/>
        <w:pageBreakBefore w:val="0"/>
        <w:widowControl w:val="0"/>
        <w:kinsoku/>
        <w:wordWrap/>
        <w:topLinePunct w:val="0"/>
        <w:autoSpaceDE/>
        <w:autoSpaceDN/>
        <w:bidi w:val="0"/>
        <w:spacing w:line="600" w:lineRule="exact"/>
        <w:jc w:val="center"/>
        <w:textAlignment w:val="auto"/>
        <w:rPr>
          <w:rFonts w:ascii="黑体" w:hAnsi="黑体" w:eastAsia="黑体"/>
          <w:color w:val="000000"/>
          <w:sz w:val="32"/>
          <w:szCs w:val="32"/>
        </w:rPr>
      </w:pPr>
      <w:r>
        <w:rPr>
          <w:rFonts w:hint="eastAsia" w:ascii="黑体" w:hAnsi="黑体" w:eastAsia="黑体"/>
          <w:color w:val="000000"/>
          <w:sz w:val="32"/>
          <w:szCs w:val="32"/>
        </w:rPr>
        <w:t>第一章  总 则</w:t>
      </w:r>
    </w:p>
    <w:p w14:paraId="7E443413">
      <w:pPr>
        <w:spacing w:before="240"/>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第一条 </w:t>
      </w:r>
      <w:r>
        <w:rPr>
          <w:rFonts w:hint="eastAsia" w:ascii="Times New Roman" w:hAnsi="Times New Roman" w:eastAsia="仿宋_GB2312" w:cs="仿宋_GB2312"/>
          <w:sz w:val="32"/>
          <w:szCs w:val="32"/>
          <w:lang w:val="en-US" w:eastAsia="zh-CN"/>
        </w:rPr>
        <w:t>为了保证自治县移风易俗工作落地落实、形成常态，根据《峨边彝族自治县移风易俗条例》（以下简称《移风易俗条例》），制定本实施细则。</w:t>
      </w:r>
    </w:p>
    <w:p w14:paraId="4BEE5F75">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第二条</w:t>
      </w:r>
      <w:r>
        <w:rPr>
          <w:rFonts w:ascii="仿宋" w:hAnsi="仿宋" w:eastAsia="仿宋"/>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自治县人民政府、相关工作部门以及乡（镇）人民政府负责本细则的实施。县内群团组织、村（居）民委员会以及德古依照《移风易俗条例》第二十四条、第二十六条、第二十七条之规定执行移风易俗工作任务时，适用本细则有关规定。</w:t>
      </w:r>
    </w:p>
    <w:p w14:paraId="1B4DC3E5">
      <w:pPr>
        <w:ind w:firstLine="640" w:firstLineChars="200"/>
        <w:rPr>
          <w:rFonts w:ascii="仿宋" w:hAnsi="仿宋" w:eastAsia="仿宋"/>
          <w:color w:val="3B3838" w:themeColor="background2" w:themeShade="40"/>
          <w:sz w:val="30"/>
          <w:szCs w:val="30"/>
        </w:rPr>
      </w:pPr>
      <w:r>
        <w:rPr>
          <w:rFonts w:hint="eastAsia" w:ascii="黑体" w:hAnsi="黑体" w:eastAsia="黑体"/>
          <w:color w:val="000000"/>
          <w:sz w:val="32"/>
          <w:szCs w:val="32"/>
        </w:rPr>
        <w:t xml:space="preserve">第三条 </w:t>
      </w:r>
      <w:r>
        <w:rPr>
          <w:rFonts w:hint="eastAsia" w:ascii="Times New Roman" w:hAnsi="Times New Roman" w:eastAsia="仿宋_GB2312" w:cs="仿宋_GB2312"/>
          <w:sz w:val="32"/>
          <w:szCs w:val="32"/>
          <w:lang w:val="en-US" w:eastAsia="zh-CN"/>
        </w:rPr>
        <w:t>《移风易俗条例》第二条所称的“移风易俗工作及其相关活动”，是指通过法律政策引导、社会倡导或文化教育等手段，改变自治县区域内存在的高价彩礼、大操大办、厚葬薄养、铺张浪费等不合时宜的陈规陋习和不良风俗的相关工作，以树立社会文明新风尚</w:t>
      </w:r>
      <w:r>
        <w:rPr>
          <w:rFonts w:hint="eastAsia" w:ascii="仿宋" w:hAnsi="仿宋" w:eastAsia="仿宋"/>
          <w:color w:val="3B3838" w:themeColor="background2" w:themeShade="40"/>
          <w:sz w:val="30"/>
          <w:szCs w:val="30"/>
        </w:rPr>
        <w:t>。</w:t>
      </w:r>
    </w:p>
    <w:p w14:paraId="4D4BE7C0">
      <w:pPr>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第二章  行为规范的具体标准</w:t>
      </w:r>
    </w:p>
    <w:p w14:paraId="6896001C">
      <w:pPr>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第一节  婚丧喜庆事宜</w:t>
      </w:r>
    </w:p>
    <w:p w14:paraId="127D9851">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第四条</w:t>
      </w:r>
      <w:r>
        <w:rPr>
          <w:rFonts w:ascii="仿宋" w:hAnsi="仿宋" w:eastAsia="仿宋"/>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自治县的婚丧喜庆事宜遵循婚事新办、丧事简办的原则，仅限操办婚庆和丧事宴席。禁止举办乔迁、订婚、满月、祝寿、升学、谢师、开业、立碑、入伍等宴席。</w:t>
      </w:r>
    </w:p>
    <w:p w14:paraId="6D0D012D">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操办宴席只能一事一办。禁止针对一个喜庆事项多人举办、多地举办或者化整为零、分散举办。</w:t>
      </w:r>
    </w:p>
    <w:p w14:paraId="0AB0C791">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第五条</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婚庆酒宴由办理人在结婚15日之前向村（居）委会申报婚宴具体时间、酒席规模、花销概算、彩礼金额等，经村（居）委会审核，报乡（镇）人民政府备案。结婚双方未达到法定婚龄的禁止操办婚宴酒席。</w:t>
      </w:r>
    </w:p>
    <w:p w14:paraId="2376BC60">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丧事酒宴由办理人在丧事结束后15日之内向村（居）委会报备。</w:t>
      </w:r>
    </w:p>
    <w:p w14:paraId="31922DD9">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第六条  </w:t>
      </w:r>
      <w:r>
        <w:rPr>
          <w:rFonts w:hint="eastAsia" w:ascii="Times New Roman" w:hAnsi="Times New Roman" w:eastAsia="仿宋_GB2312" w:cs="仿宋_GB2312"/>
          <w:sz w:val="32"/>
          <w:szCs w:val="32"/>
          <w:lang w:val="en-US" w:eastAsia="zh-CN"/>
        </w:rPr>
        <w:t>自治县倡导“低彩礼、零彩礼”婚嫁新风尚。原则上结婚的彩礼金额最高不超过11万元。</w:t>
      </w:r>
    </w:p>
    <w:p w14:paraId="3D869404">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本细则规定的聘礼金额度为上限标准。各村民委员会、居民委员会可在不高于此标准的前提下，按照法定程序根据当地实际情况制定村规民约另行约定。</w:t>
      </w:r>
    </w:p>
    <w:p w14:paraId="7F7D38A5">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第七条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单方置办的婚宴酒席不宜超过25桌，双方合办的婚宴不宜超过40桌。丧事宴席原则上不超过25桌。</w:t>
      </w:r>
    </w:p>
    <w:p w14:paraId="7536DAC5">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城区酒宴单桌价格应当控制在600元以内（含烟酒），乡（镇）酒宴每桌价格应当控制在500元以内（含烟酒）。    </w:t>
      </w:r>
    </w:p>
    <w:p w14:paraId="07DD10D9">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第八条  </w:t>
      </w:r>
      <w:r>
        <w:rPr>
          <w:rFonts w:hint="eastAsia" w:ascii="Times New Roman" w:hAnsi="Times New Roman" w:eastAsia="仿宋_GB2312" w:cs="仿宋_GB2312"/>
          <w:sz w:val="32"/>
          <w:szCs w:val="32"/>
          <w:lang w:val="en-US" w:eastAsia="zh-CN"/>
        </w:rPr>
        <w:t>婚嫁喜宴男女双方均1天内举办完毕，或者1天内合办完毕。</w:t>
      </w:r>
    </w:p>
    <w:p w14:paraId="5E96ACCD">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革除长时间停棺待葬陋习，城镇丧事应当遵守殡葬管理规定，农村地区丧葬停灵时间一般控制在3天以内，最长不超过5天。</w:t>
      </w:r>
    </w:p>
    <w:p w14:paraId="79B13AF8">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第九条  </w:t>
      </w:r>
      <w:r>
        <w:rPr>
          <w:rFonts w:hint="eastAsia" w:ascii="Times New Roman" w:hAnsi="Times New Roman" w:eastAsia="仿宋_GB2312" w:cs="仿宋_GB2312"/>
          <w:sz w:val="32"/>
          <w:szCs w:val="32"/>
          <w:lang w:val="en-US" w:eastAsia="zh-CN"/>
        </w:rPr>
        <w:t>举办婚丧酒席时，操办方收受礼金与参加酒席的随礼金额建议不超过300元/户。</w:t>
      </w:r>
    </w:p>
    <w:p w14:paraId="5BE40C57">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结婚双方的近亲属、父母辈同胞兄弟姐妹等亲属随礼最高不宜超过1000元/户。</w:t>
      </w:r>
    </w:p>
    <w:p w14:paraId="3E9EEAA6">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婚丧事宜建议不租用豪华车辆（价格50万元/辆以上），租车数量应当控制在6辆以内。</w:t>
      </w:r>
    </w:p>
    <w:p w14:paraId="48C0635B">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第十一条  </w:t>
      </w:r>
      <w:r>
        <w:rPr>
          <w:rFonts w:hint="eastAsia" w:ascii="Times New Roman" w:hAnsi="Times New Roman" w:eastAsia="仿宋_GB2312" w:cs="仿宋_GB2312"/>
          <w:sz w:val="32"/>
          <w:szCs w:val="32"/>
          <w:lang w:val="en-US" w:eastAsia="zh-CN"/>
        </w:rPr>
        <w:t>倡导树立文明婚风。破除低俗婚闹陋习，抵制捆绑、抽打、喷洒、涂染、脱衣、灌酒等恶俗行为。严厉打击婚闹过程中构成侮辱、猥亵等违法犯罪行为。</w:t>
      </w:r>
    </w:p>
    <w:p w14:paraId="3CD369DA">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第十二条 </w:t>
      </w:r>
      <w:r>
        <w:rPr>
          <w:rFonts w:ascii="仿宋" w:hAnsi="仿宋" w:eastAsia="仿宋"/>
          <w:b/>
          <w:bCs/>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控制治丧规模。堂祭参加人数一般控制在40人以内，祭品、招待、烟花爆竹等堂祭费用应当不超过4000元。</w:t>
      </w:r>
    </w:p>
    <w:p w14:paraId="5D344F4C">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鼓励文明治丧和祭祀。治丧期间不组织表演活动，晚上10点到早上7点之间不宜播放高音喇叭或者进行乐队演奏。禁止使用非法迷信殡葬用品，自觉抵制违规抛洒纸钱、扎冥币等行为。</w:t>
      </w:r>
    </w:p>
    <w:p w14:paraId="6B2BBA67">
      <w:pPr>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第二节  家庭文明建设</w:t>
      </w:r>
    </w:p>
    <w:p w14:paraId="7BB273BA">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第十三条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禁止法定监护人以家庭经济困难、子女厌学、订婚待嫁等原因让适龄子女在九年义务教育阶段辍学。</w:t>
      </w:r>
    </w:p>
    <w:p w14:paraId="6E46380D">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父母或其他监护人应当按照《中华人民共和国家庭教育促进法》的有关规定履行监护职责，鼓励监护人至少能够供护子女就读普通高级中学或者中等职业专科学校毕业。</w:t>
      </w:r>
    </w:p>
    <w:p w14:paraId="103D920F">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第十四条</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推行“女儿户”优先享受兜底民生保障、社会救助等政策，选树“女儿养老”先进典型，推广女儿尽孝的文明新风尚。</w:t>
      </w:r>
    </w:p>
    <w:p w14:paraId="76B7C826">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第十五条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倡导形成尊老孝老的文明风尚。对子女不孝顺又丧失劳动能力的老人，推广“孝老合约”。由居（村）委会监督其子女签署赡养协议，履行经济供养、生活照料和精神慰藉等赡养义务。</w:t>
      </w:r>
    </w:p>
    <w:p w14:paraId="4C7B9B49">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第十六条  </w:t>
      </w:r>
      <w:r>
        <w:rPr>
          <w:rFonts w:hint="eastAsia" w:ascii="Times New Roman" w:hAnsi="Times New Roman" w:eastAsia="仿宋_GB2312" w:cs="仿宋_GB2312"/>
          <w:sz w:val="32"/>
          <w:szCs w:val="32"/>
          <w:lang w:val="en-US" w:eastAsia="zh-CN"/>
        </w:rPr>
        <w:t>对于在文明家庭建设、喜事简办、厚养薄葬等方面表现突出、社会效益良好的家庭和个人，自治县应当评选先进典型，总结推广经验，授予“移风易俗先进个人”、“最美家庭”、“星级文明户”等荣誉称号，并予以奖励。</w:t>
      </w:r>
    </w:p>
    <w:p w14:paraId="062E1C5D">
      <w:pPr>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第三节  其他文明风尚</w:t>
      </w:r>
    </w:p>
    <w:p w14:paraId="5A5F58CD">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第十七条</w:t>
      </w:r>
      <w:r>
        <w:rPr>
          <w:rFonts w:ascii="仿宋" w:hAnsi="仿宋" w:eastAsia="仿宋"/>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严禁铺张浪费燃放烟花爆竹。在城市建成区内不得燃放烟花爆竹。农村地区倡导不燃放或者少量燃放烟花爆竹。一般情况下每场婚礼宴席燃放烟花爆竹的费用不超过400元，丧事活动燃放烟花爆竹的费用不超过800元。</w:t>
      </w:r>
    </w:p>
    <w:p w14:paraId="22BC1856">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第十八条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反对修建豪华墓和“活人墓”。违反《中华人民共和国土地管理法》《殡葬管理条例》等法律法规，墓地修建费用在2万元以上者，认定为豪华墓。对已修建的豪华墓和为健康的在世者修建的“活人墓”，按相关规定予以处理。</w:t>
      </w:r>
    </w:p>
    <w:p w14:paraId="70935A1F">
      <w:pPr>
        <w:ind w:firstLine="600" w:firstLineChars="200"/>
        <w:rPr>
          <w:rFonts w:ascii="仿宋" w:hAnsi="仿宋" w:eastAsia="仿宋"/>
          <w:color w:val="3B3838" w:themeColor="background2" w:themeShade="40"/>
          <w:sz w:val="30"/>
          <w:szCs w:val="30"/>
        </w:rPr>
      </w:pPr>
    </w:p>
    <w:p w14:paraId="129ECC08">
      <w:pPr>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第三章   健全工作机制</w:t>
      </w:r>
    </w:p>
    <w:p w14:paraId="53786D3B">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第十九条 </w:t>
      </w:r>
      <w:r>
        <w:rPr>
          <w:rFonts w:hint="eastAsia" w:ascii="Times New Roman" w:hAnsi="Times New Roman" w:eastAsia="仿宋_GB2312" w:cs="仿宋_GB2312"/>
          <w:sz w:val="32"/>
          <w:szCs w:val="32"/>
          <w:lang w:val="en-US" w:eastAsia="zh-CN"/>
        </w:rPr>
        <w:t>成立自治县党委领导下的移风易俗工作领导小组。组长、副组长由自治县党委领导班子相关成员担任，成员由自治县相关工作部门和部分乡（镇）负责人组成。领导小组统筹协调各方面力量，推动工作走深走实。</w:t>
      </w:r>
    </w:p>
    <w:p w14:paraId="7ACBB911">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第二十条</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自治县人民政府安排移风易俗工作公共财政预算资金每年应当不低于150万元。经费主要用于移风易俗文明实践站点建设、养老服务体系建设、公益服务队伍组建、表扬奖励、实践活动开展等。</w:t>
      </w:r>
    </w:p>
    <w:p w14:paraId="573E46BE">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第二十一条 </w:t>
      </w:r>
      <w:r>
        <w:rPr>
          <w:rFonts w:hint="eastAsia" w:ascii="Times New Roman" w:hAnsi="Times New Roman" w:eastAsia="仿宋_GB2312" w:cs="仿宋_GB2312"/>
          <w:sz w:val="32"/>
          <w:szCs w:val="32"/>
          <w:lang w:val="en-US" w:eastAsia="zh-CN"/>
        </w:rPr>
        <w:t xml:space="preserve"> 自治县人民政府推进移风易俗时，应当建立县内各管理层级、各部门之间落实移风易俗工作任务的联动机制。对跨县联姻的彩礼问题或者矛盾纠纷的处理，要组建专班妥善处理、专人跟进。</w:t>
      </w:r>
    </w:p>
    <w:p w14:paraId="5643FE26">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第二十二条 </w:t>
      </w:r>
      <w:r>
        <w:rPr>
          <w:rFonts w:hint="eastAsia" w:ascii="Times New Roman" w:hAnsi="Times New Roman" w:eastAsia="仿宋_GB2312" w:cs="仿宋_GB2312"/>
          <w:sz w:val="32"/>
          <w:szCs w:val="32"/>
          <w:lang w:val="en-US" w:eastAsia="zh-CN"/>
        </w:rPr>
        <w:t>为推动移风易俗工作提质增效，有关行政执法部门应该依据相关法律法规和《移风易俗条例》第二十三条之规定，依法行政、履职尽责，推进移风易俗工作落地见效。</w:t>
      </w:r>
    </w:p>
    <w:p w14:paraId="47DC6FFF">
      <w:pPr>
        <w:ind w:firstLine="600" w:firstLineChars="200"/>
        <w:rPr>
          <w:rFonts w:hint="eastAsia" w:ascii="Times New Roman" w:hAnsi="Times New Roman" w:eastAsia="仿宋_GB2312" w:cs="仿宋_GB2312"/>
          <w:sz w:val="32"/>
          <w:szCs w:val="32"/>
          <w:lang w:val="en-US" w:eastAsia="zh-CN"/>
        </w:rPr>
      </w:pPr>
      <w:r>
        <w:rPr>
          <w:rFonts w:hint="eastAsia" w:ascii="仿宋" w:hAnsi="仿宋" w:eastAsia="仿宋"/>
          <w:color w:val="3B3838" w:themeColor="background2" w:themeShade="40"/>
          <w:sz w:val="30"/>
          <w:szCs w:val="30"/>
        </w:rPr>
        <w:t>（一）</w:t>
      </w:r>
      <w:r>
        <w:rPr>
          <w:rFonts w:hint="eastAsia" w:ascii="Times New Roman" w:hAnsi="Times New Roman" w:eastAsia="仿宋_GB2312" w:cs="仿宋_GB2312"/>
          <w:sz w:val="32"/>
          <w:szCs w:val="32"/>
          <w:lang w:val="en-US" w:eastAsia="zh-CN"/>
        </w:rPr>
        <w:t>农业农村局依托农村文化站、新时代文明实践中心等平台，开展移风易俗主题宣传，倡导节俭办事、厚养薄葬、反对铺张浪费等乡村文明新风；推动农村基层治理，监督移风易俗内容纳入村规民约，发挥“四会”等基层群众自治组织作用；协助整治农村封建迷信活动、违规殡葬行为、高价彩礼等现象，将移风易俗与示范村创建、文明村镇评比等挂钩，形成政策合力。</w:t>
      </w:r>
    </w:p>
    <w:p w14:paraId="7CC94C00">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二）民政局应当加大婚俗改革、殡葬管理改革的工作力度，倡导简约婚礼、简化丧葬仪式；加强对村委会、居委会制定或修订村规民约的指导，敦促监督村级自治组织建立红白理事会、道德评议会、村民议事会、禁毒禁赌会，切实发挥村民自治功能，涵育婚事新办、丧事简办、低价彩礼、敬老孝亲的群众自治基础。</w:t>
      </w:r>
    </w:p>
    <w:p w14:paraId="135B4E1B">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（三）教育局应当将移风易俗纳入教育发展规划，推动移风易俗工作内容进课堂进头脑，形成家庭、学校和社会协同推进移风易俗新格局；督促学校采取措施预防和纠正监护人在学龄子女辍学中的失责行为。</w:t>
      </w:r>
    </w:p>
    <w:p w14:paraId="70870131">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四）司法局应当推进“谁执法谁普法”的普法责任制落实，敦促相关部门加强《移风易俗条例》及其《实施细则》的宣传教育；加大对涉及移风易俗工作各规范性文件的合法性审查，做好移风易俗矛盾纠纷调解和公共法律服务工作，加强德古在化解矛盾中的特殊作用。</w:t>
      </w:r>
    </w:p>
    <w:p w14:paraId="418CDF77">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（五）民宗局应当做好移风易俗过程中的文化传承与保护‌、‌宗教事务管理、涉及民族宗教的突发事件处理等工作，并配合公安机关揭露和打击利用宗教进行的违法犯罪活动‌。</w:t>
      </w:r>
    </w:p>
    <w:p w14:paraId="462C4576">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六）文旅局通过文化引导、旅游推广和行业监管，推动社会风气向健康、文明、和谐的方向发展；整治文化市场，加强对娱乐场所、演出市场、网络文化产品的监管，抵制低俗、奢靡、封建迷信等内容；规范地方节庆活动，引导群众简化婚丧仪式，抵制高价彩礼、厚葬薄养等不良风气。</w:t>
      </w:r>
    </w:p>
    <w:p w14:paraId="15838388">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七）环保局应加强移风易俗的污染防治与生态保护。要推动绿色祭祀方式，减少焚烧冥纸、燃放鞭炮、殡葬活动等传统习俗带来的环境污染，曝光高污染的陋习案例，引导公众形成绿色生活方式。对违规焚烧、破坏生态环境的行为依法处罚。</w:t>
      </w:r>
    </w:p>
    <w:p w14:paraId="7DA97A87">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（八）自然资源局应规范殡葬用地审批，遏制滥占耕地、林地建坟等行为，推广节地生态安葬，打击“活人墓”“豪华墓”等破坏山体和植被的丧葬行为。与环保局一起，共同制定生态安葬激励政策。</w:t>
      </w:r>
    </w:p>
    <w:p w14:paraId="74C5E962">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九）市场监管局加强对婚丧嫁娶、节日庆典等相关商品和服务的质量监管；引导餐饮企业推行反对铺张浪费、反对婚丧嫁娶大操大办等消费新风尚；推动行业协会制定文明餐饮、婚庆服务等行业标准，减少攀比浪费；整治婚丧行业哄抬价格等价格违法行为，联合公安等部门打击制售封建迷信殡葬用品等行为。 </w:t>
      </w:r>
    </w:p>
    <w:p w14:paraId="0C272AB6">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（十）公安机关依据相关法律法规，对移风易俗工作中构成违法犯罪的各类行为，依法惩处和打击。</w:t>
      </w:r>
    </w:p>
    <w:p w14:paraId="04E2CE2C">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第二十三条 </w:t>
      </w:r>
      <w:r>
        <w:rPr>
          <w:rFonts w:hint="eastAsia" w:ascii="Times New Roman" w:hAnsi="Times New Roman" w:eastAsia="仿宋_GB2312" w:cs="仿宋_GB2312"/>
          <w:sz w:val="32"/>
          <w:szCs w:val="32"/>
          <w:lang w:val="en-US" w:eastAsia="zh-CN"/>
        </w:rPr>
        <w:t xml:space="preserve"> 乡（镇）人民政府在自治县有关职能部门的指导下，组织村委会、居委会制定修订村规民约，将移风易俗内容具体化；针对高价彩礼、厚葬薄养、封建迷信等突出问题，联合公安、民政等部门开展专项整治，依法依规处理违法行为；强化本辖区移风易俗工作考核，对成效显著的村（社区）给予奖励，对推进不力的加强督导；将移风易俗工作纳入基层党建考核，压实党员干部责任。</w:t>
      </w:r>
    </w:p>
    <w:p w14:paraId="616BC3B1">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第二十四条 </w:t>
      </w:r>
      <w:r>
        <w:rPr>
          <w:rFonts w:hint="eastAsia" w:ascii="Times New Roman" w:hAnsi="Times New Roman" w:eastAsia="仿宋_GB2312" w:cs="仿宋_GB2312"/>
          <w:sz w:val="32"/>
          <w:szCs w:val="32"/>
          <w:lang w:val="en-US" w:eastAsia="zh-CN"/>
        </w:rPr>
        <w:t xml:space="preserve"> 村民委员会、居委会应当发挥基层自治组织功能，将婚丧简办、孝老爱亲、禁毒禁赌、反对迷信等移风易俗的具体要求纳入村规民约，形成群众共同遵守的规范；召集成立红白理事会、道德评议会等群众组织，监督村规民约落地实施，对违规行为进行劝导和公示；针对高价彩礼、厚葬薄养、大操大办婚丧嫁娶等突出问题，开展宣传教育活动，引导村民转变观念。 </w:t>
      </w:r>
    </w:p>
    <w:p w14:paraId="4676D530">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第二十五条 </w:t>
      </w:r>
      <w:r>
        <w:rPr>
          <w:rFonts w:ascii="仿宋" w:hAnsi="仿宋" w:eastAsia="仿宋"/>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群团组织作为党和政府联系群众的桥梁纽带，依法履行移风易俗的相关职责。主要通过思想引领、宣传教育、实践倡导等方式，推动破除陈规陋习、弘扬文明新风。</w:t>
      </w:r>
    </w:p>
    <w:p w14:paraId="31C7CCC7">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共青团应当引导青年树立正确价值观，反对铺张浪费、攀比炫富、封建迷信等不良风气，倡导低碳环保、理性消费、健康文明的生活方式；组织青年志愿者开展移风易俗宣传，通过“青年大学习”等平台推广文明实践活动。</w:t>
      </w:r>
    </w:p>
    <w:p w14:paraId="574B868D">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妇联应在反对婚嫁陋习、倡导婚事新办、支持婚恋自由等方面发挥积极作用；通过支持家庭文明建设，弘扬尊老爱幼、男女平等、勤俭持家的家庭美德；加强妇女权益保护，反对性别歧视、家庭暴力等陋习，提升女性在移风易俗中的积极作用和示范作用。</w:t>
      </w:r>
    </w:p>
    <w:p w14:paraId="015E35A3">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工会可将移风易俗融入企业文化建设，倡导“简朴、互助、诚信”的职场文化，推行简约婚礼、集体婚礼等；组织职工制定《文明行为公约》，反对婚丧嫁娶大操大办、人情攀比等陋习，提倡“婚事新办、丧事简办”；推动企业将移风易俗写入规章制度，联合社区开展“职工+家庭”文明共建活动。</w:t>
      </w:r>
    </w:p>
    <w:p w14:paraId="36DD3AE3">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第二十六条 </w:t>
      </w:r>
      <w:r>
        <w:rPr>
          <w:rFonts w:hint="eastAsia" w:ascii="Times New Roman" w:hAnsi="Times New Roman" w:eastAsia="仿宋_GB2312" w:cs="仿宋_GB2312"/>
          <w:sz w:val="32"/>
          <w:szCs w:val="32"/>
          <w:lang w:val="en-US" w:eastAsia="zh-CN"/>
        </w:rPr>
        <w:t>《移风易俗条例》第四条所称“倡导进行婚前健康检查”，由结婚双方的居（村）委会倡议动员，乡（镇）人民政府和卫健部门研究落实相关要求和程序。</w:t>
      </w:r>
    </w:p>
    <w:p w14:paraId="5C0E0249">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第二十七条 </w:t>
      </w:r>
      <w:r>
        <w:rPr>
          <w:rFonts w:hint="eastAsia" w:ascii="Times New Roman" w:hAnsi="Times New Roman" w:eastAsia="仿宋_GB2312" w:cs="仿宋_GB2312"/>
          <w:sz w:val="32"/>
          <w:szCs w:val="32"/>
          <w:lang w:val="en-US" w:eastAsia="zh-CN"/>
        </w:rPr>
        <w:t>自治县将移风易俗内容纳入意识形态工作责任制监督检查和巡察内容，纳入文明村镇、文明单位的创建标准。</w:t>
      </w:r>
    </w:p>
    <w:p w14:paraId="7FC36700">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组织自治县移风易俗专项培训会，有关职能部门、群团组织、乡镇政府分管领导，村（居）委会负责人、红白理事会骨干应当参加培训。</w:t>
      </w:r>
    </w:p>
    <w:p w14:paraId="5CBA1AB1">
      <w:pPr>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第二十八条 </w:t>
      </w:r>
      <w:r>
        <w:rPr>
          <w:rFonts w:hint="eastAsia"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操办婚丧喜庆事宜在申报、报备阶段均须签署遵规守纪承诺书。</w:t>
      </w:r>
    </w:p>
    <w:p w14:paraId="38EDB885">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鼓励党员、领导干部、公职人员自觉公开报备内容，做推进移风易俗的“践行者”“示范者”。</w:t>
      </w:r>
    </w:p>
    <w:p w14:paraId="304BFB8A">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第二十九条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自治县应当强化移风易俗的氛围营造，全覆盖开展宣传教育工作。依托小型广场、户外LED屏、新时代文明实践站等场所设施，采取村民议事会、入户宣传、文艺表演、以案说法等多种形式开展移风易俗宣传教育活动，确保移风易俗政策法规、村规民约、居民公约等户户知晓、人人践行，推动移风易俗走进人民群众的生活和心灵。</w:t>
      </w:r>
    </w:p>
    <w:p w14:paraId="1F75C00E">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第三十条</w:t>
      </w:r>
      <w:r>
        <w:rPr>
          <w:rFonts w:hint="eastAsia" w:ascii="黑体" w:hAnsi="黑体" w:eastAsia="黑体"/>
          <w:color w:val="3B3838" w:themeColor="background2" w:themeShade="40"/>
          <w:sz w:val="30"/>
          <w:szCs w:val="30"/>
        </w:rPr>
        <w:t xml:space="preserve">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鼓励关心移风易俗和乡风文明建设的社会组织和力量，投资设立敬老爱老、扶贫助学、弘扬新风等公益设施或捐助项目，引导更多人员参与移风易俗工作。</w:t>
      </w:r>
    </w:p>
    <w:p w14:paraId="5475C593">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第三十一条 </w:t>
      </w:r>
      <w:r>
        <w:rPr>
          <w:rFonts w:hint="eastAsia" w:ascii="仿宋" w:hAnsi="仿宋" w:eastAsia="仿宋"/>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鼓励自治县相关单位和个人创新性采用“亲情工作办法”“积分超市”“德古工作法”等特色经验推进移风易俗工作。对实施效果良好、群众满意度高的单位和个人给予表扬和奖励。</w:t>
      </w:r>
    </w:p>
    <w:p w14:paraId="7ECCEA9C">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第三十二条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自治县强化移风易俗工作的全面监督和管理。移风易俗工作领导小组建立专项整治和常态治理相结合的机制，不定期以“四不两直”方式，对大操大办、高价彩礼、铺张浪费等现象开展暗访督导工作，设立问题整改台账，建立责任倒查机制，推动移风易俗法治化、常态化、规范化。</w:t>
      </w:r>
    </w:p>
    <w:p w14:paraId="37C98E9B">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第三十三条 </w:t>
      </w:r>
      <w:r>
        <w:rPr>
          <w:rFonts w:hint="eastAsia" w:ascii="Times New Roman" w:hAnsi="Times New Roman" w:eastAsia="仿宋_GB2312" w:cs="仿宋_GB2312"/>
          <w:sz w:val="32"/>
          <w:szCs w:val="32"/>
          <w:lang w:val="en-US" w:eastAsia="zh-CN"/>
        </w:rPr>
        <w:t>鼓励以奖励积分与负面清单相结合的方式开展移风易俗工作。自治县各乡镇对所属行政村、居委会进行积分评价，对于婚事新办简办、厚养薄葬、有乡风文明善行义举的，对相关行政村、组、户进行积分奖励。奖励标准由自治县人民政府根据当年度具体情况确定。</w:t>
      </w:r>
    </w:p>
    <w:p w14:paraId="5C86F41C">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各乡镇对存在的高价彩礼、违规操办婚庆丧事、早婚早育、虐待遗弃老人、适龄学生辍学、吸毒赌博等行为建立负面清单。对负面清单依据乡镇政府相关规定、村规民约实施相应惩戒或者销号管理。</w:t>
      </w:r>
    </w:p>
    <w:p w14:paraId="0849E4E9">
      <w:pPr>
        <w:spacing w:line="580" w:lineRule="exact"/>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第四章  责任追究</w:t>
      </w:r>
    </w:p>
    <w:p w14:paraId="2DDF7546">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第三十四条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推进移风易俗工作，应当坚持法治与德治相结合、法律强制与教育引导相结合的原则，既要依法治理，又要因地制宜、循序渐进，避免干预人民群众的合法习俗。</w:t>
      </w:r>
    </w:p>
    <w:p w14:paraId="6C99D5AB">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追究移风易俗法律责任，要区分民事、行政与刑事不同性质的行为和责任，做到依据明确、程序合法、处理适当，将责任追究融入移风易俗渐进式治理，逐步推动社会文明转型。</w:t>
      </w:r>
    </w:p>
    <w:p w14:paraId="6CA6C94D">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第三十五条 </w:t>
      </w:r>
      <w:r>
        <w:rPr>
          <w:rFonts w:ascii="仿宋" w:hAnsi="仿宋" w:eastAsia="仿宋"/>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自治县村民、居民违反村规民约、居民公约，违规操办婚丧喜庆事宜、收受高价彩礼、不履行抚养扶养赡养义务或者存在其他违反村规民约行为的，由村民委员会、居民委员会按相关规定做出通报批评、取消惠农惠民政策、列入移风易俗负面清单等惩罚措施。</w:t>
      </w:r>
    </w:p>
    <w:p w14:paraId="27D5CDA1">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第三十六条 </w:t>
      </w:r>
      <w:r>
        <w:rPr>
          <w:rFonts w:hint="eastAsia" w:ascii="Times New Roman" w:hAnsi="Times New Roman" w:eastAsia="仿宋_GB2312" w:cs="仿宋_GB2312"/>
          <w:sz w:val="32"/>
          <w:szCs w:val="32"/>
          <w:lang w:val="en-US" w:eastAsia="zh-CN"/>
        </w:rPr>
        <w:t xml:space="preserve"> 违反《中华人民共和国民法典》等民事法律，实施索要高价彩礼、婚闹侵权、封建迷信活动等行为侵害公民合法权益的，受害人有权依法请求行为人承担停止侵害、返还财产、赔偿损失、赔礼道歉、消除影响等民事法律责任。</w:t>
      </w:r>
    </w:p>
    <w:p w14:paraId="520E9226">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第三十七条 </w:t>
      </w:r>
      <w:r>
        <w:rPr>
          <w:rFonts w:ascii="黑体" w:hAnsi="黑体" w:eastAsia="黑体"/>
          <w:color w:val="3B3838" w:themeColor="background2" w:themeShade="40"/>
          <w:sz w:val="30"/>
          <w:szCs w:val="30"/>
        </w:rPr>
        <w:t xml:space="preserve"> </w:t>
      </w:r>
      <w:r>
        <w:rPr>
          <w:rFonts w:hint="eastAsia" w:ascii="Times New Roman" w:hAnsi="Times New Roman" w:eastAsia="仿宋_GB2312" w:cs="仿宋_GB2312"/>
          <w:sz w:val="32"/>
          <w:szCs w:val="32"/>
          <w:lang w:val="en-US" w:eastAsia="zh-CN"/>
        </w:rPr>
        <w:t>违规操办婚丧喜庆事宜，违反《中华人民共和国治安管理处罚法》《中华人民共和国环境保护法》《中华人民共和国消防法》《中华人民共和国大气污染防治法》《殡葬管理条例》《乐山市文明行为促进条例》《移风易俗自治条例》等相关规定，构成行政违法的，应承担相应行政法律责任。民政、环保、公安、市场监管等执法部门应当依法依规对违法行为做出警告、罚款、责令限期改正、没收违法所得、没收非法财物、行政拘留等处罚。</w:t>
      </w:r>
    </w:p>
    <w:p w14:paraId="54AF849D">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第三十八条</w:t>
      </w:r>
      <w:r>
        <w:rPr>
          <w:rFonts w:hint="eastAsia" w:ascii="Times New Roman" w:hAnsi="Times New Roman" w:eastAsia="仿宋_GB2312" w:cs="仿宋_GB2312"/>
          <w:sz w:val="32"/>
          <w:szCs w:val="32"/>
          <w:lang w:val="en-US" w:eastAsia="zh-CN"/>
        </w:rPr>
        <w:t xml:space="preserve"> 实施暴力干涉婚姻自由、虐待或遗弃家庭成员、彩礼诈骗、利用迷信破坏法律实施、失火等行为，情节严重构成犯罪的，依照《中华人民共和国刑法》《中华人民共和国刑事诉讼法》等法律，依法追究行为人刑事法律责任。</w:t>
      </w:r>
    </w:p>
    <w:p w14:paraId="146F0359">
      <w:pPr>
        <w:spacing w:line="580" w:lineRule="exact"/>
        <w:ind w:firstLine="640" w:firstLineChars="200"/>
        <w:rPr>
          <w:rFonts w:ascii="仿宋" w:hAnsi="仿宋" w:eastAsia="仿宋"/>
          <w:color w:val="3B3838" w:themeColor="background2" w:themeShade="40"/>
          <w:sz w:val="30"/>
          <w:szCs w:val="30"/>
        </w:rPr>
      </w:pPr>
      <w:r>
        <w:rPr>
          <w:rFonts w:hint="eastAsia" w:ascii="黑体" w:hAnsi="黑体" w:eastAsia="黑体"/>
          <w:color w:val="000000"/>
          <w:sz w:val="32"/>
          <w:szCs w:val="32"/>
        </w:rPr>
        <w:t xml:space="preserve">第三十九条  </w:t>
      </w:r>
      <w:r>
        <w:rPr>
          <w:rFonts w:hint="eastAsia" w:ascii="Times New Roman" w:hAnsi="Times New Roman" w:eastAsia="仿宋_GB2312" w:cs="仿宋_GB2312"/>
          <w:sz w:val="32"/>
          <w:szCs w:val="32"/>
          <w:lang w:val="en-US" w:eastAsia="zh-CN"/>
        </w:rPr>
        <w:t>自治县内所属领导干部、全体党员、公职人员要带头遵守移风易俗相关要求。违反中央八项规定及其实施细则精神、《中国共产党纪律处分条例》《四川省领导干部操办婚丧喜庆事宜的规定》以及本细则要求的，由有关部门对责任人依法依规依纪处理。</w:t>
      </w:r>
    </w:p>
    <w:p w14:paraId="1083D73B">
      <w:pPr>
        <w:spacing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第四十条  </w:t>
      </w:r>
      <w:r>
        <w:rPr>
          <w:rFonts w:hint="eastAsia" w:ascii="Times New Roman" w:hAnsi="Times New Roman" w:eastAsia="仿宋_GB2312" w:cs="仿宋_GB2312"/>
          <w:sz w:val="32"/>
          <w:szCs w:val="32"/>
          <w:lang w:val="en-US" w:eastAsia="zh-CN"/>
        </w:rPr>
        <w:t>自治县公民对移风易俗的违法违规行为有举报、信访的权利。农业农村局设立移风易俗的举报专线和投诉信箱。举报和信访的处理程序依照相关法律法规和规定执行。</w:t>
      </w:r>
    </w:p>
    <w:p w14:paraId="3562235B">
      <w:pPr>
        <w:spacing w:before="240" w:line="580" w:lineRule="exact"/>
        <w:ind w:firstLine="640" w:firstLineChars="200"/>
        <w:jc w:val="center"/>
        <w:rPr>
          <w:rFonts w:hint="eastAsia" w:ascii="黑体" w:hAnsi="黑体" w:eastAsia="黑体"/>
          <w:color w:val="000000"/>
          <w:sz w:val="32"/>
          <w:szCs w:val="32"/>
        </w:rPr>
      </w:pPr>
      <w:r>
        <w:rPr>
          <w:rFonts w:hint="eastAsia" w:ascii="黑体" w:hAnsi="黑体" w:eastAsia="黑体"/>
          <w:color w:val="000000"/>
          <w:sz w:val="32"/>
          <w:szCs w:val="32"/>
        </w:rPr>
        <w:t>第五章  附 则</w:t>
      </w:r>
    </w:p>
    <w:p w14:paraId="796908DC">
      <w:pPr>
        <w:spacing w:before="240" w:line="580" w:lineRule="exact"/>
        <w:ind w:firstLine="640" w:firstLineChars="200"/>
        <w:rPr>
          <w:rFonts w:hint="eastAsia" w:ascii="Times New Roman" w:hAnsi="Times New Roman" w:eastAsia="仿宋_GB2312" w:cs="仿宋_GB2312"/>
          <w:sz w:val="32"/>
          <w:szCs w:val="32"/>
          <w:lang w:val="en-US" w:eastAsia="zh-CN"/>
        </w:rPr>
      </w:pPr>
      <w:r>
        <w:rPr>
          <w:rFonts w:hint="eastAsia" w:ascii="黑体" w:hAnsi="黑体" w:eastAsia="黑体"/>
          <w:color w:val="000000"/>
          <w:sz w:val="32"/>
          <w:szCs w:val="32"/>
        </w:rPr>
        <w:t xml:space="preserve">第四十一条 </w:t>
      </w:r>
      <w:r>
        <w:rPr>
          <w:rFonts w:ascii="楷体" w:hAnsi="楷体" w:eastAsia="楷体"/>
          <w:color w:val="3B3838" w:themeColor="background2" w:themeShade="40"/>
          <w:sz w:val="32"/>
          <w:szCs w:val="32"/>
        </w:rPr>
        <w:t xml:space="preserve"> </w:t>
      </w:r>
      <w:r>
        <w:rPr>
          <w:rFonts w:hint="eastAsia" w:ascii="Times New Roman" w:hAnsi="Times New Roman" w:eastAsia="仿宋_GB2312" w:cs="仿宋_GB2312"/>
          <w:sz w:val="32"/>
          <w:szCs w:val="32"/>
          <w:lang w:val="en-US" w:eastAsia="zh-CN"/>
        </w:rPr>
        <w:t>本实施细则自发布之日起施行。</w:t>
      </w:r>
    </w:p>
    <w:p w14:paraId="28F1F2A0">
      <w:pPr>
        <w:spacing w:line="580" w:lineRule="exact"/>
        <w:ind w:firstLine="602" w:firstLineChars="200"/>
        <w:rPr>
          <w:rFonts w:ascii="楷体" w:hAnsi="楷体" w:eastAsia="楷体"/>
          <w:b/>
          <w:bCs/>
          <w:color w:val="3B3838" w:themeColor="background2" w:themeShade="40"/>
          <w:sz w:val="30"/>
          <w:szCs w:val="30"/>
        </w:rPr>
      </w:pPr>
    </w:p>
    <w:p w14:paraId="7DCF12CB">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lang w:val="en-US" w:eastAsia="zh-CN"/>
        </w:rPr>
      </w:pPr>
    </w:p>
    <w:p w14:paraId="70B19978"/>
    <w:p w14:paraId="2CD3B5F1"/>
    <w:sectPr>
      <w:footerReference r:id="rId3" w:type="default"/>
      <w:pgSz w:w="11906" w:h="16838"/>
      <w:pgMar w:top="2041" w:right="1468" w:bottom="1587" w:left="1468" w:header="1134" w:footer="113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DE65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08FD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508FD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312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5"/>
      <w:szCs w:val="35"/>
      <w:lang w:val="en-US" w:eastAsia="en-US" w:bidi="ar-SA"/>
    </w:rPr>
  </w:style>
  <w:style w:type="paragraph" w:styleId="3">
    <w:name w:val="footer"/>
    <w:basedOn w:val="1"/>
    <w:semiHidden/>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2025-05-07T09:28:49Z</dcterms:created>
  <dc:creator>Administrator</dc:creator>
  <cp:lastModifiedBy>Administrator</cp:lastModifiedBy>
  <dcterms:modified xsi:type="dcterms:W3CDTF">2025-05-07T09:29:30Z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eyJoZGlkIjoiODI5Y2QwY2E4MGYzZWUxYTYzZTJmNWRkY2YzNTU2YmIifQ==</vt:lpwstr>
  </property>
  <property fmtid="{D5CDD505-2E9C-101B-9397-08002B2CF9AE}" pid="4" name="ICV">
    <vt:lpwstr>7DCAA57365D246259AA0F3733C678B91_12</vt:lpwstr>
  </property>
</Properties>
</file>