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FF227">
      <w:pPr>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14:paraId="0C45A68E">
      <w:pPr>
        <w:pStyle w:val="2"/>
        <w:bidi w:val="0"/>
        <w:jc w:val="center"/>
        <w:rPr>
          <w:rFonts w:hint="default"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峨边彝族自治县供销合作社联合社</w:t>
      </w:r>
    </w:p>
    <w:p w14:paraId="73CCC3CB">
      <w:pPr>
        <w:pStyle w:val="3"/>
        <w:numPr>
          <w:ilvl w:val="1"/>
          <w:numId w:val="0"/>
        </w:numPr>
        <w:tabs>
          <w:tab w:val="clear" w:pos="1080"/>
          <w:tab w:val="clear" w:pos="2422"/>
        </w:tabs>
        <w:bidi w:val="0"/>
        <w:jc w:val="center"/>
        <w:rPr>
          <w:rFonts w:hint="eastAsia" w:ascii="方正小标宋简体" w:hAnsi="方正小标宋简体" w:eastAsia="方正小标宋简体" w:cs="方正小标宋简体"/>
          <w:b w:val="0"/>
          <w:bCs/>
          <w:sz w:val="52"/>
          <w:szCs w:val="52"/>
          <w:lang w:val="en-US" w:eastAsia="zh-CN"/>
        </w:rPr>
      </w:pPr>
      <w:r>
        <w:rPr>
          <w:rFonts w:hint="eastAsia" w:ascii="方正小标宋简体" w:hAnsi="方正小标宋简体" w:eastAsia="方正小标宋简体" w:cs="方正小标宋简体"/>
          <w:b w:val="0"/>
          <w:bCs/>
          <w:sz w:val="52"/>
          <w:szCs w:val="52"/>
          <w:lang w:val="en-US" w:eastAsia="zh-CN"/>
        </w:rPr>
        <w:t>2025年部门预算</w:t>
      </w:r>
    </w:p>
    <w:p w14:paraId="067746DB">
      <w:pPr>
        <w:jc w:val="center"/>
        <w:rPr>
          <w:rFonts w:hint="eastAsia" w:ascii="方正小标宋简体" w:hAnsi="方正小标宋简体" w:eastAsia="方正小标宋简体" w:cs="方正小标宋简体"/>
          <w:b w:val="0"/>
          <w:bCs/>
          <w:sz w:val="52"/>
          <w:szCs w:val="52"/>
          <w:lang w:val="en-US" w:eastAsia="zh-CN"/>
        </w:rPr>
      </w:pPr>
    </w:p>
    <w:p w14:paraId="0EA2C288">
      <w:pPr>
        <w:jc w:val="both"/>
        <w:rPr>
          <w:rFonts w:hint="default"/>
          <w:b/>
          <w:bCs/>
          <w:sz w:val="52"/>
          <w:szCs w:val="52"/>
          <w:lang w:val="en-US" w:eastAsia="zh-CN"/>
        </w:rPr>
      </w:pPr>
    </w:p>
    <w:p w14:paraId="0A3F4B62">
      <w:pPr>
        <w:jc w:val="both"/>
        <w:rPr>
          <w:rFonts w:hint="default"/>
          <w:b/>
          <w:bCs/>
          <w:sz w:val="52"/>
          <w:szCs w:val="52"/>
          <w:lang w:val="en-US" w:eastAsia="zh-CN"/>
        </w:rPr>
      </w:pPr>
    </w:p>
    <w:p w14:paraId="389BCD1A">
      <w:pPr>
        <w:jc w:val="both"/>
        <w:rPr>
          <w:rFonts w:hint="default"/>
          <w:b/>
          <w:bCs/>
          <w:sz w:val="52"/>
          <w:szCs w:val="52"/>
          <w:lang w:val="en-US" w:eastAsia="zh-CN"/>
        </w:rPr>
      </w:pPr>
    </w:p>
    <w:p w14:paraId="0FE096D9">
      <w:pPr>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单位(签章)：</w:t>
      </w:r>
      <w:r>
        <w:rPr>
          <w:rFonts w:hint="eastAsia" w:ascii="方正小标宋简体" w:hAnsi="方正小标宋简体" w:eastAsia="方正小标宋简体" w:cs="方正小标宋简体"/>
          <w:b w:val="0"/>
          <w:bCs w:val="0"/>
          <w:sz w:val="32"/>
          <w:szCs w:val="32"/>
          <w:u w:val="single"/>
          <w:lang w:val="en-US" w:eastAsia="zh-CN"/>
        </w:rPr>
        <w:t>峨边彝族自治县供销合作社联合社</w:t>
      </w:r>
    </w:p>
    <w:p w14:paraId="1585DE3F">
      <w:pPr>
        <w:ind w:left="0" w:leftChars="0" w:firstLine="0" w:firstLineChars="0"/>
        <w:jc w:val="both"/>
        <w:rPr>
          <w:rFonts w:hint="default"/>
          <w:b/>
          <w:bCs/>
          <w:sz w:val="32"/>
          <w:szCs w:val="32"/>
          <w:lang w:val="en-US" w:eastAsia="zh-CN"/>
        </w:rPr>
      </w:pPr>
    </w:p>
    <w:p w14:paraId="0095D088">
      <w:pPr>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2025年 5月13日</w:t>
      </w:r>
    </w:p>
    <w:p w14:paraId="2D86F1A8">
      <w:pPr>
        <w:jc w:val="both"/>
        <w:rPr>
          <w:rFonts w:hint="eastAsia"/>
          <w:b/>
          <w:bCs/>
          <w:sz w:val="32"/>
          <w:szCs w:val="32"/>
          <w:lang w:val="en-US" w:eastAsia="zh-CN"/>
        </w:rPr>
      </w:pPr>
    </w:p>
    <w:p w14:paraId="164889D7">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目录</w:t>
      </w:r>
    </w:p>
    <w:p w14:paraId="602ECBC0">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第一部分 </w:t>
      </w:r>
      <w:r>
        <w:rPr>
          <w:rFonts w:hint="eastAsia" w:ascii="黑体" w:hAnsi="黑体" w:eastAsia="黑体" w:cs="黑体"/>
          <w:b w:val="0"/>
          <w:bCs w:val="0"/>
          <w:color w:val="000000" w:themeColor="text1"/>
          <w:sz w:val="32"/>
          <w:szCs w:val="32"/>
          <w:lang w:val="en-US" w:eastAsia="zh-CN"/>
          <w14:textFill>
            <w14:solidFill>
              <w14:schemeClr w14:val="tx1"/>
            </w14:solidFill>
          </w14:textFill>
        </w:rPr>
        <w:t>县供销社概况</w:t>
      </w:r>
      <w:r>
        <w:rPr>
          <w:rFonts w:hint="eastAsia" w:ascii="微软雅黑" w:hAnsi="微软雅黑" w:eastAsia="微软雅黑" w:cs="微软雅黑"/>
          <w:b w:val="0"/>
          <w:bCs w:val="0"/>
          <w:sz w:val="32"/>
          <w:szCs w:val="32"/>
          <w:lang w:val="en-US" w:eastAsia="zh-CN"/>
        </w:rPr>
        <w:t>………………………………………….3</w:t>
      </w:r>
    </w:p>
    <w:p w14:paraId="365C6BF9">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Times New Roman" w:hAnsi="Times New Roman" w:eastAsia="仿宋_GB2312" w:cs="仿宋_GB2312"/>
          <w:b w:val="0"/>
          <w:bCs w:val="0"/>
          <w:sz w:val="32"/>
          <w:szCs w:val="32"/>
          <w:lang w:val="en-US" w:eastAsia="zh-CN"/>
        </w:rPr>
      </w:pPr>
      <w:r>
        <w:rPr>
          <w:rFonts w:hint="default" w:ascii="Times New Roman" w:hAnsi="Times New Roman" w:eastAsia="仿宋_GB2312" w:cs="仿宋_GB2312"/>
          <w:b w:val="0"/>
          <w:bCs w:val="0"/>
          <w:sz w:val="32"/>
          <w:szCs w:val="32"/>
          <w:lang w:val="en-US" w:eastAsia="zh-CN"/>
        </w:rPr>
        <w:t>一、基本职能及主要工作</w:t>
      </w:r>
      <w:r>
        <w:rPr>
          <w:rFonts w:hint="eastAsia" w:ascii="微软雅黑" w:hAnsi="微软雅黑" w:eastAsia="微软雅黑" w:cs="微软雅黑"/>
          <w:b w:val="0"/>
          <w:bCs w:val="0"/>
          <w:sz w:val="32"/>
          <w:szCs w:val="32"/>
          <w:lang w:val="en-US" w:eastAsia="zh-CN"/>
        </w:rPr>
        <w:t>…………………………………………4</w:t>
      </w:r>
    </w:p>
    <w:p w14:paraId="7574E37B">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Times New Roman" w:hAnsi="Times New Roman" w:eastAsia="仿宋_GB2312" w:cs="仿宋_GB2312"/>
          <w:b w:val="0"/>
          <w:bCs w:val="0"/>
          <w:sz w:val="32"/>
          <w:szCs w:val="32"/>
          <w:lang w:val="en-US" w:eastAsia="zh-CN"/>
        </w:rPr>
      </w:pPr>
      <w:r>
        <w:rPr>
          <w:rFonts w:hint="default" w:ascii="Times New Roman" w:hAnsi="Times New Roman" w:eastAsia="仿宋_GB2312" w:cs="仿宋_GB2312"/>
          <w:b w:val="0"/>
          <w:bCs w:val="0"/>
          <w:sz w:val="32"/>
          <w:szCs w:val="32"/>
          <w:lang w:val="en-US" w:eastAsia="zh-CN"/>
        </w:rPr>
        <w:t>二、</w:t>
      </w:r>
      <w:r>
        <w:rPr>
          <w:rFonts w:hint="eastAsia" w:ascii="Times New Roman" w:hAnsi="Times New Roman" w:eastAsia="仿宋_GB2312" w:cs="仿宋_GB2312"/>
          <w:b w:val="0"/>
          <w:bCs w:val="0"/>
          <w:sz w:val="32"/>
          <w:szCs w:val="32"/>
          <w:lang w:val="en-US" w:eastAsia="zh-CN"/>
        </w:rPr>
        <w:t>2025年重点工作</w:t>
      </w:r>
      <w:r>
        <w:rPr>
          <w:rFonts w:hint="eastAsia" w:ascii="微软雅黑" w:hAnsi="微软雅黑" w:eastAsia="微软雅黑" w:cs="微软雅黑"/>
          <w:b w:val="0"/>
          <w:bCs w:val="0"/>
          <w:sz w:val="32"/>
          <w:szCs w:val="32"/>
          <w:lang w:val="en-US" w:eastAsia="zh-CN"/>
        </w:rPr>
        <w:t>……………………………………………….4</w:t>
      </w:r>
    </w:p>
    <w:p w14:paraId="17BBB6F7">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第二部分 </w:t>
      </w:r>
      <w:r>
        <w:rPr>
          <w:rFonts w:hint="eastAsia" w:ascii="黑体" w:hAnsi="黑体" w:eastAsia="黑体" w:cs="黑体"/>
          <w:b w:val="0"/>
          <w:bCs w:val="0"/>
          <w:color w:val="000000" w:themeColor="text1"/>
          <w:sz w:val="32"/>
          <w:szCs w:val="32"/>
          <w:lang w:val="en-US" w:eastAsia="zh-CN"/>
          <w14:textFill>
            <w14:solidFill>
              <w14:schemeClr w14:val="tx1"/>
            </w14:solidFill>
          </w14:textFill>
        </w:rPr>
        <w:t>县供销社</w:t>
      </w:r>
      <w:r>
        <w:rPr>
          <w:rFonts w:hint="eastAsia" w:ascii="黑体" w:hAnsi="黑体" w:eastAsia="黑体" w:cs="黑体"/>
          <w:b w:val="0"/>
          <w:bCs w:val="0"/>
          <w:sz w:val="32"/>
          <w:szCs w:val="32"/>
          <w:lang w:val="en-US" w:eastAsia="zh-CN"/>
        </w:rPr>
        <w:t>2025年部门预算表</w:t>
      </w:r>
      <w:r>
        <w:rPr>
          <w:rFonts w:hint="eastAsia" w:ascii="微软雅黑" w:hAnsi="微软雅黑" w:eastAsia="微软雅黑" w:cs="微软雅黑"/>
          <w:b w:val="0"/>
          <w:bCs w:val="0"/>
          <w:sz w:val="32"/>
          <w:szCs w:val="32"/>
          <w:lang w:val="en-US" w:eastAsia="zh-CN"/>
        </w:rPr>
        <w:t>…………………...…6</w:t>
      </w:r>
    </w:p>
    <w:p w14:paraId="6E9BBB02">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一、部门收支总表</w:t>
      </w:r>
      <w:r>
        <w:rPr>
          <w:rFonts w:hint="eastAsia" w:ascii="微软雅黑" w:hAnsi="微软雅黑" w:eastAsia="微软雅黑" w:cs="微软雅黑"/>
          <w:b w:val="0"/>
          <w:bCs w:val="0"/>
          <w:sz w:val="32"/>
          <w:szCs w:val="32"/>
          <w:lang w:val="en-US" w:eastAsia="zh-CN"/>
        </w:rPr>
        <w:t>……………………………………………………7</w:t>
      </w:r>
    </w:p>
    <w:p w14:paraId="33A62F74">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二、部门收入总表</w:t>
      </w:r>
      <w:r>
        <w:rPr>
          <w:rFonts w:hint="eastAsia" w:ascii="微软雅黑" w:hAnsi="微软雅黑" w:eastAsia="微软雅黑" w:cs="微软雅黑"/>
          <w:b w:val="0"/>
          <w:bCs w:val="0"/>
          <w:sz w:val="32"/>
          <w:szCs w:val="32"/>
          <w:lang w:val="en-US" w:eastAsia="zh-CN"/>
        </w:rPr>
        <w:t>…………………………………………………....8</w:t>
      </w:r>
    </w:p>
    <w:p w14:paraId="6A05C9BE">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三、部门支出总表</w:t>
      </w:r>
      <w:r>
        <w:rPr>
          <w:rFonts w:hint="eastAsia" w:ascii="微软雅黑" w:hAnsi="微软雅黑" w:eastAsia="微软雅黑" w:cs="微软雅黑"/>
          <w:b w:val="0"/>
          <w:bCs w:val="0"/>
          <w:sz w:val="32"/>
          <w:szCs w:val="32"/>
          <w:lang w:val="en-US" w:eastAsia="zh-CN"/>
        </w:rPr>
        <w:t>…………………………………………………….8</w:t>
      </w:r>
    </w:p>
    <w:p w14:paraId="7BB8E151">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四、财政拨款收支预算总表</w:t>
      </w:r>
      <w:r>
        <w:rPr>
          <w:rFonts w:hint="eastAsia" w:ascii="微软雅黑" w:hAnsi="微软雅黑" w:eastAsia="微软雅黑" w:cs="微软雅黑"/>
          <w:b w:val="0"/>
          <w:bCs w:val="0"/>
          <w:sz w:val="32"/>
          <w:szCs w:val="32"/>
          <w:lang w:val="en-US" w:eastAsia="zh-CN"/>
        </w:rPr>
        <w:t>…………………………………….…9</w:t>
      </w:r>
    </w:p>
    <w:p w14:paraId="09B091BD">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五、财政拨款支出预算表（部门经济分类科目）</w:t>
      </w:r>
      <w:r>
        <w:rPr>
          <w:rFonts w:hint="eastAsia" w:ascii="微软雅黑" w:hAnsi="微软雅黑" w:eastAsia="微软雅黑" w:cs="微软雅黑"/>
          <w:b w:val="0"/>
          <w:bCs w:val="0"/>
          <w:sz w:val="32"/>
          <w:szCs w:val="32"/>
          <w:lang w:val="en-US" w:eastAsia="zh-CN"/>
        </w:rPr>
        <w:t>…………10</w:t>
      </w:r>
    </w:p>
    <w:p w14:paraId="1644F3BA">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六、一般公共预算支出预算表</w:t>
      </w:r>
      <w:r>
        <w:rPr>
          <w:rFonts w:hint="eastAsia" w:ascii="微软雅黑" w:hAnsi="微软雅黑" w:eastAsia="微软雅黑" w:cs="微软雅黑"/>
          <w:b w:val="0"/>
          <w:bCs w:val="0"/>
          <w:sz w:val="32"/>
          <w:szCs w:val="32"/>
          <w:lang w:val="en-US" w:eastAsia="zh-CN"/>
        </w:rPr>
        <w:t>……………………………………10</w:t>
      </w:r>
    </w:p>
    <w:p w14:paraId="7BF5E6FA">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七、一般公共预算基本支出预算表</w:t>
      </w:r>
      <w:r>
        <w:rPr>
          <w:rFonts w:hint="eastAsia" w:ascii="微软雅黑" w:hAnsi="微软雅黑" w:eastAsia="微软雅黑" w:cs="微软雅黑"/>
          <w:b w:val="0"/>
          <w:bCs w:val="0"/>
          <w:sz w:val="32"/>
          <w:szCs w:val="32"/>
          <w:lang w:val="en-US" w:eastAsia="zh-CN"/>
        </w:rPr>
        <w:t>…………………………......11</w:t>
      </w:r>
    </w:p>
    <w:p w14:paraId="5FECA7DB">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八、一般公共预算项目支出预算表</w:t>
      </w:r>
      <w:r>
        <w:rPr>
          <w:rFonts w:hint="eastAsia" w:ascii="微软雅黑" w:hAnsi="微软雅黑" w:eastAsia="微软雅黑" w:cs="微软雅黑"/>
          <w:b w:val="0"/>
          <w:bCs w:val="0"/>
          <w:sz w:val="32"/>
          <w:szCs w:val="32"/>
          <w:lang w:val="en-US" w:eastAsia="zh-CN"/>
        </w:rPr>
        <w:t>……………………….....…12</w:t>
      </w:r>
    </w:p>
    <w:p w14:paraId="2574F2A4">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九、一般公共预算“三公”经费支出预算表</w:t>
      </w:r>
      <w:r>
        <w:rPr>
          <w:rFonts w:hint="eastAsia" w:ascii="微软雅黑" w:hAnsi="微软雅黑" w:eastAsia="微软雅黑" w:cs="微软雅黑"/>
          <w:b w:val="0"/>
          <w:bCs w:val="0"/>
          <w:sz w:val="32"/>
          <w:szCs w:val="32"/>
          <w:lang w:val="en-US" w:eastAsia="zh-CN"/>
        </w:rPr>
        <w:t>…………......…12</w:t>
      </w:r>
    </w:p>
    <w:p w14:paraId="33908B3C">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十、政府性基金预算支出表</w:t>
      </w:r>
      <w:r>
        <w:rPr>
          <w:rFonts w:hint="eastAsia" w:ascii="微软雅黑" w:hAnsi="微软雅黑" w:eastAsia="微软雅黑" w:cs="微软雅黑"/>
          <w:b w:val="0"/>
          <w:bCs w:val="0"/>
          <w:sz w:val="32"/>
          <w:szCs w:val="32"/>
          <w:lang w:val="en-US" w:eastAsia="zh-CN"/>
        </w:rPr>
        <w:t>………………………………….……12</w:t>
      </w:r>
    </w:p>
    <w:p w14:paraId="4E98C0BB">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十一、政府性基金预算“三公”经费支出预算表</w:t>
      </w:r>
      <w:r>
        <w:rPr>
          <w:rFonts w:hint="eastAsia" w:ascii="微软雅黑" w:hAnsi="微软雅黑" w:eastAsia="微软雅黑" w:cs="微软雅黑"/>
          <w:b w:val="0"/>
          <w:bCs w:val="0"/>
          <w:sz w:val="32"/>
          <w:szCs w:val="32"/>
          <w:lang w:val="en-US" w:eastAsia="zh-CN"/>
        </w:rPr>
        <w:t>…….……13</w:t>
      </w:r>
    </w:p>
    <w:p w14:paraId="0E896652">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十二、国有资本经营预算支出表</w:t>
      </w:r>
      <w:r>
        <w:rPr>
          <w:rFonts w:hint="eastAsia" w:ascii="微软雅黑" w:hAnsi="微软雅黑" w:eastAsia="微软雅黑" w:cs="微软雅黑"/>
          <w:b w:val="0"/>
          <w:bCs w:val="0"/>
          <w:sz w:val="32"/>
          <w:szCs w:val="32"/>
          <w:lang w:val="en-US" w:eastAsia="zh-CN"/>
        </w:rPr>
        <w:t>…………………………………13</w:t>
      </w:r>
    </w:p>
    <w:p w14:paraId="266CB88C">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十三、部门预算项目支出绩效目标表</w:t>
      </w:r>
      <w:r>
        <w:rPr>
          <w:rFonts w:hint="eastAsia" w:ascii="微软雅黑" w:hAnsi="微软雅黑" w:eastAsia="微软雅黑" w:cs="微软雅黑"/>
          <w:b w:val="0"/>
          <w:bCs w:val="0"/>
          <w:sz w:val="32"/>
          <w:szCs w:val="32"/>
          <w:lang w:val="en-US" w:eastAsia="zh-CN"/>
        </w:rPr>
        <w:t>………………………..…13</w:t>
      </w:r>
    </w:p>
    <w:p w14:paraId="74530E61">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十四、部门整体支出绩效目标表</w:t>
      </w:r>
      <w:r>
        <w:rPr>
          <w:rFonts w:hint="eastAsia" w:ascii="微软雅黑" w:hAnsi="微软雅黑" w:eastAsia="微软雅黑" w:cs="微软雅黑"/>
          <w:b w:val="0"/>
          <w:bCs w:val="0"/>
          <w:sz w:val="32"/>
          <w:szCs w:val="32"/>
          <w:lang w:val="en-US" w:eastAsia="zh-CN"/>
        </w:rPr>
        <w:t>…………………………………14</w:t>
      </w:r>
    </w:p>
    <w:p w14:paraId="41F38076">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十五、政府采购预算表</w:t>
      </w:r>
      <w:r>
        <w:rPr>
          <w:rFonts w:hint="eastAsia" w:ascii="微软雅黑" w:hAnsi="微软雅黑" w:eastAsia="微软雅黑" w:cs="微软雅黑"/>
          <w:b w:val="0"/>
          <w:bCs w:val="0"/>
          <w:sz w:val="32"/>
          <w:szCs w:val="32"/>
          <w:lang w:val="en-US" w:eastAsia="zh-CN"/>
        </w:rPr>
        <w:t>………………………………………………14</w:t>
      </w:r>
    </w:p>
    <w:p w14:paraId="7F0126FC">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第三部分 </w:t>
      </w:r>
      <w:r>
        <w:rPr>
          <w:rFonts w:hint="eastAsia" w:ascii="黑体" w:hAnsi="黑体" w:eastAsia="黑体" w:cs="黑体"/>
          <w:b w:val="0"/>
          <w:bCs w:val="0"/>
          <w:color w:val="000000" w:themeColor="text1"/>
          <w:sz w:val="32"/>
          <w:szCs w:val="32"/>
          <w:lang w:val="en-US" w:eastAsia="zh-CN"/>
          <w14:textFill>
            <w14:solidFill>
              <w14:schemeClr w14:val="tx1"/>
            </w14:solidFill>
          </w14:textFill>
        </w:rPr>
        <w:t>县供销社</w:t>
      </w:r>
      <w:r>
        <w:rPr>
          <w:rFonts w:hint="eastAsia" w:ascii="黑体" w:hAnsi="黑体" w:eastAsia="黑体" w:cs="黑体"/>
          <w:b w:val="0"/>
          <w:bCs w:val="0"/>
          <w:sz w:val="32"/>
          <w:szCs w:val="32"/>
          <w:lang w:val="en-US" w:eastAsia="zh-CN"/>
        </w:rPr>
        <w:t>2025年部门预算情况说明</w:t>
      </w:r>
      <w:r>
        <w:rPr>
          <w:rFonts w:hint="eastAsia" w:ascii="微软雅黑" w:hAnsi="微软雅黑" w:eastAsia="微软雅黑" w:cs="微软雅黑"/>
          <w:b w:val="0"/>
          <w:bCs w:val="0"/>
          <w:sz w:val="32"/>
          <w:szCs w:val="32"/>
          <w:lang w:val="en-US" w:eastAsia="zh-CN"/>
        </w:rPr>
        <w:t>……………...15</w:t>
      </w:r>
    </w:p>
    <w:p w14:paraId="047A8D5A">
      <w:pPr>
        <w:keepNext w:val="0"/>
        <w:keepLines w:val="0"/>
        <w:pageBreakBefore w:val="0"/>
        <w:widowControl w:val="0"/>
        <w:kinsoku/>
        <w:wordWrap/>
        <w:overflowPunct/>
        <w:topLinePunct w:val="0"/>
        <w:autoSpaceDE/>
        <w:autoSpaceDN/>
        <w:bidi w:val="0"/>
        <w:adjustRightInd/>
        <w:snapToGrid/>
        <w:spacing w:line="580" w:lineRule="exact"/>
        <w:jc w:val="left"/>
        <w:textAlignment w:val="auto"/>
        <w:outlineLvl w:val="9"/>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第四部分 名词解释</w:t>
      </w:r>
      <w:r>
        <w:rPr>
          <w:rFonts w:hint="eastAsia" w:ascii="微软雅黑" w:hAnsi="微软雅黑" w:eastAsia="微软雅黑" w:cs="微软雅黑"/>
          <w:b w:val="0"/>
          <w:bCs w:val="0"/>
          <w:sz w:val="32"/>
          <w:szCs w:val="32"/>
          <w:lang w:val="en-US" w:eastAsia="zh-CN"/>
        </w:rPr>
        <w:t>……………………………………………………16</w:t>
      </w:r>
    </w:p>
    <w:p w14:paraId="5B55C251">
      <w:pPr>
        <w:pStyle w:val="2"/>
        <w:numPr>
          <w:ilvl w:val="0"/>
          <w:numId w:val="0"/>
        </w:numPr>
        <w:bidi w:val="0"/>
        <w:jc w:val="both"/>
        <w:rPr>
          <w:rFonts w:hint="default"/>
          <w:lang w:val="en-US" w:eastAsia="zh-CN"/>
        </w:rPr>
      </w:pPr>
    </w:p>
    <w:p w14:paraId="4B7E432C">
      <w:pPr>
        <w:pStyle w:val="2"/>
        <w:numPr>
          <w:ilvl w:val="0"/>
          <w:numId w:val="0"/>
        </w:numPr>
        <w:bidi w:val="0"/>
        <w:jc w:val="center"/>
        <w:rPr>
          <w:rFonts w:hint="default"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第一部分  峨边彝族自治县供销合作社联合社概况</w:t>
      </w:r>
    </w:p>
    <w:p w14:paraId="2586C1B3">
      <w:pPr>
        <w:widowControl w:val="0"/>
        <w:numPr>
          <w:ilvl w:val="0"/>
          <w:numId w:val="0"/>
        </w:numPr>
        <w:jc w:val="both"/>
        <w:rPr>
          <w:rFonts w:hint="default"/>
          <w:b/>
          <w:bCs/>
          <w:sz w:val="52"/>
          <w:szCs w:val="52"/>
          <w:lang w:val="en-US" w:eastAsia="zh-CN"/>
        </w:rPr>
      </w:pPr>
    </w:p>
    <w:p w14:paraId="668D95F7">
      <w:pPr>
        <w:widowControl w:val="0"/>
        <w:numPr>
          <w:ilvl w:val="0"/>
          <w:numId w:val="0"/>
        </w:numPr>
        <w:jc w:val="both"/>
        <w:rPr>
          <w:rFonts w:hint="default"/>
          <w:b/>
          <w:bCs/>
          <w:sz w:val="52"/>
          <w:szCs w:val="52"/>
          <w:lang w:val="en-US" w:eastAsia="zh-CN"/>
        </w:rPr>
      </w:pPr>
    </w:p>
    <w:p w14:paraId="0CB4E49F">
      <w:pPr>
        <w:widowControl w:val="0"/>
        <w:numPr>
          <w:ilvl w:val="0"/>
          <w:numId w:val="0"/>
        </w:numPr>
        <w:jc w:val="both"/>
        <w:rPr>
          <w:rFonts w:hint="default"/>
          <w:b/>
          <w:bCs/>
          <w:sz w:val="52"/>
          <w:szCs w:val="52"/>
          <w:lang w:val="en-US" w:eastAsia="zh-CN"/>
        </w:rPr>
      </w:pPr>
    </w:p>
    <w:p w14:paraId="104E4B47">
      <w:pPr>
        <w:widowControl w:val="0"/>
        <w:numPr>
          <w:ilvl w:val="0"/>
          <w:numId w:val="0"/>
        </w:numPr>
        <w:jc w:val="both"/>
        <w:rPr>
          <w:rFonts w:hint="default"/>
          <w:b/>
          <w:bCs/>
          <w:sz w:val="52"/>
          <w:szCs w:val="52"/>
          <w:lang w:val="en-US" w:eastAsia="zh-CN"/>
        </w:rPr>
      </w:pPr>
    </w:p>
    <w:p w14:paraId="4C0F61F6">
      <w:pPr>
        <w:widowControl w:val="0"/>
        <w:numPr>
          <w:ilvl w:val="0"/>
          <w:numId w:val="0"/>
        </w:numPr>
        <w:jc w:val="both"/>
        <w:rPr>
          <w:rFonts w:hint="default"/>
          <w:b/>
          <w:bCs/>
          <w:sz w:val="52"/>
          <w:szCs w:val="52"/>
          <w:lang w:val="en-US" w:eastAsia="zh-CN"/>
        </w:rPr>
      </w:pPr>
    </w:p>
    <w:p w14:paraId="201BFBB3">
      <w:pPr>
        <w:widowControl w:val="0"/>
        <w:numPr>
          <w:ilvl w:val="0"/>
          <w:numId w:val="0"/>
        </w:numPr>
        <w:jc w:val="both"/>
        <w:rPr>
          <w:rFonts w:hint="default"/>
          <w:b/>
          <w:bCs/>
          <w:sz w:val="52"/>
          <w:szCs w:val="52"/>
          <w:lang w:val="en-US" w:eastAsia="zh-CN"/>
        </w:rPr>
      </w:pPr>
    </w:p>
    <w:p w14:paraId="690B002F">
      <w:pPr>
        <w:widowControl w:val="0"/>
        <w:numPr>
          <w:ilvl w:val="0"/>
          <w:numId w:val="0"/>
        </w:numPr>
        <w:jc w:val="both"/>
        <w:rPr>
          <w:rFonts w:hint="default"/>
          <w:b/>
          <w:bCs/>
          <w:sz w:val="52"/>
          <w:szCs w:val="52"/>
          <w:lang w:val="en-US" w:eastAsia="zh-CN"/>
        </w:rPr>
      </w:pPr>
    </w:p>
    <w:p w14:paraId="22C638CD">
      <w:pPr>
        <w:bidi w:val="0"/>
        <w:rPr>
          <w:rFonts w:hint="eastAsia" w:ascii="黑体" w:hAnsi="黑体" w:eastAsia="黑体" w:cs="黑体"/>
          <w:lang w:val="en-US" w:eastAsia="zh-CN"/>
        </w:rPr>
      </w:pPr>
    </w:p>
    <w:p w14:paraId="6BF98EE1">
      <w:pPr>
        <w:bidi w:val="0"/>
        <w:rPr>
          <w:rFonts w:hint="eastAsia" w:ascii="黑体" w:hAnsi="黑体" w:eastAsia="黑体" w:cs="黑体"/>
          <w:lang w:val="en-US" w:eastAsia="zh-CN"/>
        </w:rPr>
      </w:pPr>
      <w:r>
        <w:rPr>
          <w:rFonts w:hint="eastAsia" w:ascii="黑体" w:hAnsi="黑体" w:eastAsia="黑体" w:cs="黑体"/>
          <w:lang w:val="en-US" w:eastAsia="zh-CN"/>
        </w:rPr>
        <w:t>一、基本职能及主要工作</w:t>
      </w:r>
    </w:p>
    <w:p w14:paraId="7D2F4B1E">
      <w:pPr>
        <w:pStyle w:val="6"/>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color w:val="000000" w:themeColor="text1"/>
          <w:sz w:val="32"/>
          <w:szCs w:val="32"/>
          <w14:textFill>
            <w14:solidFill>
              <w14:schemeClr w14:val="tx1"/>
            </w14:solidFill>
          </w14:textFill>
        </w:rPr>
        <w:t>（一）职能简介：</w:t>
      </w:r>
      <w:r>
        <w:rPr>
          <w:rFonts w:hint="eastAsia" w:ascii="仿宋_GB2312" w:hAnsi="仿宋_GB2312" w:eastAsia="仿宋_GB2312" w:cs="仿宋_GB2312"/>
          <w:kern w:val="2"/>
          <w:sz w:val="32"/>
          <w:szCs w:val="32"/>
          <w:lang w:val="en-US" w:eastAsia="zh-CN" w:bidi="ar-SA"/>
        </w:rPr>
        <w:t>按照中央国务院和国家供销合作总社的要求，研究我县农村产业化生产机构的情况；引导、组织、筹建农村专合组织，引导农民进市场，推进农业产业化。指导、协调、帮助下属企业健康有序地发展壮大。建立和规范全县生产资料网点，协同有关部门打击假冒伪劣和过期失效商品，宣传价格政策，确保农民利益。推广普及农业科普知识，收集整理和发布市场信息与致富信息。完成县委、县人民政府下达的其他工作任务。</w:t>
      </w:r>
    </w:p>
    <w:p w14:paraId="3D1EEDDB">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600" w:lineRule="exact"/>
        <w:ind w:firstLine="640" w:firstLineChars="200"/>
        <w:jc w:val="both"/>
        <w:textAlignment w:val="baseline"/>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（二）202</w:t>
      </w:r>
      <w:r>
        <w:rPr>
          <w:rFonts w:hint="eastAsia" w:ascii="楷体" w:hAnsi="楷体" w:eastAsia="楷体" w:cs="楷体"/>
          <w:color w:val="000000" w:themeColor="text1"/>
          <w:sz w:val="32"/>
          <w:szCs w:val="32"/>
          <w:lang w:val="en-US" w:eastAsia="zh-CN"/>
          <w14:textFill>
            <w14:solidFill>
              <w14:schemeClr w14:val="tx1"/>
            </w14:solidFill>
          </w14:textFill>
        </w:rPr>
        <w:t>5</w:t>
      </w:r>
      <w:r>
        <w:rPr>
          <w:rFonts w:hint="eastAsia" w:ascii="楷体" w:hAnsi="楷体" w:eastAsia="楷体" w:cs="楷体"/>
          <w:color w:val="000000" w:themeColor="text1"/>
          <w:sz w:val="32"/>
          <w:szCs w:val="32"/>
          <w14:textFill>
            <w14:solidFill>
              <w14:schemeClr w14:val="tx1"/>
            </w14:solidFill>
          </w14:textFill>
        </w:rPr>
        <w:t>年重点工作任务介绍：</w:t>
      </w:r>
    </w:p>
    <w:p w14:paraId="5F99EEC8">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600" w:lineRule="exact"/>
        <w:ind w:firstLine="643" w:firstLineChars="200"/>
        <w:jc w:val="both"/>
        <w:textAlignment w:val="baseline"/>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扎实推进“千县千社”质量提升行动，切实增强供销合作社整体实力和服务能力。计划将峨边毛坪镇鸿盛供销合作社打造成“千县千社”示范基地，带动周边农户1000人以上增收。</w:t>
      </w:r>
    </w:p>
    <w:p w14:paraId="333B5FF9">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600" w:lineRule="exact"/>
        <w:ind w:firstLine="643"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完成“强村供销”试点工作，加快推进与新场乡合力推动“强村供销”组建，探索“农村集体经济股份合作社+基层供销+县级供销社”的融合发展模式。</w:t>
      </w:r>
    </w:p>
    <w:p w14:paraId="557AF6D0">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600" w:lineRule="exact"/>
        <w:ind w:firstLine="643" w:firstLineChars="200"/>
        <w:jc w:val="both"/>
        <w:textAlignment w:val="baseline"/>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借助“四季文旅”消费帮扶，灵活开展“川供集市”产销对接活动，拓宽农产品销售渠道，加强“天府乡村”公益品牌推荐申报，指导更多的峨字号农产品加入省社特色农产品优选品牌目录库，多平台、多维度拓展“峨字号”农产品知名度和竞争力。计划全年举办农产品展销会4场次，在去年基础上实现农产品销售收入增长8%。</w:t>
      </w:r>
    </w:p>
    <w:p w14:paraId="186B0D35">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600" w:lineRule="exact"/>
        <w:ind w:firstLine="643" w:firstLineChars="200"/>
        <w:jc w:val="both"/>
        <w:textAlignment w:val="baseline"/>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协同农业主管部门做好农业社会化服务。引入专业服务团队和农业机械，为2万亩以上农田提供全程服务，帮助农民降低生产成本15%以上，提高生产效率20%以上。通过供销合作社的平台，推广先进的农业技术和设备。联合人社、农业农村举办农业技术培训班5场次，培训500人次以上。</w:t>
      </w:r>
    </w:p>
    <w:p w14:paraId="31EC85F2">
      <w:pPr>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600" w:lineRule="exact"/>
        <w:ind w:firstLine="643" w:firstLineChars="200"/>
        <w:jc w:val="both"/>
        <w:textAlignment w:val="baseline"/>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五是</w:t>
      </w:r>
      <w:r>
        <w:rPr>
          <w:rFonts w:hint="eastAsia" w:ascii="仿宋_GB2312" w:hAnsi="仿宋_GB2312" w:eastAsia="仿宋_GB2312" w:cs="仿宋_GB2312"/>
          <w:b w:val="0"/>
          <w:bCs w:val="0"/>
          <w:sz w:val="32"/>
          <w:szCs w:val="32"/>
          <w:lang w:val="en-US" w:eastAsia="zh-CN"/>
        </w:rPr>
        <w:t>持续深化综合改革。到2025年底，新建两个基层社，基层社乡镇覆盖率90%以上。重点发展特色农业、农产品加工、农村电商等新业态，建设标准化种植基地2000亩，引进农产品加工设备10台，搭建农村电商平台1个。</w:t>
      </w:r>
    </w:p>
    <w:p w14:paraId="03E817BB">
      <w:pPr>
        <w:bidi w:val="0"/>
        <w:rPr>
          <w:rFonts w:hint="default" w:ascii="黑体" w:hAnsi="黑体" w:eastAsia="黑体" w:cs="黑体"/>
          <w:lang w:val="en-US" w:eastAsia="zh-CN"/>
        </w:rPr>
      </w:pPr>
      <w:r>
        <w:rPr>
          <w:rFonts w:hint="default" w:ascii="黑体" w:hAnsi="黑体" w:eastAsia="黑体" w:cs="黑体"/>
          <w:lang w:val="en-US" w:eastAsia="zh-CN"/>
        </w:rPr>
        <w:t>二、部门预算单位构成</w:t>
      </w:r>
    </w:p>
    <w:p w14:paraId="5FA491BA">
      <w:pPr>
        <w:bidi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峨边彝族自治县供销合作社联合社</w:t>
      </w:r>
      <w:r>
        <w:rPr>
          <w:rFonts w:hint="eastAsia" w:ascii="仿宋_GB2312" w:hAnsi="仿宋_GB2312" w:eastAsia="仿宋_GB2312" w:cs="仿宋_GB2312"/>
          <w:color w:val="000000" w:themeColor="text1"/>
          <w:sz w:val="32"/>
          <w:szCs w:val="32"/>
          <w14:textFill>
            <w14:solidFill>
              <w14:schemeClr w14:val="tx1"/>
            </w14:solidFill>
          </w14:textFill>
        </w:rPr>
        <w:t>预算单位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个，其中：行政单位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个，事业单位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w:t>
      </w:r>
    </w:p>
    <w:p w14:paraId="0F1C5E1A">
      <w:pPr>
        <w:bidi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峨边彝族自治县供销合作社联合社</w:t>
      </w:r>
      <w:r>
        <w:rPr>
          <w:rFonts w:hint="eastAsia" w:ascii="仿宋_GB2312" w:hAnsi="仿宋_GB2312" w:eastAsia="仿宋_GB2312" w:cs="仿宋_GB2312"/>
          <w:color w:val="000000" w:themeColor="text1"/>
          <w:sz w:val="32"/>
          <w:szCs w:val="32"/>
          <w14:textFill>
            <w14:solidFill>
              <w14:schemeClr w14:val="tx1"/>
            </w14:solidFill>
          </w14:textFill>
        </w:rPr>
        <w:t>总编制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名，其中：行政编制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名，工勤编制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名，事业编制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名。在职人员总数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名，其中：行政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名，工勤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名，事业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名。离休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名。</w:t>
      </w:r>
    </w:p>
    <w:p w14:paraId="4992BB95">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14:paraId="556822A8">
      <w:pPr>
        <w:spacing w:line="600" w:lineRule="exact"/>
        <w:ind w:firstLine="640" w:firstLineChars="200"/>
        <w:rPr>
          <w:rFonts w:hint="eastAsia" w:ascii="仿宋" w:hAnsi="仿宋" w:eastAsia="仿宋"/>
          <w:sz w:val="32"/>
          <w:szCs w:val="32"/>
        </w:rPr>
      </w:pPr>
    </w:p>
    <w:p w14:paraId="2FDBC216">
      <w:pPr>
        <w:spacing w:line="600" w:lineRule="exact"/>
        <w:ind w:firstLine="640" w:firstLineChars="200"/>
        <w:rPr>
          <w:rFonts w:hint="eastAsia" w:ascii="仿宋" w:hAnsi="仿宋" w:eastAsia="仿宋"/>
          <w:sz w:val="32"/>
          <w:szCs w:val="32"/>
        </w:rPr>
      </w:pPr>
    </w:p>
    <w:p w14:paraId="60228902">
      <w:pPr>
        <w:spacing w:line="600" w:lineRule="exact"/>
        <w:ind w:firstLine="640" w:firstLineChars="200"/>
        <w:rPr>
          <w:rFonts w:hint="eastAsia" w:ascii="仿宋" w:hAnsi="仿宋" w:eastAsia="仿宋"/>
          <w:sz w:val="32"/>
          <w:szCs w:val="32"/>
        </w:rPr>
      </w:pPr>
    </w:p>
    <w:p w14:paraId="10D9451F">
      <w:pPr>
        <w:pStyle w:val="2"/>
        <w:numPr>
          <w:ilvl w:val="0"/>
          <w:numId w:val="0"/>
        </w:numPr>
        <w:bidi w:val="0"/>
        <w:jc w:val="both"/>
        <w:rPr>
          <w:rFonts w:hint="eastAsia" w:ascii="方正小标宋简体" w:hAnsi="方正小标宋简体" w:eastAsia="方正小标宋简体" w:cs="方正小标宋简体"/>
          <w:b w:val="0"/>
          <w:bCs/>
          <w:lang w:val="en-US" w:eastAsia="zh-CN"/>
        </w:rPr>
      </w:pPr>
    </w:p>
    <w:p w14:paraId="19544001">
      <w:pPr>
        <w:pStyle w:val="2"/>
        <w:numPr>
          <w:ilvl w:val="0"/>
          <w:numId w:val="0"/>
        </w:numPr>
        <w:bidi w:val="0"/>
        <w:ind w:left="1040" w:hanging="1040" w:hangingChars="200"/>
        <w:jc w:val="both"/>
        <w:rPr>
          <w:rFonts w:hint="eastAsia" w:ascii="方正小标宋简体" w:hAnsi="方正小标宋简体" w:eastAsia="方正小标宋简体" w:cs="方正小标宋简体"/>
          <w:b w:val="0"/>
          <w:bCs/>
          <w:sz w:val="52"/>
          <w:szCs w:val="52"/>
          <w:lang w:val="en-US" w:eastAsia="zh-CN"/>
        </w:rPr>
      </w:pPr>
      <w:r>
        <w:rPr>
          <w:rFonts w:hint="eastAsia" w:ascii="方正小标宋简体" w:hAnsi="方正小标宋简体" w:eastAsia="方正小标宋简体" w:cs="方正小标宋简体"/>
          <w:b w:val="0"/>
          <w:bCs/>
          <w:lang w:val="en-US" w:eastAsia="zh-CN"/>
        </w:rPr>
        <w:t>第二部分  峨边彝族自治县供销合作社联合社</w:t>
      </w:r>
      <w:r>
        <w:rPr>
          <w:rFonts w:hint="eastAsia" w:ascii="方正小标宋简体" w:hAnsi="方正小标宋简体" w:eastAsia="方正小标宋简体" w:cs="方正小标宋简体"/>
          <w:b w:val="0"/>
          <w:bCs/>
          <w:sz w:val="52"/>
          <w:szCs w:val="52"/>
          <w:lang w:val="en-US" w:eastAsia="zh-CN"/>
        </w:rPr>
        <w:t>2025年部门预算表</w:t>
      </w:r>
    </w:p>
    <w:p w14:paraId="7F92BEF4">
      <w:pPr>
        <w:spacing w:line="600" w:lineRule="exact"/>
        <w:rPr>
          <w:rFonts w:hint="default" w:ascii="仿宋" w:hAnsi="仿宋" w:eastAsia="仿宋" w:cs="Times New Roman"/>
          <w:sz w:val="32"/>
          <w:szCs w:val="32"/>
          <w:lang w:val="en-US" w:eastAsia="zh-CN"/>
        </w:rPr>
      </w:pPr>
    </w:p>
    <w:p w14:paraId="1A0612A9">
      <w:pPr>
        <w:spacing w:line="600" w:lineRule="exact"/>
        <w:rPr>
          <w:rFonts w:hint="default" w:ascii="仿宋" w:hAnsi="仿宋" w:eastAsia="仿宋" w:cs="Times New Roman"/>
          <w:sz w:val="32"/>
          <w:szCs w:val="32"/>
          <w:lang w:val="en-US" w:eastAsia="zh-CN"/>
        </w:rPr>
      </w:pPr>
    </w:p>
    <w:p w14:paraId="2A5B7FEE">
      <w:pPr>
        <w:spacing w:line="600" w:lineRule="exact"/>
        <w:rPr>
          <w:rFonts w:hint="default" w:ascii="仿宋" w:hAnsi="仿宋" w:eastAsia="仿宋" w:cs="Times New Roman"/>
          <w:sz w:val="32"/>
          <w:szCs w:val="32"/>
          <w:lang w:val="en-US" w:eastAsia="zh-CN"/>
        </w:rPr>
      </w:pPr>
    </w:p>
    <w:p w14:paraId="30C5A8BB">
      <w:pPr>
        <w:spacing w:line="600" w:lineRule="exact"/>
        <w:ind w:left="0" w:leftChars="0" w:firstLine="0" w:firstLineChars="0"/>
        <w:rPr>
          <w:rFonts w:hint="eastAsia" w:ascii="仿宋_GB2312" w:hAnsi="仿宋_GB2312" w:eastAsia="仿宋_GB2312" w:cs="仿宋_GB2312"/>
          <w:sz w:val="32"/>
          <w:szCs w:val="32"/>
          <w:lang w:val="en-US" w:eastAsia="zh-CN"/>
        </w:rPr>
      </w:pPr>
    </w:p>
    <w:p w14:paraId="345B5EA9">
      <w:pPr>
        <w:spacing w:line="600" w:lineRule="exact"/>
        <w:ind w:left="0" w:leftChars="0" w:firstLine="0" w:firstLineChars="0"/>
        <w:rPr>
          <w:rFonts w:hint="eastAsia" w:ascii="仿宋_GB2312" w:hAnsi="仿宋_GB2312" w:eastAsia="仿宋_GB2312" w:cs="仿宋_GB2312"/>
          <w:sz w:val="32"/>
          <w:szCs w:val="32"/>
          <w:lang w:val="en-US" w:eastAsia="zh-CN"/>
        </w:rPr>
      </w:pPr>
    </w:p>
    <w:p w14:paraId="4216B6E3">
      <w:pPr>
        <w:spacing w:line="600" w:lineRule="exact"/>
        <w:ind w:left="0" w:leftChars="0" w:firstLine="0" w:firstLineChars="0"/>
        <w:rPr>
          <w:rFonts w:hint="eastAsia" w:ascii="仿宋_GB2312" w:hAnsi="仿宋_GB2312" w:eastAsia="仿宋_GB2312" w:cs="仿宋_GB2312"/>
          <w:sz w:val="32"/>
          <w:szCs w:val="32"/>
          <w:lang w:val="en-US" w:eastAsia="zh-CN"/>
        </w:rPr>
      </w:pPr>
    </w:p>
    <w:p w14:paraId="47E2370D">
      <w:pPr>
        <w:spacing w:line="600" w:lineRule="exact"/>
        <w:ind w:left="0" w:leftChars="0" w:firstLine="0" w:firstLineChars="0"/>
        <w:rPr>
          <w:rFonts w:hint="eastAsia" w:ascii="仿宋_GB2312" w:hAnsi="仿宋_GB2312" w:eastAsia="仿宋_GB2312" w:cs="仿宋_GB2312"/>
          <w:sz w:val="32"/>
          <w:szCs w:val="32"/>
          <w:lang w:val="en-US" w:eastAsia="zh-CN"/>
        </w:rPr>
      </w:pPr>
    </w:p>
    <w:p w14:paraId="1AA6FD3D">
      <w:pPr>
        <w:spacing w:line="600" w:lineRule="exact"/>
        <w:ind w:left="0" w:leftChars="0" w:firstLine="0" w:firstLineChars="0"/>
        <w:rPr>
          <w:rFonts w:hint="eastAsia" w:ascii="黑体" w:hAnsi="黑体" w:eastAsia="黑体" w:cs="黑体"/>
          <w:sz w:val="32"/>
          <w:szCs w:val="32"/>
          <w:lang w:val="en-US" w:eastAsia="zh-CN"/>
        </w:rPr>
      </w:pPr>
    </w:p>
    <w:p w14:paraId="6C7FD595">
      <w:pPr>
        <w:spacing w:line="600" w:lineRule="exact"/>
        <w:ind w:left="0" w:leftChars="0" w:firstLine="0" w:firstLineChars="0"/>
        <w:rPr>
          <w:rFonts w:hint="eastAsia" w:ascii="黑体" w:hAnsi="黑体" w:eastAsia="黑体" w:cs="黑体"/>
          <w:sz w:val="32"/>
          <w:szCs w:val="32"/>
          <w:lang w:val="en-US" w:eastAsia="zh-CN"/>
        </w:rPr>
      </w:pPr>
    </w:p>
    <w:p w14:paraId="0B9C33C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详见附件2：峨边</w:t>
      </w:r>
      <w:r>
        <w:rPr>
          <w:rFonts w:hint="eastAsia" w:ascii="仿宋" w:hAnsi="仿宋" w:cs="仿宋"/>
          <w:sz w:val="32"/>
          <w:szCs w:val="32"/>
          <w:lang w:val="en-US" w:eastAsia="zh-CN"/>
        </w:rPr>
        <w:t>彝族自治县供销合作社联合社</w:t>
      </w:r>
      <w:r>
        <w:rPr>
          <w:rFonts w:hint="eastAsia" w:ascii="仿宋" w:hAnsi="仿宋" w:eastAsia="仿宋" w:cs="仿宋"/>
          <w:sz w:val="32"/>
          <w:szCs w:val="32"/>
          <w:lang w:val="en-US" w:eastAsia="zh-CN"/>
        </w:rPr>
        <w:t>预算公开报表</w:t>
      </w:r>
    </w:p>
    <w:p w14:paraId="5C14D49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部门收入总表（公开表1）</w:t>
      </w:r>
    </w:p>
    <w:p w14:paraId="445D45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s="黑体"/>
          <w:sz w:val="32"/>
          <w:szCs w:val="32"/>
          <w:lang w:val="en-US" w:eastAsia="zh-CN"/>
        </w:rPr>
      </w:pPr>
    </w:p>
    <w:p w14:paraId="5C63E9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32"/>
          <w:szCs w:val="32"/>
          <w:lang w:val="en-US" w:eastAsia="zh-CN"/>
        </w:rPr>
      </w:pPr>
      <w:r>
        <w:drawing>
          <wp:inline distT="0" distB="0" distL="114300" distR="114300">
            <wp:extent cx="5687060" cy="5343525"/>
            <wp:effectExtent l="0" t="0" r="889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687060" cy="5343525"/>
                    </a:xfrm>
                    <a:prstGeom prst="rect">
                      <a:avLst/>
                    </a:prstGeom>
                    <a:noFill/>
                    <a:ln>
                      <a:noFill/>
                    </a:ln>
                  </pic:spPr>
                </pic:pic>
              </a:graphicData>
            </a:graphic>
          </wp:inline>
        </w:drawing>
      </w:r>
    </w:p>
    <w:p w14:paraId="06204B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lang w:val="en-US" w:eastAsia="zh-CN"/>
        </w:rPr>
      </w:pPr>
    </w:p>
    <w:p w14:paraId="2DD73CA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lang w:val="en-US" w:eastAsia="zh-CN"/>
        </w:rPr>
      </w:pPr>
    </w:p>
    <w:p w14:paraId="5D88CCA2">
      <w:pPr>
        <w:widowControl w:val="0"/>
        <w:numPr>
          <w:ilvl w:val="0"/>
          <w:numId w:val="0"/>
        </w:numPr>
        <w:spacing w:line="360" w:lineRule="auto"/>
        <w:jc w:val="left"/>
        <w:rPr>
          <w:rFonts w:hint="default"/>
          <w:lang w:val="en-US" w:eastAsia="zh-CN"/>
        </w:rPr>
      </w:pPr>
    </w:p>
    <w:p w14:paraId="53767746">
      <w:pPr>
        <w:widowControl w:val="0"/>
        <w:numPr>
          <w:ilvl w:val="0"/>
          <w:numId w:val="0"/>
        </w:numPr>
        <w:spacing w:line="360" w:lineRule="auto"/>
        <w:jc w:val="left"/>
        <w:rPr>
          <w:rFonts w:hint="default"/>
          <w:lang w:val="en-US" w:eastAsia="zh-CN"/>
        </w:rPr>
      </w:pPr>
    </w:p>
    <w:tbl>
      <w:tblPr>
        <w:tblStyle w:val="12"/>
        <w:tblW w:w="15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66"/>
        <w:gridCol w:w="451"/>
        <w:gridCol w:w="283"/>
        <w:gridCol w:w="298"/>
        <w:gridCol w:w="318"/>
        <w:gridCol w:w="291"/>
        <w:gridCol w:w="325"/>
        <w:gridCol w:w="885"/>
        <w:gridCol w:w="990"/>
        <w:gridCol w:w="291"/>
        <w:gridCol w:w="288"/>
        <w:gridCol w:w="278"/>
        <w:gridCol w:w="1086"/>
      </w:tblGrid>
      <w:tr w14:paraId="3044C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666" w:type="dxa"/>
            <w:tcBorders>
              <w:top w:val="nil"/>
              <w:left w:val="nil"/>
              <w:bottom w:val="nil"/>
              <w:right w:val="nil"/>
            </w:tcBorders>
            <w:shd w:val="clear" w:color="auto" w:fill="auto"/>
            <w:vAlign w:val="center"/>
          </w:tcPr>
          <w:p w14:paraId="1126729F"/>
          <w:p w14:paraId="1A9B3829"/>
          <w:p w14:paraId="7C2D71A9"/>
          <w:p w14:paraId="66BC808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二、部门收入总表（公开表1-1）</w:t>
            </w:r>
          </w:p>
          <w:p w14:paraId="18967AC3">
            <w:pPr>
              <w:ind w:left="0" w:leftChars="0" w:firstLine="0" w:firstLineChars="0"/>
            </w:pPr>
            <w:r>
              <w:drawing>
                <wp:inline distT="0" distB="0" distL="114300" distR="114300">
                  <wp:extent cx="5854065" cy="1379855"/>
                  <wp:effectExtent l="0" t="0" r="13335" b="1079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8"/>
                          <a:stretch>
                            <a:fillRect/>
                          </a:stretch>
                        </pic:blipFill>
                        <pic:spPr>
                          <a:xfrm>
                            <a:off x="0" y="0"/>
                            <a:ext cx="5854065" cy="1379855"/>
                          </a:xfrm>
                          <a:prstGeom prst="rect">
                            <a:avLst/>
                          </a:prstGeom>
                          <a:noFill/>
                          <a:ln>
                            <a:noFill/>
                          </a:ln>
                        </pic:spPr>
                      </pic:pic>
                    </a:graphicData>
                  </a:graphic>
                </wp:inline>
              </w:drawing>
            </w:r>
          </w:p>
          <w:p w14:paraId="60CB4C9C"/>
          <w:p w14:paraId="4D1ECA9E">
            <w:pPr>
              <w:rPr>
                <w:rFonts w:hint="eastAsia" w:ascii="黑体" w:hAnsi="黑体" w:eastAsia="黑体" w:cs="黑体"/>
                <w:sz w:val="32"/>
                <w:szCs w:val="32"/>
                <w:lang w:val="en-US" w:eastAsia="zh-CN"/>
              </w:rPr>
            </w:pPr>
          </w:p>
          <w:p w14:paraId="4853A99F">
            <w:pPr>
              <w:rPr>
                <w:rFonts w:hint="eastAsia" w:ascii="黑体" w:hAnsi="黑体" w:eastAsia="黑体" w:cs="黑体"/>
                <w:sz w:val="32"/>
                <w:szCs w:val="32"/>
                <w:lang w:val="en-US" w:eastAsia="zh-CN"/>
              </w:rPr>
            </w:pPr>
          </w:p>
          <w:p w14:paraId="4F79189B">
            <w:pPr>
              <w:numPr>
                <w:ilvl w:val="0"/>
                <w:numId w:val="0"/>
              </w:numPr>
              <w:ind w:leftChars="0" w:firstLine="320" w:firstLineChars="1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三、部门支出总表（公开表1-2）</w:t>
            </w:r>
          </w:p>
          <w:p w14:paraId="03CD82B6">
            <w:pPr>
              <w:numPr>
                <w:ilvl w:val="0"/>
                <w:numId w:val="0"/>
              </w:numPr>
              <w:ind w:leftChars="0"/>
            </w:pPr>
          </w:p>
          <w:p w14:paraId="4D94AE02">
            <w:pPr>
              <w:numPr>
                <w:ilvl w:val="0"/>
                <w:numId w:val="0"/>
              </w:numPr>
              <w:ind w:leftChars="0"/>
              <w:rPr>
                <w:rFonts w:hint="default" w:ascii="黑体" w:hAnsi="黑体" w:eastAsia="黑体" w:cs="黑体"/>
                <w:sz w:val="32"/>
                <w:szCs w:val="32"/>
                <w:lang w:val="en-US" w:eastAsia="zh-CN"/>
              </w:rPr>
            </w:pPr>
            <w:r>
              <w:drawing>
                <wp:inline distT="0" distB="0" distL="114300" distR="114300">
                  <wp:extent cx="5991225" cy="3143885"/>
                  <wp:effectExtent l="0" t="0" r="9525" b="184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9"/>
                          <a:stretch>
                            <a:fillRect/>
                          </a:stretch>
                        </pic:blipFill>
                        <pic:spPr>
                          <a:xfrm>
                            <a:off x="0" y="0"/>
                            <a:ext cx="5991225" cy="3143885"/>
                          </a:xfrm>
                          <a:prstGeom prst="rect">
                            <a:avLst/>
                          </a:prstGeom>
                          <a:noFill/>
                          <a:ln>
                            <a:noFill/>
                          </a:ln>
                        </pic:spPr>
                      </pic:pic>
                    </a:graphicData>
                  </a:graphic>
                </wp:inline>
              </w:drawing>
            </w:r>
          </w:p>
        </w:tc>
        <w:tc>
          <w:tcPr>
            <w:tcW w:w="45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76374B8">
            <w:pPr>
              <w:rPr>
                <w:rFonts w:hint="eastAsia" w:ascii="宋体" w:hAnsi="宋体" w:eastAsia="宋体" w:cs="宋体"/>
                <w:i w:val="0"/>
                <w:iCs w:val="0"/>
                <w:color w:val="000000"/>
                <w:sz w:val="16"/>
                <w:szCs w:val="16"/>
                <w:u w:val="none"/>
              </w:rPr>
            </w:pPr>
          </w:p>
        </w:tc>
        <w:tc>
          <w:tcPr>
            <w:tcW w:w="28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D81035A">
            <w:pPr>
              <w:rPr>
                <w:rFonts w:hint="eastAsia" w:ascii="宋体" w:hAnsi="宋体" w:eastAsia="宋体" w:cs="宋体"/>
                <w:i w:val="0"/>
                <w:iCs w:val="0"/>
                <w:color w:val="000000"/>
                <w:sz w:val="16"/>
                <w:szCs w:val="16"/>
                <w:u w:val="none"/>
              </w:rPr>
            </w:pPr>
          </w:p>
        </w:tc>
        <w:tc>
          <w:tcPr>
            <w:tcW w:w="29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FB90A04">
            <w:pPr>
              <w:rPr>
                <w:rFonts w:hint="eastAsia" w:ascii="宋体" w:hAnsi="宋体" w:eastAsia="宋体" w:cs="宋体"/>
                <w:i w:val="0"/>
                <w:iCs w:val="0"/>
                <w:color w:val="000000"/>
                <w:sz w:val="16"/>
                <w:szCs w:val="16"/>
                <w:u w:val="none"/>
              </w:rPr>
            </w:pPr>
          </w:p>
        </w:tc>
        <w:tc>
          <w:tcPr>
            <w:tcW w:w="318" w:type="dxa"/>
            <w:tcBorders>
              <w:top w:val="nil"/>
              <w:left w:val="nil"/>
              <w:bottom w:val="nil"/>
              <w:right w:val="nil"/>
            </w:tcBorders>
            <w:shd w:val="clear" w:color="auto" w:fill="auto"/>
            <w:vAlign w:val="center"/>
          </w:tcPr>
          <w:p w14:paraId="5EBB13EF">
            <w:pPr>
              <w:rPr>
                <w:rFonts w:hint="eastAsia" w:ascii="宋体" w:hAnsi="宋体" w:eastAsia="宋体" w:cs="宋体"/>
                <w:i w:val="0"/>
                <w:iCs w:val="0"/>
                <w:color w:val="000000"/>
                <w:sz w:val="16"/>
                <w:szCs w:val="16"/>
                <w:u w:val="none"/>
              </w:rPr>
            </w:pPr>
          </w:p>
        </w:tc>
        <w:tc>
          <w:tcPr>
            <w:tcW w:w="291" w:type="dxa"/>
            <w:tcBorders>
              <w:top w:val="nil"/>
              <w:left w:val="nil"/>
              <w:bottom w:val="nil"/>
              <w:right w:val="nil"/>
            </w:tcBorders>
            <w:shd w:val="clear" w:color="auto" w:fill="auto"/>
            <w:vAlign w:val="center"/>
          </w:tcPr>
          <w:p w14:paraId="32B8368D">
            <w:pPr>
              <w:rPr>
                <w:rFonts w:hint="eastAsia" w:ascii="宋体" w:hAnsi="宋体" w:eastAsia="宋体" w:cs="宋体"/>
                <w:i w:val="0"/>
                <w:iCs w:val="0"/>
                <w:color w:val="000000"/>
                <w:sz w:val="16"/>
                <w:szCs w:val="16"/>
                <w:u w:val="none"/>
              </w:rPr>
            </w:pPr>
          </w:p>
        </w:tc>
        <w:tc>
          <w:tcPr>
            <w:tcW w:w="325" w:type="dxa"/>
            <w:tcBorders>
              <w:top w:val="nil"/>
              <w:left w:val="nil"/>
              <w:bottom w:val="nil"/>
              <w:right w:val="nil"/>
            </w:tcBorders>
            <w:shd w:val="clear" w:color="auto" w:fill="auto"/>
            <w:vAlign w:val="center"/>
          </w:tcPr>
          <w:p w14:paraId="7309BB38">
            <w:pPr>
              <w:rPr>
                <w:rFonts w:hint="eastAsia" w:ascii="宋体" w:hAnsi="宋体" w:eastAsia="宋体" w:cs="宋体"/>
                <w:i w:val="0"/>
                <w:iCs w:val="0"/>
                <w:color w:val="000000"/>
                <w:sz w:val="16"/>
                <w:szCs w:val="16"/>
                <w:u w:val="none"/>
              </w:rPr>
            </w:pPr>
          </w:p>
        </w:tc>
        <w:tc>
          <w:tcPr>
            <w:tcW w:w="885" w:type="dxa"/>
            <w:tcBorders>
              <w:top w:val="nil"/>
              <w:left w:val="nil"/>
              <w:bottom w:val="nil"/>
              <w:right w:val="nil"/>
            </w:tcBorders>
            <w:shd w:val="clear" w:color="auto" w:fill="auto"/>
            <w:noWrap/>
            <w:vAlign w:val="center"/>
          </w:tcPr>
          <w:p w14:paraId="1020935A">
            <w:pPr>
              <w:rPr>
                <w:rFonts w:hint="eastAsia" w:ascii="宋体" w:hAnsi="宋体" w:eastAsia="宋体" w:cs="宋体"/>
                <w:i w:val="0"/>
                <w:iCs w:val="0"/>
                <w:color w:val="000000"/>
                <w:sz w:val="16"/>
                <w:szCs w:val="16"/>
                <w:u w:val="none"/>
              </w:rPr>
            </w:pPr>
          </w:p>
        </w:tc>
        <w:tc>
          <w:tcPr>
            <w:tcW w:w="990" w:type="dxa"/>
            <w:tcBorders>
              <w:top w:val="nil"/>
              <w:left w:val="nil"/>
              <w:bottom w:val="nil"/>
              <w:right w:val="nil"/>
            </w:tcBorders>
            <w:shd w:val="clear" w:color="auto" w:fill="auto"/>
            <w:noWrap/>
            <w:vAlign w:val="center"/>
          </w:tcPr>
          <w:p w14:paraId="3DEF349F">
            <w:pPr>
              <w:rPr>
                <w:rFonts w:hint="eastAsia" w:ascii="宋体" w:hAnsi="宋体" w:eastAsia="宋体" w:cs="宋体"/>
                <w:i w:val="0"/>
                <w:iCs w:val="0"/>
                <w:color w:val="000000"/>
                <w:sz w:val="16"/>
                <w:szCs w:val="16"/>
                <w:u w:val="none"/>
              </w:rPr>
            </w:pPr>
          </w:p>
        </w:tc>
        <w:tc>
          <w:tcPr>
            <w:tcW w:w="291" w:type="dxa"/>
            <w:tcBorders>
              <w:top w:val="nil"/>
              <w:left w:val="nil"/>
              <w:bottom w:val="nil"/>
              <w:right w:val="nil"/>
            </w:tcBorders>
            <w:shd w:val="clear" w:color="auto" w:fill="auto"/>
            <w:vAlign w:val="center"/>
          </w:tcPr>
          <w:p w14:paraId="7B3B7E29">
            <w:pPr>
              <w:rPr>
                <w:rFonts w:hint="eastAsia" w:ascii="宋体" w:hAnsi="宋体" w:eastAsia="宋体" w:cs="宋体"/>
                <w:i w:val="0"/>
                <w:iCs w:val="0"/>
                <w:color w:val="000000"/>
                <w:sz w:val="16"/>
                <w:szCs w:val="16"/>
                <w:u w:val="none"/>
              </w:rPr>
            </w:pPr>
          </w:p>
        </w:tc>
        <w:tc>
          <w:tcPr>
            <w:tcW w:w="288" w:type="dxa"/>
            <w:tcBorders>
              <w:top w:val="nil"/>
              <w:left w:val="nil"/>
              <w:bottom w:val="nil"/>
              <w:right w:val="nil"/>
            </w:tcBorders>
            <w:shd w:val="clear" w:color="auto" w:fill="auto"/>
            <w:vAlign w:val="center"/>
          </w:tcPr>
          <w:p w14:paraId="2FCED49F">
            <w:pPr>
              <w:rPr>
                <w:rFonts w:hint="eastAsia" w:ascii="宋体" w:hAnsi="宋体" w:eastAsia="宋体" w:cs="宋体"/>
                <w:i w:val="0"/>
                <w:iCs w:val="0"/>
                <w:color w:val="000000"/>
                <w:sz w:val="16"/>
                <w:szCs w:val="16"/>
                <w:u w:val="none"/>
              </w:rPr>
            </w:pPr>
          </w:p>
        </w:tc>
        <w:tc>
          <w:tcPr>
            <w:tcW w:w="278" w:type="dxa"/>
            <w:tcBorders>
              <w:top w:val="nil"/>
              <w:left w:val="nil"/>
              <w:bottom w:val="nil"/>
              <w:right w:val="nil"/>
            </w:tcBorders>
            <w:shd w:val="clear" w:color="auto" w:fill="auto"/>
            <w:vAlign w:val="center"/>
          </w:tcPr>
          <w:p w14:paraId="37E17FFC">
            <w:pPr>
              <w:rPr>
                <w:rFonts w:hint="eastAsia" w:ascii="宋体" w:hAnsi="宋体" w:eastAsia="宋体" w:cs="宋体"/>
                <w:i w:val="0"/>
                <w:iCs w:val="0"/>
                <w:color w:val="000000"/>
                <w:sz w:val="16"/>
                <w:szCs w:val="16"/>
                <w:u w:val="none"/>
              </w:rPr>
            </w:pPr>
          </w:p>
        </w:tc>
        <w:tc>
          <w:tcPr>
            <w:tcW w:w="108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8912E4">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表1-1</w:t>
            </w:r>
          </w:p>
        </w:tc>
      </w:tr>
    </w:tbl>
    <w:p w14:paraId="6F8A548C">
      <w:pPr>
        <w:pStyle w:val="2"/>
        <w:numPr>
          <w:ilvl w:val="0"/>
          <w:numId w:val="3"/>
        </w:numPr>
        <w:bidi w:val="0"/>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财政拨款收支预算总表（公开表2）</w:t>
      </w:r>
    </w:p>
    <w:p w14:paraId="76BB2B00">
      <w:pPr>
        <w:numPr>
          <w:ilvl w:val="0"/>
          <w:numId w:val="0"/>
        </w:numPr>
      </w:pPr>
      <w:r>
        <w:drawing>
          <wp:inline distT="0" distB="0" distL="114300" distR="114300">
            <wp:extent cx="5688330" cy="4761230"/>
            <wp:effectExtent l="0" t="0" r="7620" b="127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0"/>
                    <a:stretch>
                      <a:fillRect/>
                    </a:stretch>
                  </pic:blipFill>
                  <pic:spPr>
                    <a:xfrm>
                      <a:off x="0" y="0"/>
                      <a:ext cx="5688330" cy="4761230"/>
                    </a:xfrm>
                    <a:prstGeom prst="rect">
                      <a:avLst/>
                    </a:prstGeom>
                    <a:noFill/>
                    <a:ln>
                      <a:noFill/>
                    </a:ln>
                  </pic:spPr>
                </pic:pic>
              </a:graphicData>
            </a:graphic>
          </wp:inline>
        </w:drawing>
      </w:r>
    </w:p>
    <w:p w14:paraId="1E467795">
      <w:pPr>
        <w:numPr>
          <w:ilvl w:val="0"/>
          <w:numId w:val="0"/>
        </w:numPr>
      </w:pPr>
    </w:p>
    <w:p w14:paraId="6A029689">
      <w:pPr>
        <w:numPr>
          <w:ilvl w:val="0"/>
          <w:numId w:val="0"/>
        </w:numPr>
      </w:pPr>
    </w:p>
    <w:p w14:paraId="798725A5">
      <w:pPr>
        <w:numPr>
          <w:ilvl w:val="0"/>
          <w:numId w:val="0"/>
        </w:numPr>
      </w:pPr>
    </w:p>
    <w:p w14:paraId="04319000">
      <w:pPr>
        <w:numPr>
          <w:ilvl w:val="0"/>
          <w:numId w:val="0"/>
        </w:numPr>
      </w:pPr>
    </w:p>
    <w:p w14:paraId="524C31A7">
      <w:pPr>
        <w:numPr>
          <w:ilvl w:val="0"/>
          <w:numId w:val="0"/>
        </w:numPr>
      </w:pPr>
    </w:p>
    <w:p w14:paraId="197BC255">
      <w:pPr>
        <w:numPr>
          <w:ilvl w:val="0"/>
          <w:numId w:val="0"/>
        </w:numPr>
      </w:pPr>
    </w:p>
    <w:p w14:paraId="7F2BD2EC">
      <w:pPr>
        <w:numPr>
          <w:ilvl w:val="0"/>
          <w:numId w:val="0"/>
        </w:numPr>
      </w:pPr>
    </w:p>
    <w:p w14:paraId="5A582939">
      <w:pPr>
        <w:numPr>
          <w:ilvl w:val="0"/>
          <w:numId w:val="0"/>
        </w:numPr>
      </w:pPr>
    </w:p>
    <w:p w14:paraId="089F675A">
      <w:pPr>
        <w:numPr>
          <w:ilvl w:val="0"/>
          <w:numId w:val="0"/>
        </w:numPr>
      </w:pPr>
    </w:p>
    <w:p w14:paraId="20511F9B">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财政拨款支出预算表（部门经济分类科目）公开表（2-1）</w:t>
      </w:r>
    </w:p>
    <w:p w14:paraId="56AC9133">
      <w:pPr>
        <w:numPr>
          <w:ilvl w:val="0"/>
          <w:numId w:val="0"/>
        </w:numPr>
      </w:pPr>
      <w:r>
        <w:drawing>
          <wp:inline distT="0" distB="0" distL="114300" distR="114300">
            <wp:extent cx="6322695" cy="3775075"/>
            <wp:effectExtent l="0" t="0" r="1905" b="158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6322695" cy="3775075"/>
                    </a:xfrm>
                    <a:prstGeom prst="rect">
                      <a:avLst/>
                    </a:prstGeom>
                    <a:noFill/>
                    <a:ln>
                      <a:noFill/>
                    </a:ln>
                  </pic:spPr>
                </pic:pic>
              </a:graphicData>
            </a:graphic>
          </wp:inline>
        </w:drawing>
      </w:r>
    </w:p>
    <w:p w14:paraId="2C399CFE">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一般公共预算支出预算表（公开表3）</w:t>
      </w:r>
    </w:p>
    <w:p w14:paraId="1657AD11">
      <w:pPr>
        <w:numPr>
          <w:ilvl w:val="0"/>
          <w:numId w:val="0"/>
        </w:numPr>
      </w:pPr>
      <w:r>
        <w:drawing>
          <wp:inline distT="0" distB="0" distL="114300" distR="114300">
            <wp:extent cx="5687695" cy="2857500"/>
            <wp:effectExtent l="0" t="0" r="825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2"/>
                    <a:stretch>
                      <a:fillRect/>
                    </a:stretch>
                  </pic:blipFill>
                  <pic:spPr>
                    <a:xfrm>
                      <a:off x="0" y="0"/>
                      <a:ext cx="5687695" cy="2857500"/>
                    </a:xfrm>
                    <a:prstGeom prst="rect">
                      <a:avLst/>
                    </a:prstGeom>
                    <a:noFill/>
                    <a:ln>
                      <a:noFill/>
                    </a:ln>
                  </pic:spPr>
                </pic:pic>
              </a:graphicData>
            </a:graphic>
          </wp:inline>
        </w:drawing>
      </w:r>
    </w:p>
    <w:p w14:paraId="4BAEA533">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一般公共预算基本支出预算表（公开表3-1）</w:t>
      </w:r>
    </w:p>
    <w:p w14:paraId="133A967A">
      <w:pPr>
        <w:numPr>
          <w:ilvl w:val="0"/>
          <w:numId w:val="0"/>
        </w:numPr>
        <w:rPr>
          <w:rFonts w:hint="eastAsia" w:eastAsia="仿宋"/>
          <w:lang w:val="en-US" w:eastAsia="zh-CN"/>
        </w:rPr>
      </w:pPr>
      <w:r>
        <w:drawing>
          <wp:inline distT="0" distB="0" distL="114300" distR="114300">
            <wp:extent cx="5694045" cy="7226300"/>
            <wp:effectExtent l="0" t="0" r="1905" b="127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a:stretch>
                      <a:fillRect/>
                    </a:stretch>
                  </pic:blipFill>
                  <pic:spPr>
                    <a:xfrm>
                      <a:off x="0" y="0"/>
                      <a:ext cx="5694045" cy="7226300"/>
                    </a:xfrm>
                    <a:prstGeom prst="rect">
                      <a:avLst/>
                    </a:prstGeom>
                    <a:noFill/>
                    <a:ln>
                      <a:noFill/>
                    </a:ln>
                  </pic:spPr>
                </pic:pic>
              </a:graphicData>
            </a:graphic>
          </wp:inline>
        </w:drawing>
      </w:r>
    </w:p>
    <w:p w14:paraId="7649441C">
      <w:pPr>
        <w:numPr>
          <w:ilvl w:val="0"/>
          <w:numId w:val="0"/>
        </w:numPr>
        <w:ind w:leftChars="200"/>
        <w:rPr>
          <w:rFonts w:hint="default"/>
          <w:lang w:val="en-US" w:eastAsia="zh-CN"/>
        </w:rPr>
      </w:pPr>
    </w:p>
    <w:p w14:paraId="366D9727">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一般公共预算项目支出预算表（公开表3-2）</w:t>
      </w:r>
    </w:p>
    <w:p w14:paraId="55CC5F74">
      <w:pPr>
        <w:numPr>
          <w:ilvl w:val="0"/>
          <w:numId w:val="0"/>
        </w:numPr>
      </w:pPr>
      <w:r>
        <w:drawing>
          <wp:inline distT="0" distB="0" distL="114300" distR="114300">
            <wp:extent cx="5690235" cy="2004695"/>
            <wp:effectExtent l="0" t="0" r="5715" b="146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690235" cy="2004695"/>
                    </a:xfrm>
                    <a:prstGeom prst="rect">
                      <a:avLst/>
                    </a:prstGeom>
                    <a:noFill/>
                    <a:ln>
                      <a:noFill/>
                    </a:ln>
                  </pic:spPr>
                </pic:pic>
              </a:graphicData>
            </a:graphic>
          </wp:inline>
        </w:drawing>
      </w:r>
    </w:p>
    <w:p w14:paraId="077907FF">
      <w:pPr>
        <w:numPr>
          <w:ilvl w:val="0"/>
          <w:numId w:val="0"/>
        </w:numPr>
        <w:rPr>
          <w:rFonts w:hint="eastAsia"/>
          <w:lang w:val="en-US" w:eastAsia="zh-CN"/>
        </w:rPr>
      </w:pPr>
    </w:p>
    <w:p w14:paraId="402050DE">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一般公共预算“三公”经费支出预算表（公开表3-3）</w:t>
      </w:r>
    </w:p>
    <w:p w14:paraId="4C0CCC40">
      <w:pPr>
        <w:numPr>
          <w:ilvl w:val="0"/>
          <w:numId w:val="0"/>
        </w:numPr>
        <w:rPr>
          <w:rFonts w:hint="eastAsia" w:ascii="黑体" w:hAnsi="黑体" w:eastAsia="黑体" w:cs="黑体"/>
          <w:lang w:val="en-US" w:eastAsia="zh-CN"/>
        </w:rPr>
      </w:pPr>
      <w:r>
        <w:drawing>
          <wp:inline distT="0" distB="0" distL="114300" distR="114300">
            <wp:extent cx="5694680" cy="1470025"/>
            <wp:effectExtent l="0" t="0" r="1270" b="158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a:stretch>
                      <a:fillRect/>
                    </a:stretch>
                  </pic:blipFill>
                  <pic:spPr>
                    <a:xfrm>
                      <a:off x="0" y="0"/>
                      <a:ext cx="5694680" cy="1470025"/>
                    </a:xfrm>
                    <a:prstGeom prst="rect">
                      <a:avLst/>
                    </a:prstGeom>
                    <a:noFill/>
                    <a:ln>
                      <a:noFill/>
                    </a:ln>
                  </pic:spPr>
                </pic:pic>
              </a:graphicData>
            </a:graphic>
          </wp:inline>
        </w:drawing>
      </w:r>
    </w:p>
    <w:p w14:paraId="7ED43ADB">
      <w:pPr>
        <w:numPr>
          <w:ilvl w:val="0"/>
          <w:numId w:val="0"/>
        </w:numPr>
        <w:ind w:leftChars="200"/>
        <w:rPr>
          <w:rFonts w:hint="eastAsia" w:ascii="黑体" w:hAnsi="黑体" w:eastAsia="黑体" w:cs="黑体"/>
          <w:lang w:val="en-US" w:eastAsia="zh-CN"/>
        </w:rPr>
      </w:pPr>
    </w:p>
    <w:p w14:paraId="67F77346">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政府性基金预算支出表（公开表4）</w:t>
      </w:r>
    </w:p>
    <w:p w14:paraId="54BB55BF">
      <w:pPr>
        <w:numPr>
          <w:ilvl w:val="0"/>
          <w:numId w:val="0"/>
        </w:numPr>
      </w:pPr>
      <w:r>
        <w:drawing>
          <wp:inline distT="0" distB="0" distL="114300" distR="114300">
            <wp:extent cx="5692775" cy="1169670"/>
            <wp:effectExtent l="0" t="0" r="3175"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5692775" cy="1169670"/>
                    </a:xfrm>
                    <a:prstGeom prst="rect">
                      <a:avLst/>
                    </a:prstGeom>
                    <a:noFill/>
                    <a:ln>
                      <a:noFill/>
                    </a:ln>
                  </pic:spPr>
                </pic:pic>
              </a:graphicData>
            </a:graphic>
          </wp:inline>
        </w:drawing>
      </w:r>
    </w:p>
    <w:p w14:paraId="3DF661A9">
      <w:pPr>
        <w:numPr>
          <w:ilvl w:val="0"/>
          <w:numId w:val="0"/>
        </w:numPr>
      </w:pPr>
    </w:p>
    <w:p w14:paraId="10F8C025">
      <w:pPr>
        <w:numPr>
          <w:ilvl w:val="0"/>
          <w:numId w:val="0"/>
        </w:numPr>
      </w:pPr>
    </w:p>
    <w:p w14:paraId="70F14890">
      <w:pPr>
        <w:numPr>
          <w:ilvl w:val="0"/>
          <w:numId w:val="0"/>
        </w:numPr>
      </w:pPr>
    </w:p>
    <w:p w14:paraId="19A09A27">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政府性基金预算“三公”经费支出预算表（公开表4-1）</w:t>
      </w:r>
    </w:p>
    <w:p w14:paraId="4121FDF1">
      <w:pPr>
        <w:numPr>
          <w:ilvl w:val="0"/>
          <w:numId w:val="0"/>
        </w:numPr>
      </w:pPr>
      <w:r>
        <w:drawing>
          <wp:inline distT="0" distB="0" distL="114300" distR="114300">
            <wp:extent cx="5684520" cy="1137285"/>
            <wp:effectExtent l="0" t="0" r="1143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a:stretch>
                      <a:fillRect/>
                    </a:stretch>
                  </pic:blipFill>
                  <pic:spPr>
                    <a:xfrm>
                      <a:off x="0" y="0"/>
                      <a:ext cx="5684520" cy="1137285"/>
                    </a:xfrm>
                    <a:prstGeom prst="rect">
                      <a:avLst/>
                    </a:prstGeom>
                    <a:noFill/>
                    <a:ln>
                      <a:noFill/>
                    </a:ln>
                  </pic:spPr>
                </pic:pic>
              </a:graphicData>
            </a:graphic>
          </wp:inline>
        </w:drawing>
      </w:r>
    </w:p>
    <w:p w14:paraId="43A468EF">
      <w:pPr>
        <w:numPr>
          <w:ilvl w:val="0"/>
          <w:numId w:val="0"/>
        </w:numPr>
        <w:rPr>
          <w:rFonts w:hint="eastAsia" w:ascii="黑体" w:hAnsi="黑体" w:eastAsia="黑体" w:cs="黑体"/>
          <w:lang w:val="en-US" w:eastAsia="zh-CN"/>
        </w:rPr>
      </w:pPr>
    </w:p>
    <w:p w14:paraId="0B116D52">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国有资金经营预算支出预算表（公开表5）</w:t>
      </w:r>
    </w:p>
    <w:p w14:paraId="125C7BF0">
      <w:pPr>
        <w:numPr>
          <w:ilvl w:val="0"/>
          <w:numId w:val="0"/>
        </w:numPr>
      </w:pPr>
    </w:p>
    <w:p w14:paraId="20970934">
      <w:pPr>
        <w:numPr>
          <w:ilvl w:val="0"/>
          <w:numId w:val="0"/>
        </w:numPr>
      </w:pPr>
      <w:r>
        <w:drawing>
          <wp:inline distT="0" distB="0" distL="114300" distR="114300">
            <wp:extent cx="5688965" cy="1191260"/>
            <wp:effectExtent l="0" t="0" r="698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tretch>
                      <a:fillRect/>
                    </a:stretch>
                  </pic:blipFill>
                  <pic:spPr>
                    <a:xfrm>
                      <a:off x="0" y="0"/>
                      <a:ext cx="5688965" cy="1191260"/>
                    </a:xfrm>
                    <a:prstGeom prst="rect">
                      <a:avLst/>
                    </a:prstGeom>
                    <a:noFill/>
                    <a:ln>
                      <a:noFill/>
                    </a:ln>
                  </pic:spPr>
                </pic:pic>
              </a:graphicData>
            </a:graphic>
          </wp:inline>
        </w:drawing>
      </w:r>
    </w:p>
    <w:p w14:paraId="7ACA27AE">
      <w:pPr>
        <w:numPr>
          <w:ilvl w:val="0"/>
          <w:numId w:val="0"/>
        </w:numPr>
        <w:rPr>
          <w:rFonts w:hint="eastAsia"/>
          <w:lang w:val="en-US" w:eastAsia="zh-CN"/>
        </w:rPr>
      </w:pPr>
    </w:p>
    <w:p w14:paraId="70BD11A7">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部门预算项目支出绩效目标表（公开表6）</w:t>
      </w:r>
    </w:p>
    <w:p w14:paraId="4B64C305">
      <w:pPr>
        <w:numPr>
          <w:ilvl w:val="0"/>
          <w:numId w:val="0"/>
        </w:numPr>
      </w:pPr>
      <w:r>
        <w:drawing>
          <wp:inline distT="0" distB="0" distL="114300" distR="114300">
            <wp:extent cx="6248400" cy="2359025"/>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9"/>
                    <a:stretch>
                      <a:fillRect/>
                    </a:stretch>
                  </pic:blipFill>
                  <pic:spPr>
                    <a:xfrm>
                      <a:off x="0" y="0"/>
                      <a:ext cx="6248400" cy="2359025"/>
                    </a:xfrm>
                    <a:prstGeom prst="rect">
                      <a:avLst/>
                    </a:prstGeom>
                    <a:noFill/>
                    <a:ln>
                      <a:noFill/>
                    </a:ln>
                  </pic:spPr>
                </pic:pic>
              </a:graphicData>
            </a:graphic>
          </wp:inline>
        </w:drawing>
      </w:r>
    </w:p>
    <w:p w14:paraId="1C18AC16">
      <w:pPr>
        <w:numPr>
          <w:ilvl w:val="0"/>
          <w:numId w:val="0"/>
        </w:numPr>
      </w:pPr>
    </w:p>
    <w:p w14:paraId="49CA3B79">
      <w:pPr>
        <w:numPr>
          <w:ilvl w:val="0"/>
          <w:numId w:val="0"/>
        </w:numPr>
      </w:pPr>
    </w:p>
    <w:p w14:paraId="65E6C2A5">
      <w:pPr>
        <w:numPr>
          <w:ilvl w:val="0"/>
          <w:numId w:val="3"/>
        </w:numPr>
        <w:ind w:left="0" w:leftChars="0" w:firstLine="640" w:firstLineChars="200"/>
        <w:rPr>
          <w:rFonts w:hint="eastAsia" w:ascii="黑体" w:hAnsi="黑体" w:eastAsia="黑体" w:cs="黑体"/>
          <w:lang w:val="en-US" w:eastAsia="zh-CN"/>
        </w:rPr>
      </w:pPr>
      <w:r>
        <w:rPr>
          <w:rFonts w:hint="eastAsia" w:ascii="黑体" w:hAnsi="黑体" w:eastAsia="黑体" w:cs="黑体"/>
          <w:lang w:val="en-US" w:eastAsia="zh-CN"/>
        </w:rPr>
        <w:t>部门整体支出绩效目标表（公开表7）</w:t>
      </w:r>
    </w:p>
    <w:p w14:paraId="49F6C41C">
      <w:pPr>
        <w:numPr>
          <w:ilvl w:val="0"/>
          <w:numId w:val="0"/>
        </w:numPr>
      </w:pPr>
      <w:r>
        <w:drawing>
          <wp:inline distT="0" distB="0" distL="114300" distR="114300">
            <wp:extent cx="5694680" cy="3876675"/>
            <wp:effectExtent l="0" t="0" r="127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
                    <a:stretch>
                      <a:fillRect/>
                    </a:stretch>
                  </pic:blipFill>
                  <pic:spPr>
                    <a:xfrm>
                      <a:off x="0" y="0"/>
                      <a:ext cx="5694680" cy="3876675"/>
                    </a:xfrm>
                    <a:prstGeom prst="rect">
                      <a:avLst/>
                    </a:prstGeom>
                    <a:noFill/>
                    <a:ln>
                      <a:noFill/>
                    </a:ln>
                  </pic:spPr>
                </pic:pic>
              </a:graphicData>
            </a:graphic>
          </wp:inline>
        </w:drawing>
      </w:r>
    </w:p>
    <w:p w14:paraId="5B8FFE22">
      <w:pPr>
        <w:numPr>
          <w:ilvl w:val="0"/>
          <w:numId w:val="0"/>
        </w:numPr>
      </w:pPr>
    </w:p>
    <w:p w14:paraId="79F1187C">
      <w:pPr>
        <w:numPr>
          <w:ilvl w:val="0"/>
          <w:numId w:val="0"/>
        </w:numPr>
        <w:ind w:firstLine="640" w:firstLineChars="200"/>
        <w:rPr>
          <w:rFonts w:hint="eastAsia" w:ascii="黑体" w:hAnsi="黑体" w:eastAsia="黑体" w:cs="黑体"/>
          <w:lang w:val="en-US" w:eastAsia="zh-CN"/>
        </w:rPr>
      </w:pPr>
      <w:r>
        <w:rPr>
          <w:rFonts w:hint="eastAsia" w:ascii="黑体" w:hAnsi="黑体" w:eastAsia="黑体" w:cs="黑体"/>
          <w:lang w:val="en-US" w:eastAsia="zh-CN"/>
        </w:rPr>
        <w:t>十五、政府采购预算表（公开表8）</w:t>
      </w:r>
    </w:p>
    <w:p w14:paraId="4791756A">
      <w:pPr>
        <w:numPr>
          <w:ilvl w:val="0"/>
          <w:numId w:val="0"/>
        </w:numPr>
      </w:pPr>
    </w:p>
    <w:p w14:paraId="0AED9FA0">
      <w:pPr>
        <w:numPr>
          <w:ilvl w:val="0"/>
          <w:numId w:val="0"/>
        </w:numPr>
      </w:pPr>
      <w:r>
        <w:drawing>
          <wp:inline distT="0" distB="0" distL="114300" distR="114300">
            <wp:extent cx="5687695" cy="982980"/>
            <wp:effectExtent l="0" t="0" r="8255"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1"/>
                    <a:stretch>
                      <a:fillRect/>
                    </a:stretch>
                  </pic:blipFill>
                  <pic:spPr>
                    <a:xfrm>
                      <a:off x="0" y="0"/>
                      <a:ext cx="5687695" cy="982980"/>
                    </a:xfrm>
                    <a:prstGeom prst="rect">
                      <a:avLst/>
                    </a:prstGeom>
                    <a:noFill/>
                    <a:ln>
                      <a:noFill/>
                    </a:ln>
                  </pic:spPr>
                </pic:pic>
              </a:graphicData>
            </a:graphic>
          </wp:inline>
        </w:drawing>
      </w:r>
    </w:p>
    <w:p w14:paraId="310A3F65">
      <w:pPr>
        <w:numPr>
          <w:ilvl w:val="0"/>
          <w:numId w:val="0"/>
        </w:numPr>
      </w:pPr>
    </w:p>
    <w:p w14:paraId="6FFD7FFC">
      <w:pPr>
        <w:numPr>
          <w:ilvl w:val="0"/>
          <w:numId w:val="0"/>
        </w:numPr>
      </w:pPr>
    </w:p>
    <w:p w14:paraId="6D5698B1">
      <w:pPr>
        <w:numPr>
          <w:ilvl w:val="0"/>
          <w:numId w:val="0"/>
        </w:numPr>
      </w:pPr>
    </w:p>
    <w:p w14:paraId="7F697579">
      <w:pPr>
        <w:numPr>
          <w:ilvl w:val="0"/>
          <w:numId w:val="0"/>
        </w:numPr>
      </w:pPr>
    </w:p>
    <w:p w14:paraId="35EC0388">
      <w:pPr>
        <w:numPr>
          <w:ilvl w:val="0"/>
          <w:numId w:val="0"/>
        </w:numPr>
      </w:pPr>
    </w:p>
    <w:p w14:paraId="717B853E">
      <w:pPr>
        <w:numPr>
          <w:ilvl w:val="0"/>
          <w:numId w:val="0"/>
        </w:numPr>
      </w:pPr>
    </w:p>
    <w:p w14:paraId="727E9FF7">
      <w:pPr>
        <w:numPr>
          <w:ilvl w:val="0"/>
          <w:numId w:val="0"/>
        </w:numPr>
        <w:rPr>
          <w:rFonts w:hint="eastAsia"/>
          <w:lang w:val="en-US" w:eastAsia="zh-CN"/>
        </w:rPr>
      </w:pPr>
    </w:p>
    <w:p w14:paraId="0093307E">
      <w:pPr>
        <w:pStyle w:val="2"/>
        <w:numPr>
          <w:ilvl w:val="0"/>
          <w:numId w:val="0"/>
        </w:numPr>
        <w:bidi w:val="0"/>
        <w:jc w:val="center"/>
        <w:rPr>
          <w:rFonts w:hint="eastAsia" w:ascii="方正小标宋简体" w:hAnsi="方正小标宋简体" w:eastAsia="方正小标宋简体" w:cs="方正小标宋简体"/>
          <w:b w:val="0"/>
          <w:bCs/>
          <w:sz w:val="52"/>
          <w:szCs w:val="52"/>
          <w:lang w:val="en-US" w:eastAsia="zh-CN"/>
        </w:rPr>
      </w:pPr>
      <w:r>
        <w:rPr>
          <w:rFonts w:hint="eastAsia" w:ascii="方正小标宋简体" w:hAnsi="方正小标宋简体" w:eastAsia="方正小标宋简体" w:cs="方正小标宋简体"/>
          <w:b w:val="0"/>
          <w:bCs/>
          <w:lang w:val="en-US" w:eastAsia="zh-CN"/>
        </w:rPr>
        <w:t>第三部分  峨边彝族自治县供销合作社联合社</w:t>
      </w:r>
      <w:r>
        <w:rPr>
          <w:rFonts w:hint="eastAsia" w:ascii="方正小标宋简体" w:hAnsi="方正小标宋简体" w:eastAsia="方正小标宋简体" w:cs="方正小标宋简体"/>
          <w:b w:val="0"/>
          <w:bCs/>
          <w:sz w:val="52"/>
          <w:szCs w:val="52"/>
          <w:lang w:val="en-US" w:eastAsia="zh-CN"/>
        </w:rPr>
        <w:t>2025年部门预算情况说明</w:t>
      </w:r>
    </w:p>
    <w:p w14:paraId="43EAD269">
      <w:pPr>
        <w:numPr>
          <w:ilvl w:val="0"/>
          <w:numId w:val="0"/>
        </w:numPr>
        <w:jc w:val="center"/>
        <w:rPr>
          <w:rFonts w:hint="default"/>
          <w:b/>
          <w:bCs/>
          <w:sz w:val="52"/>
          <w:szCs w:val="52"/>
          <w:lang w:val="en-US" w:eastAsia="zh-CN"/>
        </w:rPr>
      </w:pPr>
    </w:p>
    <w:p w14:paraId="2A242646">
      <w:pPr>
        <w:numPr>
          <w:ilvl w:val="0"/>
          <w:numId w:val="0"/>
        </w:numPr>
        <w:spacing w:line="600" w:lineRule="exact"/>
        <w:rPr>
          <w:rFonts w:hint="eastAsia" w:ascii="仿宋" w:hAnsi="仿宋" w:eastAsia="仿宋" w:cs="Times New Roman"/>
          <w:sz w:val="32"/>
          <w:szCs w:val="32"/>
          <w:lang w:val="en-US" w:eastAsia="zh-CN"/>
        </w:rPr>
      </w:pPr>
    </w:p>
    <w:p w14:paraId="5E15AC23">
      <w:pPr>
        <w:numPr>
          <w:ilvl w:val="0"/>
          <w:numId w:val="0"/>
        </w:numPr>
        <w:spacing w:line="600" w:lineRule="exact"/>
        <w:rPr>
          <w:rFonts w:hint="eastAsia" w:ascii="仿宋" w:hAnsi="仿宋" w:eastAsia="仿宋" w:cs="Times New Roman"/>
          <w:sz w:val="32"/>
          <w:szCs w:val="32"/>
          <w:lang w:val="en-US" w:eastAsia="zh-CN"/>
        </w:rPr>
      </w:pPr>
    </w:p>
    <w:p w14:paraId="02E40C5C">
      <w:pPr>
        <w:numPr>
          <w:ilvl w:val="0"/>
          <w:numId w:val="0"/>
        </w:numPr>
        <w:spacing w:line="600" w:lineRule="exact"/>
        <w:rPr>
          <w:rFonts w:hint="eastAsia" w:ascii="仿宋" w:hAnsi="仿宋" w:eastAsia="仿宋" w:cs="Times New Roman"/>
          <w:sz w:val="32"/>
          <w:szCs w:val="32"/>
          <w:lang w:val="en-US" w:eastAsia="zh-CN"/>
        </w:rPr>
      </w:pPr>
    </w:p>
    <w:p w14:paraId="42CD222D">
      <w:pPr>
        <w:numPr>
          <w:ilvl w:val="0"/>
          <w:numId w:val="0"/>
        </w:numPr>
        <w:spacing w:line="600" w:lineRule="exact"/>
        <w:rPr>
          <w:rFonts w:hint="eastAsia" w:ascii="仿宋" w:hAnsi="仿宋" w:eastAsia="仿宋" w:cs="Times New Roman"/>
          <w:sz w:val="32"/>
          <w:szCs w:val="32"/>
          <w:lang w:val="en-US" w:eastAsia="zh-CN"/>
        </w:rPr>
      </w:pPr>
    </w:p>
    <w:p w14:paraId="5819547B">
      <w:pPr>
        <w:numPr>
          <w:ilvl w:val="0"/>
          <w:numId w:val="0"/>
        </w:numPr>
        <w:spacing w:line="600" w:lineRule="exact"/>
        <w:rPr>
          <w:rFonts w:hint="eastAsia" w:ascii="仿宋" w:hAnsi="仿宋" w:eastAsia="仿宋" w:cs="Times New Roman"/>
          <w:sz w:val="32"/>
          <w:szCs w:val="32"/>
          <w:lang w:val="en-US" w:eastAsia="zh-CN"/>
        </w:rPr>
      </w:pPr>
    </w:p>
    <w:p w14:paraId="40245A37">
      <w:pPr>
        <w:numPr>
          <w:ilvl w:val="0"/>
          <w:numId w:val="0"/>
        </w:numPr>
        <w:spacing w:line="600" w:lineRule="exact"/>
        <w:rPr>
          <w:rFonts w:hint="eastAsia" w:ascii="仿宋" w:hAnsi="仿宋" w:eastAsia="仿宋" w:cs="Times New Roman"/>
          <w:sz w:val="32"/>
          <w:szCs w:val="32"/>
          <w:lang w:val="en-US" w:eastAsia="zh-CN"/>
        </w:rPr>
      </w:pPr>
    </w:p>
    <w:p w14:paraId="6FBB8E92">
      <w:pPr>
        <w:pStyle w:val="4"/>
        <w:bidi w:val="0"/>
        <w:ind w:left="0" w:leftChars="0" w:firstLine="0" w:firstLineChars="0"/>
        <w:rPr>
          <w:rFonts w:hint="eastAsia" w:ascii="黑体" w:hAnsi="黑体" w:eastAsia="黑体" w:cs="黑体"/>
          <w:b w:val="0"/>
          <w:bCs/>
          <w:lang w:val="en-US" w:eastAsia="zh-CN"/>
        </w:rPr>
      </w:pPr>
      <w:r>
        <w:rPr>
          <w:rFonts w:hint="eastAsia" w:ascii="黑体" w:hAnsi="黑体" w:eastAsia="黑体" w:cs="黑体"/>
          <w:b w:val="0"/>
          <w:bCs/>
          <w:lang w:val="en-US" w:eastAsia="zh-CN"/>
        </w:rPr>
        <w:t>一、收支预算情况说明</w:t>
      </w:r>
    </w:p>
    <w:p w14:paraId="664A8201">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按照综合预算的原则，</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峨边彝族自治县供销社</w:t>
      </w:r>
      <w:r>
        <w:rPr>
          <w:rFonts w:hint="eastAsia" w:ascii="Times New Roman" w:hAnsi="Times New Roman" w:eastAsia="仿宋_GB2312" w:cs="仿宋_GB2312"/>
          <w:sz w:val="32"/>
          <w:szCs w:val="32"/>
          <w:lang w:val="en-US" w:eastAsia="zh-CN"/>
        </w:rPr>
        <w:t>所有收入和支出均纳入部门预算管理。收入包括：一般公共预算拨款收入。支出包括：社会保障和就业支出、卫生健康支出、商业服务业等支出、住房保障支出。</w:t>
      </w:r>
    </w:p>
    <w:p w14:paraId="15BCF69F">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lang w:val="en-US" w:eastAsia="zh-CN"/>
        </w:rPr>
        <w:t>5</w:t>
      </w:r>
      <w:r>
        <w:rPr>
          <w:rFonts w:hint="eastAsia" w:ascii="Times New Roman" w:hAnsi="Times New Roman" w:eastAsia="仿宋_GB2312" w:cs="仿宋_GB2312"/>
          <w:kern w:val="0"/>
          <w:sz w:val="32"/>
          <w:szCs w:val="32"/>
        </w:rPr>
        <w:t>年收支总预算</w:t>
      </w:r>
      <w:r>
        <w:rPr>
          <w:rFonts w:hint="eastAsia" w:ascii="Times New Roman" w:hAnsi="Times New Roman" w:eastAsia="仿宋_GB2312" w:cs="仿宋_GB2312"/>
          <w:kern w:val="0"/>
          <w:sz w:val="32"/>
          <w:szCs w:val="32"/>
          <w:lang w:val="en-US" w:eastAsia="zh-CN"/>
        </w:rPr>
        <w:t>160.08</w:t>
      </w:r>
      <w:r>
        <w:rPr>
          <w:rFonts w:hint="eastAsia" w:ascii="Times New Roman" w:hAnsi="Times New Roman" w:eastAsia="仿宋_GB2312" w:cs="仿宋_GB2312"/>
          <w:kern w:val="0"/>
          <w:sz w:val="32"/>
          <w:szCs w:val="32"/>
        </w:rPr>
        <w:t>万元，比</w:t>
      </w:r>
      <w:r>
        <w:rPr>
          <w:rFonts w:hint="eastAsia" w:ascii="Times New Roman" w:hAnsi="Times New Roman" w:eastAsia="仿宋_GB2312" w:cs="仿宋_GB2312"/>
          <w:kern w:val="0"/>
          <w:sz w:val="32"/>
          <w:szCs w:val="32"/>
          <w:lang w:eastAsia="zh-CN"/>
        </w:rPr>
        <w:t>2024</w:t>
      </w:r>
      <w:r>
        <w:rPr>
          <w:rFonts w:hint="eastAsia" w:ascii="Times New Roman" w:hAnsi="Times New Roman" w:eastAsia="仿宋_GB2312" w:cs="仿宋_GB2312"/>
          <w:kern w:val="0"/>
          <w:sz w:val="32"/>
          <w:szCs w:val="32"/>
        </w:rPr>
        <w:t>年收支预算总</w:t>
      </w:r>
      <w:r>
        <w:rPr>
          <w:rFonts w:hint="eastAsia" w:ascii="Times New Roman" w:hAnsi="Times New Roman" w:eastAsia="仿宋_GB2312" w:cs="仿宋_GB2312"/>
          <w:color w:val="000000" w:themeColor="text1"/>
          <w:kern w:val="0"/>
          <w:sz w:val="32"/>
          <w:szCs w:val="32"/>
          <w14:textFill>
            <w14:solidFill>
              <w14:schemeClr w14:val="tx1"/>
            </w14:solidFill>
          </w14:textFill>
        </w:rPr>
        <w:t>数减少</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5891.56</w:t>
      </w:r>
      <w:r>
        <w:rPr>
          <w:rFonts w:hint="eastAsia" w:ascii="Times New Roman" w:hAnsi="Times New Roman" w:eastAsia="仿宋_GB2312" w:cs="仿宋_GB2312"/>
          <w:color w:val="000000" w:themeColor="text1"/>
          <w:kern w:val="0"/>
          <w:sz w:val="32"/>
          <w:szCs w:val="32"/>
          <w14:textFill>
            <w14:solidFill>
              <w14:schemeClr w14:val="tx1"/>
            </w14:solidFill>
          </w14:textFill>
        </w:rPr>
        <w:t>万元，主要</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原因是</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机构改革，相关职能划转，国有企业和机关事务相关经费2025年</w:t>
      </w:r>
      <w:bookmarkStart w:id="0" w:name="_GoBack"/>
      <w:bookmarkEnd w:id="0"/>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不在本单位预算</w:t>
      </w:r>
      <w:r>
        <w:rPr>
          <w:rFonts w:hint="eastAsia" w:ascii="Times New Roman" w:hAnsi="Times New Roman" w:eastAsia="仿宋_GB2312" w:cs="仿宋_GB2312"/>
          <w:color w:val="000000" w:themeColor="text1"/>
          <w:kern w:val="0"/>
          <w:sz w:val="32"/>
          <w:szCs w:val="32"/>
          <w14:textFill>
            <w14:solidFill>
              <w14:schemeClr w14:val="tx1"/>
            </w14:solidFill>
          </w14:textFill>
        </w:rPr>
        <w:t>。</w:t>
      </w:r>
    </w:p>
    <w:p w14:paraId="68B47375">
      <w:pPr>
        <w:suppressAutoHyphens/>
        <w:spacing w:line="580" w:lineRule="exact"/>
        <w:ind w:firstLine="640" w:firstLineChars="200"/>
        <w:jc w:val="both"/>
        <w:outlineLvl w:val="2"/>
        <w:rPr>
          <w:rFonts w:hint="eastAsia" w:ascii="Times New Roman" w:hAnsi="Times New Roman" w:eastAsia="楷体_GB2312" w:cs="Times New Roman"/>
          <w:b w:val="0"/>
          <w:bCs/>
          <w:color w:val="000000" w:themeColor="text1"/>
          <w:sz w:val="32"/>
          <w:szCs w:val="32"/>
          <w14:textFill>
            <w14:solidFill>
              <w14:schemeClr w14:val="tx1"/>
            </w14:solidFill>
          </w14:textFill>
        </w:rPr>
      </w:pPr>
      <w:r>
        <w:rPr>
          <w:rFonts w:hint="eastAsia" w:ascii="Times New Roman" w:hAnsi="Times New Roman" w:eastAsia="楷体_GB2312" w:cs="Times New Roman"/>
          <w:b w:val="0"/>
          <w:bCs/>
          <w:color w:val="000000" w:themeColor="text1"/>
          <w:sz w:val="32"/>
          <w:szCs w:val="32"/>
          <w14:textFill>
            <w14:solidFill>
              <w14:schemeClr w14:val="tx1"/>
            </w14:solidFill>
          </w14:textFill>
        </w:rPr>
        <w:t>（一）收入预算情况</w:t>
      </w:r>
    </w:p>
    <w:p w14:paraId="47A793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2025</w:t>
      </w:r>
      <w:r>
        <w:rPr>
          <w:rFonts w:hint="eastAsia" w:ascii="Times New Roman" w:hAnsi="Times New Roman" w:eastAsia="仿宋_GB2312" w:cs="仿宋_GB2312"/>
          <w:color w:val="000000" w:themeColor="text1"/>
          <w:kern w:val="0"/>
          <w:sz w:val="32"/>
          <w:szCs w:val="32"/>
          <w14:textFill>
            <w14:solidFill>
              <w14:schemeClr w14:val="tx1"/>
            </w14:solidFill>
          </w14:textFill>
        </w:rPr>
        <w:t>年收入预算</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160.08</w:t>
      </w:r>
      <w:r>
        <w:rPr>
          <w:rFonts w:hint="eastAsia" w:ascii="Times New Roman" w:hAnsi="Times New Roman" w:eastAsia="仿宋_GB2312" w:cs="仿宋_GB2312"/>
          <w:color w:val="000000" w:themeColor="text1"/>
          <w:kern w:val="0"/>
          <w:sz w:val="32"/>
          <w:szCs w:val="32"/>
          <w14:textFill>
            <w14:solidFill>
              <w14:schemeClr w14:val="tx1"/>
            </w14:solidFill>
          </w14:textFill>
        </w:rPr>
        <w:t>万元，其中：上年结转</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0</w:t>
      </w:r>
      <w:r>
        <w:rPr>
          <w:rFonts w:hint="eastAsia" w:ascii="Times New Roman" w:hAnsi="Times New Roman" w:eastAsia="仿宋_GB2312" w:cs="仿宋_GB2312"/>
          <w:color w:val="000000" w:themeColor="text1"/>
          <w:kern w:val="0"/>
          <w:sz w:val="32"/>
          <w:szCs w:val="32"/>
          <w14:textFill>
            <w14:solidFill>
              <w14:schemeClr w14:val="tx1"/>
            </w14:solidFill>
          </w14:textFill>
        </w:rPr>
        <w:t>万元，占</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0</w:t>
      </w:r>
      <w:r>
        <w:rPr>
          <w:rFonts w:hint="eastAsia" w:ascii="Times New Roman" w:hAnsi="Times New Roman" w:eastAsia="仿宋_GB2312" w:cs="仿宋_GB2312"/>
          <w:color w:val="000000" w:themeColor="text1"/>
          <w:kern w:val="0"/>
          <w:sz w:val="32"/>
          <w:szCs w:val="32"/>
          <w14:textFill>
            <w14:solidFill>
              <w14:schemeClr w14:val="tx1"/>
            </w14:solidFill>
          </w14:textFill>
        </w:rPr>
        <w:t>%；一</w:t>
      </w:r>
      <w:r>
        <w:rPr>
          <w:rFonts w:hint="eastAsia" w:ascii="Times New Roman" w:hAnsi="Times New Roman" w:eastAsia="仿宋_GB2312" w:cs="仿宋_GB2312"/>
          <w:kern w:val="0"/>
          <w:sz w:val="32"/>
          <w:szCs w:val="32"/>
        </w:rPr>
        <w:t>般公共预算拨款收入</w:t>
      </w:r>
      <w:r>
        <w:rPr>
          <w:rFonts w:hint="eastAsia" w:ascii="Times New Roman" w:hAnsi="Times New Roman" w:eastAsia="仿宋_GB2312" w:cs="仿宋_GB2312"/>
          <w:kern w:val="0"/>
          <w:sz w:val="32"/>
          <w:szCs w:val="32"/>
          <w:lang w:val="en-US" w:eastAsia="zh-CN"/>
        </w:rPr>
        <w:t>160.08</w:t>
      </w:r>
      <w:r>
        <w:rPr>
          <w:rFonts w:hint="eastAsia" w:ascii="Times New Roman" w:hAnsi="Times New Roman" w:eastAsia="仿宋_GB2312" w:cs="仿宋_GB2312"/>
          <w:kern w:val="0"/>
          <w:sz w:val="32"/>
          <w:szCs w:val="32"/>
        </w:rPr>
        <w:t>万元，占</w:t>
      </w:r>
      <w:r>
        <w:rPr>
          <w:rFonts w:hint="eastAsia" w:ascii="Times New Roman" w:hAnsi="Times New Roman" w:eastAsia="仿宋_GB2312" w:cs="仿宋_GB2312"/>
          <w:kern w:val="0"/>
          <w:sz w:val="32"/>
          <w:szCs w:val="32"/>
          <w:lang w:val="en-US" w:eastAsia="zh-CN"/>
        </w:rPr>
        <w:t>100</w:t>
      </w:r>
      <w:r>
        <w:rPr>
          <w:rFonts w:hint="eastAsia" w:ascii="Times New Roman" w:hAnsi="Times New Roman" w:eastAsia="仿宋_GB2312" w:cs="仿宋_GB2312"/>
          <w:kern w:val="0"/>
          <w:sz w:val="32"/>
          <w:szCs w:val="32"/>
        </w:rPr>
        <w:t>%；政府性基金预算拨款收入</w:t>
      </w:r>
      <w:r>
        <w:rPr>
          <w:rFonts w:hint="eastAsia" w:ascii="Times New Roman" w:hAnsi="Times New Roman" w:eastAsia="仿宋_GB2312" w:cs="仿宋_GB2312"/>
          <w:kern w:val="0"/>
          <w:sz w:val="32"/>
          <w:szCs w:val="32"/>
          <w:lang w:val="en-US" w:eastAsia="zh-CN"/>
        </w:rPr>
        <w:t>0</w:t>
      </w:r>
      <w:r>
        <w:rPr>
          <w:rFonts w:hint="eastAsia" w:ascii="Times New Roman" w:hAnsi="Times New Roman" w:eastAsia="仿宋_GB2312" w:cs="仿宋_GB2312"/>
          <w:kern w:val="0"/>
          <w:sz w:val="32"/>
          <w:szCs w:val="32"/>
        </w:rPr>
        <w:t>万元，占</w:t>
      </w:r>
      <w:r>
        <w:rPr>
          <w:rFonts w:hint="eastAsia" w:ascii="Times New Roman" w:hAnsi="Times New Roman" w:eastAsia="仿宋_GB2312" w:cs="仿宋_GB2312"/>
          <w:kern w:val="0"/>
          <w:sz w:val="32"/>
          <w:szCs w:val="32"/>
          <w:lang w:val="en-US" w:eastAsia="zh-CN"/>
        </w:rPr>
        <w:t>0</w:t>
      </w:r>
      <w:r>
        <w:rPr>
          <w:rFonts w:hint="eastAsia" w:ascii="Times New Roman" w:hAnsi="Times New Roman" w:eastAsia="仿宋_GB2312" w:cs="仿宋_GB2312"/>
          <w:kern w:val="0"/>
          <w:sz w:val="32"/>
          <w:szCs w:val="32"/>
        </w:rPr>
        <w:t>%；事业收入</w:t>
      </w:r>
      <w:r>
        <w:rPr>
          <w:rFonts w:hint="eastAsia" w:ascii="Times New Roman" w:hAnsi="Times New Roman" w:eastAsia="仿宋_GB2312" w:cs="仿宋_GB2312"/>
          <w:kern w:val="0"/>
          <w:sz w:val="32"/>
          <w:szCs w:val="32"/>
          <w:lang w:val="en-US" w:eastAsia="zh-CN"/>
        </w:rPr>
        <w:t>0</w:t>
      </w:r>
      <w:r>
        <w:rPr>
          <w:rFonts w:hint="eastAsia" w:ascii="Times New Roman" w:hAnsi="Times New Roman" w:eastAsia="仿宋_GB2312" w:cs="仿宋_GB2312"/>
          <w:kern w:val="0"/>
          <w:sz w:val="32"/>
          <w:szCs w:val="32"/>
        </w:rPr>
        <w:t>万元，占</w:t>
      </w:r>
      <w:r>
        <w:rPr>
          <w:rFonts w:hint="eastAsia" w:ascii="Times New Roman" w:hAnsi="Times New Roman" w:eastAsia="仿宋_GB2312" w:cs="仿宋_GB2312"/>
          <w:kern w:val="0"/>
          <w:sz w:val="32"/>
          <w:szCs w:val="32"/>
          <w:lang w:val="en-US" w:eastAsia="zh-CN"/>
        </w:rPr>
        <w:t>0</w:t>
      </w:r>
      <w:r>
        <w:rPr>
          <w:rFonts w:hint="eastAsia" w:ascii="Times New Roman" w:hAnsi="Times New Roman" w:eastAsia="仿宋_GB2312" w:cs="仿宋_GB2312"/>
          <w:kern w:val="0"/>
          <w:sz w:val="32"/>
          <w:szCs w:val="32"/>
        </w:rPr>
        <w:t>%。</w:t>
      </w:r>
    </w:p>
    <w:p w14:paraId="2E6BDEE3">
      <w:pPr>
        <w:suppressAutoHyphens/>
        <w:spacing w:line="580" w:lineRule="exact"/>
        <w:ind w:firstLine="640" w:firstLineChars="200"/>
        <w:jc w:val="both"/>
        <w:outlineLvl w:val="2"/>
        <w:rPr>
          <w:rFonts w:hint="default" w:ascii="Times New Roman" w:hAnsi="Times New Roman" w:eastAsia="楷体_GB2312" w:cs="Times New Roman"/>
          <w:b w:val="0"/>
          <w:bCs/>
          <w:sz w:val="32"/>
          <w:szCs w:val="32"/>
          <w:lang w:val="en-US" w:eastAsia="zh-CN"/>
        </w:rPr>
      </w:pPr>
      <w:r>
        <w:rPr>
          <w:rFonts w:hint="eastAsia" w:ascii="Times New Roman" w:hAnsi="Times New Roman" w:eastAsia="楷体_GB2312" w:cs="Times New Roman"/>
          <w:b w:val="0"/>
          <w:bCs/>
          <w:sz w:val="32"/>
          <w:szCs w:val="32"/>
        </w:rPr>
        <w:t>（二）支出预算情况</w:t>
      </w:r>
    </w:p>
    <w:p w14:paraId="35441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kern w:val="0"/>
          <w:sz w:val="32"/>
          <w:szCs w:val="32"/>
          <w:lang w:eastAsia="zh-CN"/>
        </w:rPr>
        <w:t>2025</w:t>
      </w:r>
      <w:r>
        <w:rPr>
          <w:rFonts w:hint="eastAsia" w:ascii="Times New Roman" w:hAnsi="Times New Roman" w:eastAsia="仿宋_GB2312" w:cs="仿宋_GB2312"/>
          <w:kern w:val="0"/>
          <w:sz w:val="32"/>
          <w:szCs w:val="32"/>
        </w:rPr>
        <w:t>年支出预算</w:t>
      </w:r>
      <w:r>
        <w:rPr>
          <w:rFonts w:hint="eastAsia" w:ascii="Times New Roman" w:hAnsi="Times New Roman" w:eastAsia="仿宋_GB2312" w:cs="仿宋_GB2312"/>
          <w:kern w:val="0"/>
          <w:sz w:val="32"/>
          <w:szCs w:val="32"/>
          <w:lang w:val="en-US" w:eastAsia="zh-CN"/>
        </w:rPr>
        <w:t>160.08</w:t>
      </w:r>
      <w:r>
        <w:rPr>
          <w:rFonts w:hint="eastAsia" w:ascii="Times New Roman" w:hAnsi="Times New Roman" w:eastAsia="仿宋_GB2312" w:cs="仿宋_GB2312"/>
          <w:kern w:val="0"/>
          <w:sz w:val="32"/>
          <w:szCs w:val="32"/>
        </w:rPr>
        <w:t>万元，其中：基本支出</w:t>
      </w:r>
      <w:r>
        <w:rPr>
          <w:rFonts w:hint="eastAsia" w:ascii="Times New Roman" w:hAnsi="Times New Roman" w:eastAsia="仿宋_GB2312" w:cs="仿宋_GB2312"/>
          <w:kern w:val="0"/>
          <w:sz w:val="32"/>
          <w:szCs w:val="32"/>
          <w:lang w:val="en-US" w:eastAsia="zh-CN"/>
        </w:rPr>
        <w:t>154.08</w:t>
      </w:r>
      <w:r>
        <w:rPr>
          <w:rFonts w:hint="eastAsia" w:ascii="Times New Roman" w:hAnsi="Times New Roman" w:eastAsia="仿宋_GB2312" w:cs="仿宋_GB2312"/>
          <w:kern w:val="0"/>
          <w:sz w:val="32"/>
          <w:szCs w:val="32"/>
        </w:rPr>
        <w:t>，占</w:t>
      </w:r>
      <w:r>
        <w:rPr>
          <w:rFonts w:hint="eastAsia" w:ascii="Times New Roman" w:hAnsi="Times New Roman" w:eastAsia="仿宋_GB2312" w:cs="仿宋_GB2312"/>
          <w:kern w:val="0"/>
          <w:sz w:val="32"/>
          <w:szCs w:val="32"/>
          <w:lang w:val="en-US" w:eastAsia="zh-CN"/>
        </w:rPr>
        <w:t>96</w:t>
      </w:r>
      <w:r>
        <w:rPr>
          <w:rFonts w:hint="eastAsia" w:ascii="Times New Roman" w:hAnsi="Times New Roman" w:eastAsia="仿宋_GB2312" w:cs="仿宋_GB2312"/>
          <w:kern w:val="0"/>
          <w:sz w:val="32"/>
          <w:szCs w:val="32"/>
        </w:rPr>
        <w:t>%；项目支出</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万元，占</w:t>
      </w:r>
      <w:r>
        <w:rPr>
          <w:rFonts w:hint="eastAsia" w:ascii="Times New Roman" w:hAnsi="Times New Roman" w:eastAsia="仿宋_GB2312" w:cs="仿宋_GB2312"/>
          <w:kern w:val="0"/>
          <w:sz w:val="32"/>
          <w:szCs w:val="32"/>
          <w:lang w:val="en-US" w:eastAsia="zh-CN"/>
        </w:rPr>
        <w:t>4</w:t>
      </w:r>
      <w:r>
        <w:rPr>
          <w:rFonts w:hint="eastAsia" w:ascii="Times New Roman" w:hAnsi="Times New Roman" w:eastAsia="仿宋_GB2312" w:cs="仿宋_GB2312"/>
          <w:kern w:val="0"/>
          <w:sz w:val="32"/>
          <w:szCs w:val="32"/>
        </w:rPr>
        <w:t>%。</w:t>
      </w:r>
    </w:p>
    <w:p w14:paraId="4CBED4DA">
      <w:pPr>
        <w:pStyle w:val="4"/>
        <w:bidi w:val="0"/>
        <w:rPr>
          <w:rFonts w:hint="eastAsia" w:ascii="黑体" w:hAnsi="黑体" w:eastAsia="黑体" w:cs="黑体"/>
          <w:b w:val="0"/>
          <w:bCs/>
          <w:lang w:val="en-US" w:eastAsia="zh-CN"/>
        </w:rPr>
      </w:pPr>
      <w:r>
        <w:rPr>
          <w:rFonts w:hint="eastAsia" w:ascii="黑体" w:hAnsi="黑体" w:eastAsia="黑体" w:cs="黑体"/>
          <w:b w:val="0"/>
          <w:bCs/>
          <w:lang w:val="en-US" w:eastAsia="zh-CN"/>
        </w:rPr>
        <w:t>二、财政拨款收支预算情况说明</w:t>
      </w:r>
    </w:p>
    <w:p w14:paraId="27509A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kern w:val="0"/>
          <w:sz w:val="32"/>
          <w:szCs w:val="32"/>
          <w:lang w:eastAsia="zh-CN"/>
        </w:rPr>
        <w:t>2025</w:t>
      </w:r>
      <w:r>
        <w:rPr>
          <w:rFonts w:hint="eastAsia" w:ascii="Times New Roman" w:hAnsi="Times New Roman" w:eastAsia="仿宋_GB2312" w:cs="仿宋_GB2312"/>
          <w:kern w:val="0"/>
          <w:sz w:val="32"/>
          <w:szCs w:val="32"/>
        </w:rPr>
        <w:t>年财政拨款收支预算总数</w:t>
      </w:r>
      <w:r>
        <w:rPr>
          <w:rFonts w:hint="eastAsia" w:ascii="Times New Roman" w:hAnsi="Times New Roman" w:eastAsia="仿宋_GB2312" w:cs="仿宋_GB2312"/>
          <w:kern w:val="0"/>
          <w:sz w:val="32"/>
          <w:szCs w:val="32"/>
          <w:lang w:val="en-US" w:eastAsia="zh-CN"/>
        </w:rPr>
        <w:t>160.08</w:t>
      </w:r>
      <w:r>
        <w:rPr>
          <w:rFonts w:hint="eastAsia" w:ascii="Times New Roman" w:hAnsi="Times New Roman" w:eastAsia="仿宋_GB2312" w:cs="仿宋_GB2312"/>
          <w:kern w:val="0"/>
          <w:sz w:val="32"/>
          <w:szCs w:val="32"/>
        </w:rPr>
        <w:t>万元,比</w:t>
      </w:r>
      <w:r>
        <w:rPr>
          <w:rFonts w:hint="eastAsia" w:ascii="Times New Roman" w:hAnsi="Times New Roman" w:eastAsia="仿宋_GB2312" w:cs="仿宋_GB2312"/>
          <w:kern w:val="0"/>
          <w:sz w:val="32"/>
          <w:szCs w:val="32"/>
          <w:lang w:eastAsia="zh-CN"/>
        </w:rPr>
        <w:t>2024</w:t>
      </w:r>
      <w:r>
        <w:rPr>
          <w:rFonts w:hint="eastAsia" w:ascii="Times New Roman" w:hAnsi="Times New Roman" w:eastAsia="仿宋_GB2312" w:cs="仿宋_GB2312"/>
          <w:kern w:val="0"/>
          <w:sz w:val="32"/>
          <w:szCs w:val="32"/>
        </w:rPr>
        <w:t>年财政拨款收支预算总数减少</w:t>
      </w:r>
      <w:r>
        <w:rPr>
          <w:rFonts w:hint="eastAsia" w:ascii="Times New Roman" w:hAnsi="Times New Roman" w:eastAsia="仿宋_GB2312" w:cs="仿宋_GB2312"/>
          <w:kern w:val="0"/>
          <w:sz w:val="32"/>
          <w:szCs w:val="32"/>
          <w:lang w:val="en-US" w:eastAsia="zh-CN"/>
        </w:rPr>
        <w:t>5891.56</w:t>
      </w:r>
      <w:r>
        <w:rPr>
          <w:rFonts w:hint="eastAsia" w:ascii="Times New Roman" w:hAnsi="Times New Roman" w:eastAsia="仿宋_GB2312" w:cs="仿宋_GB2312"/>
          <w:kern w:val="0"/>
          <w:sz w:val="32"/>
          <w:szCs w:val="32"/>
        </w:rPr>
        <w:t>万元，主要原因是</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因机构改革，相关职能划转，国有企业和机关事务相关经费2025年不在本单位预算</w:t>
      </w:r>
      <w:r>
        <w:rPr>
          <w:rFonts w:hint="eastAsia" w:ascii="Times New Roman" w:hAnsi="Times New Roman" w:eastAsia="仿宋_GB2312" w:cs="仿宋_GB2312"/>
          <w:kern w:val="0"/>
          <w:sz w:val="32"/>
          <w:szCs w:val="32"/>
          <w:lang w:val="en-US" w:eastAsia="zh-CN"/>
        </w:rPr>
        <w:t>。</w:t>
      </w:r>
    </w:p>
    <w:p w14:paraId="58E664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收入包括：本年一般公共预算拨款收入</w:t>
      </w:r>
      <w:r>
        <w:rPr>
          <w:rFonts w:hint="eastAsia" w:ascii="Times New Roman" w:hAnsi="Times New Roman" w:eastAsia="仿宋_GB2312" w:cs="仿宋_GB2312"/>
          <w:kern w:val="0"/>
          <w:sz w:val="32"/>
          <w:szCs w:val="32"/>
          <w:lang w:val="en-US" w:eastAsia="zh-CN"/>
        </w:rPr>
        <w:t>160.08</w:t>
      </w:r>
      <w:r>
        <w:rPr>
          <w:rFonts w:hint="eastAsia" w:ascii="Times New Roman" w:hAnsi="Times New Roman" w:eastAsia="仿宋_GB2312" w:cs="仿宋_GB2312"/>
          <w:kern w:val="0"/>
          <w:sz w:val="32"/>
          <w:szCs w:val="32"/>
        </w:rPr>
        <w:t>万元、本年政府性基金预算拨款收入</w:t>
      </w:r>
      <w:r>
        <w:rPr>
          <w:rFonts w:hint="eastAsia" w:ascii="Times New Roman" w:hAnsi="Times New Roman" w:eastAsia="仿宋_GB2312" w:cs="仿宋_GB2312"/>
          <w:kern w:val="0"/>
          <w:sz w:val="32"/>
          <w:szCs w:val="32"/>
          <w:lang w:val="en-US" w:eastAsia="zh-CN"/>
        </w:rPr>
        <w:t>0</w:t>
      </w:r>
      <w:r>
        <w:rPr>
          <w:rFonts w:hint="eastAsia" w:ascii="Times New Roman" w:hAnsi="Times New Roman" w:eastAsia="仿宋_GB2312" w:cs="仿宋_GB2312"/>
          <w:kern w:val="0"/>
          <w:sz w:val="32"/>
          <w:szCs w:val="32"/>
        </w:rPr>
        <w:t>万元；支出包括：</w:t>
      </w:r>
      <w:r>
        <w:rPr>
          <w:rFonts w:hint="eastAsia" w:ascii="Times New Roman" w:hAnsi="Times New Roman" w:eastAsia="仿宋_GB2312" w:cs="仿宋_GB2312"/>
          <w:kern w:val="0"/>
          <w:sz w:val="32"/>
          <w:szCs w:val="32"/>
          <w:lang w:val="en-US" w:eastAsia="zh-CN"/>
        </w:rPr>
        <w:t>社会保障和就业</w:t>
      </w:r>
      <w:r>
        <w:rPr>
          <w:rFonts w:hint="eastAsia" w:ascii="Times New Roman" w:hAnsi="Times New Roman" w:eastAsia="仿宋_GB2312" w:cs="仿宋_GB2312"/>
          <w:kern w:val="0"/>
          <w:sz w:val="32"/>
          <w:szCs w:val="32"/>
        </w:rPr>
        <w:t>万元</w:t>
      </w:r>
      <w:r>
        <w:rPr>
          <w:rFonts w:hint="eastAsia" w:ascii="Times New Roman" w:hAnsi="Times New Roman" w:eastAsia="仿宋_GB2312" w:cs="仿宋_GB2312"/>
          <w:kern w:val="0"/>
          <w:sz w:val="32"/>
          <w:szCs w:val="32"/>
          <w:lang w:val="en-US" w:eastAsia="zh-CN"/>
        </w:rPr>
        <w:t>21.61万元</w:t>
      </w:r>
      <w:r>
        <w:rPr>
          <w:rFonts w:hint="eastAsia" w:ascii="Times New Roman" w:hAnsi="Times New Roman" w:eastAsia="仿宋_GB2312" w:cs="仿宋_GB2312"/>
          <w:kern w:val="0"/>
          <w:sz w:val="32"/>
          <w:szCs w:val="32"/>
        </w:rPr>
        <w:t>、卫生健康支出</w:t>
      </w:r>
      <w:r>
        <w:rPr>
          <w:rFonts w:hint="eastAsia" w:ascii="Times New Roman" w:hAnsi="Times New Roman" w:eastAsia="仿宋_GB2312" w:cs="仿宋_GB2312"/>
          <w:kern w:val="0"/>
          <w:sz w:val="32"/>
          <w:szCs w:val="32"/>
          <w:lang w:val="en-US" w:eastAsia="zh-CN"/>
        </w:rPr>
        <w:t>3.79</w:t>
      </w:r>
      <w:r>
        <w:rPr>
          <w:rFonts w:hint="eastAsia" w:ascii="Times New Roman" w:hAnsi="Times New Roman" w:eastAsia="仿宋_GB2312" w:cs="仿宋_GB2312"/>
          <w:kern w:val="0"/>
          <w:sz w:val="32"/>
          <w:szCs w:val="32"/>
        </w:rPr>
        <w:t>万元，住</w:t>
      </w:r>
      <w:r>
        <w:rPr>
          <w:rFonts w:hint="eastAsia" w:ascii="Times New Roman" w:hAnsi="Times New Roman" w:eastAsia="仿宋_GB2312" w:cs="仿宋_GB2312"/>
          <w:kern w:val="0"/>
          <w:sz w:val="32"/>
          <w:szCs w:val="32"/>
          <w:lang w:eastAsia="zh-CN"/>
        </w:rPr>
        <w:t>房</w:t>
      </w:r>
      <w:r>
        <w:rPr>
          <w:rFonts w:hint="eastAsia" w:ascii="Times New Roman" w:hAnsi="Times New Roman" w:eastAsia="仿宋_GB2312" w:cs="仿宋_GB2312"/>
          <w:kern w:val="0"/>
          <w:sz w:val="32"/>
          <w:szCs w:val="32"/>
        </w:rPr>
        <w:t>保障支出</w:t>
      </w:r>
      <w:r>
        <w:rPr>
          <w:rFonts w:hint="eastAsia" w:ascii="Times New Roman" w:hAnsi="Times New Roman" w:eastAsia="仿宋_GB2312" w:cs="仿宋_GB2312"/>
          <w:kern w:val="0"/>
          <w:sz w:val="32"/>
          <w:szCs w:val="32"/>
          <w:lang w:val="en-US" w:eastAsia="zh-CN"/>
        </w:rPr>
        <w:t>11.69</w:t>
      </w:r>
      <w:r>
        <w:rPr>
          <w:rFonts w:hint="eastAsia" w:ascii="Times New Roman" w:hAnsi="Times New Roman" w:eastAsia="仿宋_GB2312" w:cs="仿宋_GB2312"/>
          <w:kern w:val="0"/>
          <w:sz w:val="32"/>
          <w:szCs w:val="32"/>
        </w:rPr>
        <w:t>万元</w:t>
      </w:r>
      <w:r>
        <w:rPr>
          <w:rFonts w:hint="eastAsia" w:ascii="Times New Roman" w:hAnsi="Times New Roman" w:eastAsia="仿宋_GB2312" w:cs="仿宋_GB2312"/>
          <w:kern w:val="0"/>
          <w:sz w:val="32"/>
          <w:szCs w:val="32"/>
          <w:lang w:eastAsia="zh-CN"/>
        </w:rPr>
        <w:t>、</w:t>
      </w:r>
      <w:r>
        <w:rPr>
          <w:rFonts w:hint="eastAsia" w:ascii="Times New Roman" w:hAnsi="Times New Roman" w:eastAsia="仿宋_GB2312" w:cs="仿宋_GB2312"/>
          <w:kern w:val="0"/>
          <w:sz w:val="32"/>
          <w:szCs w:val="32"/>
          <w:lang w:val="en-US" w:eastAsia="zh-CN"/>
        </w:rPr>
        <w:t>商业服务业等支出123万元。</w:t>
      </w:r>
    </w:p>
    <w:p w14:paraId="5095FBB0">
      <w:pPr>
        <w:numPr>
          <w:ilvl w:val="0"/>
          <w:numId w:val="0"/>
        </w:numPr>
        <w:spacing w:line="600" w:lineRule="exact"/>
        <w:ind w:firstLine="640" w:firstLineChars="200"/>
        <w:rPr>
          <w:rStyle w:val="24"/>
          <w:rFonts w:hint="eastAsia" w:ascii="黑体" w:hAnsi="黑体" w:eastAsia="黑体" w:cs="黑体"/>
          <w:b w:val="0"/>
          <w:bCs/>
          <w:lang w:eastAsia="zh-CN"/>
        </w:rPr>
      </w:pPr>
      <w:r>
        <w:rPr>
          <w:rStyle w:val="24"/>
          <w:rFonts w:hint="eastAsia" w:ascii="黑体" w:hAnsi="黑体" w:eastAsia="黑体" w:cs="黑体"/>
          <w:b w:val="0"/>
          <w:bCs/>
        </w:rPr>
        <w:t>三、一般公共预算当年拨款情况说明</w:t>
      </w:r>
    </w:p>
    <w:p w14:paraId="37637009">
      <w:pPr>
        <w:suppressAutoHyphens/>
        <w:spacing w:line="580" w:lineRule="exact"/>
        <w:ind w:firstLine="640" w:firstLineChars="200"/>
        <w:jc w:val="both"/>
        <w:outlineLvl w:val="2"/>
        <w:rPr>
          <w:rFonts w:hint="eastAsia" w:ascii="Times New Roman" w:hAnsi="Times New Roman" w:eastAsia="楷体_GB2312" w:cs="Times New Roman"/>
          <w:b w:val="0"/>
          <w:bCs/>
          <w:sz w:val="32"/>
          <w:szCs w:val="32"/>
          <w:lang w:eastAsia="zh-CN"/>
        </w:rPr>
      </w:pPr>
      <w:r>
        <w:rPr>
          <w:rFonts w:hint="eastAsia" w:ascii="Times New Roman" w:hAnsi="Times New Roman" w:eastAsia="楷体_GB2312" w:cs="Times New Roman"/>
          <w:b w:val="0"/>
          <w:bCs/>
          <w:sz w:val="32"/>
          <w:szCs w:val="32"/>
        </w:rPr>
        <w:t>（一）一般公共预算当年拨款规模及变化情况。</w:t>
      </w:r>
    </w:p>
    <w:p w14:paraId="6BAC5B6B">
      <w:pPr>
        <w:numPr>
          <w:ilvl w:val="0"/>
          <w:numId w:val="0"/>
        </w:numPr>
        <w:spacing w:line="600" w:lineRule="exact"/>
        <w:ind w:firstLine="640" w:firstLineChars="200"/>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2025</w:t>
      </w:r>
      <w:r>
        <w:rPr>
          <w:rFonts w:hint="eastAsia" w:ascii="Times New Roman" w:hAnsi="Times New Roman" w:eastAsia="仿宋_GB2312" w:cs="仿宋_GB2312"/>
          <w:color w:val="000000" w:themeColor="text1"/>
          <w:kern w:val="0"/>
          <w:sz w:val="32"/>
          <w:szCs w:val="32"/>
          <w14:textFill>
            <w14:solidFill>
              <w14:schemeClr w14:val="tx1"/>
            </w14:solidFill>
          </w14:textFill>
        </w:rPr>
        <w:t>年一般公共预算当年拨款</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160.08</w:t>
      </w:r>
      <w:r>
        <w:rPr>
          <w:rFonts w:hint="eastAsia" w:ascii="Times New Roman" w:hAnsi="Times New Roman" w:eastAsia="仿宋_GB2312" w:cs="仿宋_GB2312"/>
          <w:color w:val="000000" w:themeColor="text1"/>
          <w:kern w:val="0"/>
          <w:sz w:val="32"/>
          <w:szCs w:val="32"/>
          <w14:textFill>
            <w14:solidFill>
              <w14:schemeClr w14:val="tx1"/>
            </w14:solidFill>
          </w14:textFill>
        </w:rPr>
        <w:t>万元，较上年预算数</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减少1372.34</w:t>
      </w:r>
      <w:r>
        <w:rPr>
          <w:rFonts w:hint="eastAsia" w:ascii="Times New Roman" w:hAnsi="Times New Roman" w:eastAsia="仿宋_GB2312" w:cs="仿宋_GB2312"/>
          <w:color w:val="000000" w:themeColor="text1"/>
          <w:kern w:val="0"/>
          <w:sz w:val="32"/>
          <w:szCs w:val="32"/>
          <w14:textFill>
            <w14:solidFill>
              <w14:schemeClr w14:val="tx1"/>
            </w14:solidFill>
          </w14:textFill>
        </w:rPr>
        <w:t>万元。主要原因是</w:t>
      </w:r>
      <w:r>
        <w:rPr>
          <w:rFonts w:hint="eastAsia" w:ascii="Times New Roman" w:hAnsi="Times New Roman" w:eastAsia="仿宋_GB2312" w:cs="仿宋_GB2312"/>
          <w:color w:val="000000" w:themeColor="text1"/>
          <w:kern w:val="0"/>
          <w:sz w:val="32"/>
          <w:szCs w:val="32"/>
          <w:lang w:eastAsia="zh-CN"/>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14:textFill>
            <w14:solidFill>
              <w14:schemeClr w14:val="tx1"/>
            </w14:solidFill>
          </w14:textFill>
        </w:rPr>
        <w:t>职能职责划转，机关事务相关经费2025年不在本单位预算</w:t>
      </w:r>
      <w:r>
        <w:rPr>
          <w:rFonts w:hint="eastAsia" w:ascii="Times New Roman" w:hAnsi="Times New Roman" w:eastAsia="仿宋_GB2312" w:cs="仿宋_GB2312"/>
          <w:color w:val="000000" w:themeColor="text1"/>
          <w:kern w:val="0"/>
          <w:sz w:val="32"/>
          <w:szCs w:val="32"/>
          <w14:textFill>
            <w14:solidFill>
              <w14:schemeClr w14:val="tx1"/>
            </w14:solidFill>
          </w14:textFill>
        </w:rPr>
        <w:t>。</w:t>
      </w:r>
    </w:p>
    <w:p w14:paraId="14FFFD05">
      <w:pPr>
        <w:numPr>
          <w:ilvl w:val="0"/>
          <w:numId w:val="0"/>
        </w:numPr>
        <w:spacing w:line="600" w:lineRule="exact"/>
        <w:ind w:firstLine="640" w:firstLineChars="200"/>
        <w:rPr>
          <w:rFonts w:hint="eastAsia" w:ascii="仿宋" w:hAnsi="仿宋" w:eastAsia="仿宋" w:cs="宋体"/>
          <w:color w:val="000000"/>
          <w:kern w:val="0"/>
          <w:sz w:val="32"/>
          <w:szCs w:val="32"/>
          <w:lang w:eastAsia="zh-CN"/>
        </w:rPr>
      </w:pPr>
      <w:r>
        <w:rPr>
          <w:rFonts w:hint="eastAsia" w:ascii="Times New Roman" w:hAnsi="Times New Roman" w:eastAsia="楷体_GB2312" w:cs="Times New Roman"/>
          <w:b w:val="0"/>
          <w:bCs/>
          <w:sz w:val="32"/>
          <w:szCs w:val="32"/>
        </w:rPr>
        <w:t>（二）一般公共预算当年拨款结构情况</w:t>
      </w:r>
      <w:r>
        <w:rPr>
          <w:rFonts w:hint="eastAsia" w:ascii="仿宋" w:hAnsi="仿宋" w:eastAsia="仿宋" w:cs="宋体"/>
          <w:color w:val="000000"/>
          <w:kern w:val="0"/>
          <w:sz w:val="32"/>
          <w:szCs w:val="32"/>
        </w:rPr>
        <w:t>。</w:t>
      </w:r>
    </w:p>
    <w:p w14:paraId="7B4619A9">
      <w:pPr>
        <w:numPr>
          <w:ilvl w:val="0"/>
          <w:numId w:val="0"/>
        </w:numPr>
        <w:spacing w:line="600" w:lineRule="exact"/>
        <w:ind w:firstLine="640" w:firstLineChars="200"/>
        <w:rPr>
          <w:rFonts w:hint="eastAsia" w:ascii="Times New Roman" w:hAnsi="Times New Roman" w:eastAsia="仿宋_GB2312" w:cs="仿宋_GB2312"/>
          <w:color w:val="000000"/>
          <w:kern w:val="0"/>
          <w:sz w:val="32"/>
          <w:szCs w:val="32"/>
          <w:lang w:eastAsia="zh-CN"/>
        </w:rPr>
      </w:pPr>
      <w:r>
        <w:rPr>
          <w:rFonts w:hint="eastAsia" w:ascii="Times New Roman" w:hAnsi="Times New Roman" w:eastAsia="仿宋_GB2312" w:cs="仿宋_GB2312"/>
          <w:color w:val="000000"/>
          <w:kern w:val="0"/>
          <w:sz w:val="32"/>
          <w:szCs w:val="32"/>
        </w:rPr>
        <w:t>社会保障和就业支出</w:t>
      </w:r>
      <w:r>
        <w:rPr>
          <w:rFonts w:hint="eastAsia" w:ascii="Times New Roman" w:hAnsi="Times New Roman" w:eastAsia="仿宋_GB2312" w:cs="仿宋_GB2312"/>
          <w:color w:val="000000"/>
          <w:kern w:val="0"/>
          <w:sz w:val="32"/>
          <w:szCs w:val="32"/>
          <w:lang w:val="en-US" w:eastAsia="zh-CN"/>
        </w:rPr>
        <w:t>21.61</w:t>
      </w:r>
      <w:r>
        <w:rPr>
          <w:rFonts w:hint="eastAsia" w:ascii="Times New Roman" w:hAnsi="Times New Roman" w:eastAsia="仿宋_GB2312" w:cs="仿宋_GB2312"/>
          <w:color w:val="000000"/>
          <w:kern w:val="0"/>
          <w:sz w:val="32"/>
          <w:szCs w:val="32"/>
        </w:rPr>
        <w:t>万元，占</w:t>
      </w:r>
      <w:r>
        <w:rPr>
          <w:rFonts w:hint="eastAsia" w:ascii="Times New Roman" w:hAnsi="Times New Roman" w:eastAsia="仿宋_GB2312" w:cs="仿宋_GB2312"/>
          <w:color w:val="000000"/>
          <w:kern w:val="0"/>
          <w:sz w:val="32"/>
          <w:szCs w:val="32"/>
          <w:lang w:val="en-US" w:eastAsia="zh-CN"/>
        </w:rPr>
        <w:t>13</w:t>
      </w:r>
      <w:r>
        <w:rPr>
          <w:rFonts w:hint="eastAsia" w:ascii="Times New Roman" w:hAnsi="Times New Roman" w:eastAsia="仿宋_GB2312" w:cs="仿宋_GB2312"/>
          <w:color w:val="000000"/>
          <w:kern w:val="0"/>
          <w:sz w:val="32"/>
          <w:szCs w:val="32"/>
        </w:rPr>
        <w:t>%；</w:t>
      </w:r>
      <w:r>
        <w:rPr>
          <w:rFonts w:hint="eastAsia" w:ascii="Times New Roman" w:hAnsi="Times New Roman" w:eastAsia="仿宋_GB2312" w:cs="仿宋_GB2312"/>
          <w:color w:val="000000"/>
          <w:kern w:val="0"/>
          <w:sz w:val="32"/>
          <w:szCs w:val="32"/>
          <w:lang w:val="en-US" w:eastAsia="zh-CN"/>
        </w:rPr>
        <w:t>卫生健康</w:t>
      </w:r>
      <w:r>
        <w:rPr>
          <w:rFonts w:hint="eastAsia" w:ascii="Times New Roman" w:hAnsi="Times New Roman" w:eastAsia="仿宋_GB2312" w:cs="仿宋_GB2312"/>
          <w:color w:val="000000"/>
          <w:kern w:val="0"/>
          <w:sz w:val="32"/>
          <w:szCs w:val="32"/>
        </w:rPr>
        <w:t>支出</w:t>
      </w:r>
      <w:r>
        <w:rPr>
          <w:rFonts w:hint="eastAsia" w:ascii="Times New Roman" w:hAnsi="Times New Roman" w:eastAsia="仿宋_GB2312" w:cs="仿宋_GB2312"/>
          <w:color w:val="000000"/>
          <w:kern w:val="0"/>
          <w:sz w:val="32"/>
          <w:szCs w:val="32"/>
          <w:lang w:val="en-US" w:eastAsia="zh-CN"/>
        </w:rPr>
        <w:t>3.79</w:t>
      </w:r>
      <w:r>
        <w:rPr>
          <w:rFonts w:hint="eastAsia" w:ascii="Times New Roman" w:hAnsi="Times New Roman" w:eastAsia="仿宋_GB2312" w:cs="仿宋_GB2312"/>
          <w:color w:val="000000"/>
          <w:kern w:val="0"/>
          <w:sz w:val="32"/>
          <w:szCs w:val="32"/>
        </w:rPr>
        <w:t>万元，占</w:t>
      </w:r>
      <w:r>
        <w:rPr>
          <w:rFonts w:hint="eastAsia" w:ascii="Times New Roman" w:hAnsi="Times New Roman" w:eastAsia="仿宋_GB2312" w:cs="仿宋_GB2312"/>
          <w:color w:val="000000"/>
          <w:kern w:val="0"/>
          <w:sz w:val="32"/>
          <w:szCs w:val="32"/>
          <w:lang w:val="en-US" w:eastAsia="zh-CN"/>
        </w:rPr>
        <w:t>3</w:t>
      </w:r>
      <w:r>
        <w:rPr>
          <w:rFonts w:hint="eastAsia" w:ascii="Times New Roman" w:hAnsi="Times New Roman" w:eastAsia="仿宋_GB2312" w:cs="仿宋_GB2312"/>
          <w:color w:val="000000"/>
          <w:kern w:val="0"/>
          <w:sz w:val="32"/>
          <w:szCs w:val="32"/>
        </w:rPr>
        <w:t>%；住房保障支出</w:t>
      </w:r>
      <w:r>
        <w:rPr>
          <w:rFonts w:hint="eastAsia" w:ascii="Times New Roman" w:hAnsi="Times New Roman" w:eastAsia="仿宋_GB2312" w:cs="仿宋_GB2312"/>
          <w:color w:val="000000"/>
          <w:kern w:val="0"/>
          <w:sz w:val="32"/>
          <w:szCs w:val="32"/>
          <w:lang w:val="en-US" w:eastAsia="zh-CN"/>
        </w:rPr>
        <w:t>11.69</w:t>
      </w:r>
      <w:r>
        <w:rPr>
          <w:rFonts w:hint="eastAsia" w:ascii="Times New Roman" w:hAnsi="Times New Roman" w:eastAsia="仿宋_GB2312" w:cs="仿宋_GB2312"/>
          <w:color w:val="000000"/>
          <w:kern w:val="0"/>
          <w:sz w:val="32"/>
          <w:szCs w:val="32"/>
        </w:rPr>
        <w:t>万元，占</w:t>
      </w:r>
      <w:r>
        <w:rPr>
          <w:rFonts w:hint="eastAsia" w:ascii="Times New Roman" w:hAnsi="Times New Roman" w:eastAsia="仿宋_GB2312" w:cs="仿宋_GB2312"/>
          <w:color w:val="000000"/>
          <w:kern w:val="0"/>
          <w:sz w:val="32"/>
          <w:szCs w:val="32"/>
          <w:lang w:val="en-US" w:eastAsia="zh-CN"/>
        </w:rPr>
        <w:t>7</w:t>
      </w:r>
      <w:r>
        <w:rPr>
          <w:rFonts w:hint="eastAsia" w:ascii="Times New Roman" w:hAnsi="Times New Roman" w:eastAsia="仿宋_GB2312" w:cs="仿宋_GB2312"/>
          <w:color w:val="000000"/>
          <w:kern w:val="0"/>
          <w:sz w:val="32"/>
          <w:szCs w:val="32"/>
        </w:rPr>
        <w:t>%</w:t>
      </w:r>
      <w:r>
        <w:rPr>
          <w:rFonts w:hint="eastAsia" w:ascii="Times New Roman" w:hAnsi="Times New Roman" w:eastAsia="仿宋_GB2312" w:cs="仿宋_GB2312"/>
          <w:color w:val="000000"/>
          <w:kern w:val="0"/>
          <w:sz w:val="32"/>
          <w:szCs w:val="32"/>
          <w:lang w:eastAsia="zh-CN"/>
        </w:rPr>
        <w:t>；</w:t>
      </w:r>
      <w:r>
        <w:rPr>
          <w:rFonts w:hint="eastAsia" w:ascii="Times New Roman" w:hAnsi="Times New Roman" w:eastAsia="仿宋_GB2312" w:cs="仿宋_GB2312"/>
          <w:color w:val="000000"/>
          <w:kern w:val="0"/>
          <w:sz w:val="32"/>
          <w:szCs w:val="32"/>
          <w:lang w:val="en-US" w:eastAsia="zh-CN"/>
        </w:rPr>
        <w:t>商业服务业等支出123万元，占77%。</w:t>
      </w:r>
    </w:p>
    <w:p w14:paraId="151DC711">
      <w:pPr>
        <w:numPr>
          <w:ilvl w:val="0"/>
          <w:numId w:val="0"/>
        </w:numPr>
        <w:spacing w:line="600" w:lineRule="exact"/>
        <w:ind w:firstLine="640" w:firstLineChars="200"/>
        <w:rPr>
          <w:rFonts w:hint="eastAsia" w:ascii="仿宋" w:hAnsi="仿宋" w:eastAsia="仿宋" w:cs="宋体"/>
          <w:color w:val="000000"/>
          <w:kern w:val="0"/>
          <w:sz w:val="32"/>
          <w:szCs w:val="32"/>
          <w:lang w:eastAsia="zh-CN"/>
        </w:rPr>
      </w:pPr>
      <w:r>
        <w:rPr>
          <w:rFonts w:hint="eastAsia" w:ascii="Times New Roman" w:hAnsi="Times New Roman" w:eastAsia="楷体_GB2312" w:cs="Times New Roman"/>
          <w:b w:val="0"/>
          <w:bCs/>
          <w:sz w:val="32"/>
          <w:szCs w:val="32"/>
        </w:rPr>
        <w:t>（三）一般公共预算当年拨款具体使用情况</w:t>
      </w:r>
    </w:p>
    <w:p w14:paraId="0F96B2E4">
      <w:pPr>
        <w:numPr>
          <w:ilvl w:val="0"/>
          <w:numId w:val="0"/>
        </w:numPr>
        <w:spacing w:line="600"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lang w:val="en-US" w:eastAsia="zh-CN"/>
        </w:rPr>
        <w:t>商业服务业等支出</w:t>
      </w:r>
      <w:r>
        <w:rPr>
          <w:rFonts w:hint="eastAsia" w:ascii="仿宋_GB2312" w:hAnsi="仿宋_GB2312" w:eastAsia="仿宋_GB2312" w:cs="仿宋_GB2312"/>
          <w:color w:val="000000"/>
          <w:kern w:val="0"/>
          <w:sz w:val="32"/>
          <w:szCs w:val="32"/>
        </w:rPr>
        <w:t>（类）</w:t>
      </w:r>
      <w:r>
        <w:rPr>
          <w:rFonts w:hint="eastAsia" w:ascii="仿宋_GB2312" w:hAnsi="仿宋_GB2312" w:eastAsia="仿宋_GB2312" w:cs="仿宋_GB2312"/>
          <w:color w:val="000000"/>
          <w:kern w:val="0"/>
          <w:sz w:val="32"/>
          <w:szCs w:val="32"/>
          <w:lang w:val="en-US" w:eastAsia="zh-CN"/>
        </w:rPr>
        <w:t>商品流通事务</w:t>
      </w:r>
      <w:r>
        <w:rPr>
          <w:rFonts w:hint="eastAsia" w:ascii="仿宋_GB2312" w:hAnsi="仿宋_GB2312" w:eastAsia="仿宋_GB2312" w:cs="仿宋_GB2312"/>
          <w:color w:val="000000"/>
          <w:kern w:val="0"/>
          <w:sz w:val="32"/>
          <w:szCs w:val="32"/>
        </w:rPr>
        <w:t>（款）</w:t>
      </w:r>
      <w:r>
        <w:rPr>
          <w:rFonts w:hint="eastAsia" w:ascii="仿宋_GB2312" w:hAnsi="仿宋_GB2312" w:eastAsia="仿宋_GB2312" w:cs="仿宋_GB2312"/>
          <w:color w:val="000000"/>
          <w:kern w:val="0"/>
          <w:sz w:val="32"/>
          <w:szCs w:val="32"/>
          <w:lang w:val="en-US" w:eastAsia="zh-CN"/>
        </w:rPr>
        <w:t>行政运行</w:t>
      </w:r>
      <w:r>
        <w:rPr>
          <w:rFonts w:hint="eastAsia" w:ascii="仿宋_GB2312" w:hAnsi="仿宋_GB2312" w:eastAsia="仿宋_GB2312" w:cs="仿宋_GB2312"/>
          <w:color w:val="000000"/>
          <w:kern w:val="0"/>
          <w:sz w:val="32"/>
          <w:szCs w:val="32"/>
        </w:rPr>
        <w:t>（项）:</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年预算数为</w:t>
      </w:r>
      <w:r>
        <w:rPr>
          <w:rFonts w:hint="eastAsia" w:ascii="仿宋_GB2312" w:hAnsi="仿宋_GB2312" w:eastAsia="仿宋_GB2312" w:cs="仿宋_GB2312"/>
          <w:color w:val="000000"/>
          <w:kern w:val="0"/>
          <w:sz w:val="32"/>
          <w:szCs w:val="32"/>
          <w:lang w:val="en-US" w:eastAsia="zh-CN"/>
        </w:rPr>
        <w:t>117</w:t>
      </w:r>
      <w:r>
        <w:rPr>
          <w:rFonts w:hint="eastAsia" w:ascii="仿宋_GB2312" w:hAnsi="仿宋_GB2312" w:eastAsia="仿宋_GB2312" w:cs="仿宋_GB2312"/>
          <w:color w:val="000000"/>
          <w:kern w:val="0"/>
          <w:sz w:val="32"/>
          <w:szCs w:val="32"/>
        </w:rPr>
        <w:t>万元，主要用于：机关及参公管理事业单位正常运转的基本支出，包括基本工资、津贴补贴等人员经费以及办公费、印刷费、水电费等日常公用经费。</w:t>
      </w:r>
    </w:p>
    <w:p w14:paraId="29F24628">
      <w:pPr>
        <w:numPr>
          <w:ilvl w:val="0"/>
          <w:numId w:val="0"/>
        </w:numPr>
        <w:spacing w:line="600"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en-US" w:eastAsia="zh-CN"/>
        </w:rPr>
        <w:t>商业服务业等支出</w:t>
      </w:r>
      <w:r>
        <w:rPr>
          <w:rFonts w:hint="eastAsia" w:ascii="仿宋_GB2312" w:hAnsi="仿宋_GB2312" w:eastAsia="仿宋_GB2312" w:cs="仿宋_GB2312"/>
          <w:color w:val="000000"/>
          <w:kern w:val="0"/>
          <w:sz w:val="32"/>
          <w:szCs w:val="32"/>
        </w:rPr>
        <w:t>（类）</w:t>
      </w:r>
      <w:r>
        <w:rPr>
          <w:rFonts w:hint="eastAsia" w:ascii="仿宋_GB2312" w:hAnsi="仿宋_GB2312" w:eastAsia="仿宋_GB2312" w:cs="仿宋_GB2312"/>
          <w:color w:val="000000"/>
          <w:kern w:val="0"/>
          <w:sz w:val="32"/>
          <w:szCs w:val="32"/>
          <w:lang w:val="en-US" w:eastAsia="zh-CN"/>
        </w:rPr>
        <w:t>商品流通事务</w:t>
      </w:r>
      <w:r>
        <w:rPr>
          <w:rFonts w:hint="eastAsia" w:ascii="仿宋_GB2312" w:hAnsi="仿宋_GB2312" w:eastAsia="仿宋_GB2312" w:cs="仿宋_GB2312"/>
          <w:color w:val="000000"/>
          <w:kern w:val="0"/>
          <w:sz w:val="32"/>
          <w:szCs w:val="32"/>
        </w:rPr>
        <w:t>（款）</w:t>
      </w:r>
      <w:r>
        <w:rPr>
          <w:rFonts w:hint="eastAsia" w:ascii="仿宋_GB2312" w:hAnsi="仿宋_GB2312" w:eastAsia="仿宋_GB2312" w:cs="仿宋_GB2312"/>
          <w:color w:val="000000"/>
          <w:kern w:val="0"/>
          <w:sz w:val="32"/>
          <w:szCs w:val="32"/>
          <w:lang w:val="en-US" w:eastAsia="zh-CN"/>
        </w:rPr>
        <w:t>一般行政管理事务</w:t>
      </w:r>
      <w:r>
        <w:rPr>
          <w:rFonts w:hint="eastAsia" w:ascii="仿宋_GB2312" w:hAnsi="仿宋_GB2312" w:eastAsia="仿宋_GB2312" w:cs="仿宋_GB2312"/>
          <w:color w:val="000000"/>
          <w:kern w:val="0"/>
          <w:sz w:val="32"/>
          <w:szCs w:val="32"/>
        </w:rPr>
        <w:t>（项）:</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年预算数为</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万元，主要用于：机关及参公管理事业单位未单独设置项级科目的专门性财政管理工作的项目支出。</w:t>
      </w:r>
    </w:p>
    <w:p w14:paraId="00F9FDB4">
      <w:pPr>
        <w:numPr>
          <w:ilvl w:val="0"/>
          <w:numId w:val="0"/>
        </w:numPr>
        <w:spacing w:line="600"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rPr>
        <w:t>.社会保障和就业（类）</w:t>
      </w:r>
      <w:r>
        <w:rPr>
          <w:rFonts w:hint="eastAsia" w:ascii="仿宋_GB2312" w:hAnsi="仿宋_GB2312" w:eastAsia="仿宋_GB2312" w:cs="仿宋_GB2312"/>
          <w:color w:val="auto"/>
          <w:kern w:val="0"/>
          <w:sz w:val="32"/>
          <w:szCs w:val="32"/>
        </w:rPr>
        <w:t>行政事业单位</w:t>
      </w:r>
      <w:r>
        <w:rPr>
          <w:rFonts w:hint="eastAsia" w:ascii="仿宋_GB2312" w:hAnsi="仿宋_GB2312" w:eastAsia="仿宋_GB2312" w:cs="仿宋_GB2312"/>
          <w:color w:val="auto"/>
          <w:kern w:val="0"/>
          <w:sz w:val="32"/>
          <w:szCs w:val="32"/>
          <w:lang w:val="en-US" w:eastAsia="zh-CN"/>
        </w:rPr>
        <w:t>养老支出</w:t>
      </w:r>
      <w:r>
        <w:rPr>
          <w:rFonts w:hint="eastAsia" w:ascii="仿宋_GB2312" w:hAnsi="仿宋_GB2312" w:eastAsia="仿宋_GB2312" w:cs="仿宋_GB2312"/>
          <w:color w:val="auto"/>
          <w:kern w:val="0"/>
          <w:sz w:val="32"/>
          <w:szCs w:val="32"/>
        </w:rPr>
        <w:t>（款）机关事业单位基本养老保险缴费支出（项）:202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年预算数为</w:t>
      </w:r>
      <w:r>
        <w:rPr>
          <w:rFonts w:hint="eastAsia" w:ascii="仿宋_GB2312" w:hAnsi="仿宋_GB2312" w:eastAsia="仿宋_GB2312" w:cs="仿宋_GB2312"/>
          <w:color w:val="auto"/>
          <w:kern w:val="0"/>
          <w:sz w:val="32"/>
          <w:szCs w:val="32"/>
          <w:lang w:val="en-US" w:eastAsia="zh-CN"/>
        </w:rPr>
        <w:t>13.94</w:t>
      </w:r>
      <w:r>
        <w:rPr>
          <w:rFonts w:hint="eastAsia" w:ascii="仿宋_GB2312" w:hAnsi="仿宋_GB2312" w:eastAsia="仿宋_GB2312" w:cs="仿宋_GB2312"/>
          <w:color w:val="auto"/>
          <w:kern w:val="0"/>
          <w:sz w:val="32"/>
          <w:szCs w:val="32"/>
        </w:rPr>
        <w:t>万元，主要用于：实施养老保险制度后，部门按规定由单位缴纳的基本养老保险费支出</w:t>
      </w:r>
    </w:p>
    <w:p w14:paraId="0C76CB39">
      <w:pPr>
        <w:numPr>
          <w:ilvl w:val="0"/>
          <w:numId w:val="0"/>
        </w:numPr>
        <w:spacing w:line="60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.社会保障和就业（类）行政事业单位</w:t>
      </w:r>
      <w:r>
        <w:rPr>
          <w:rFonts w:hint="eastAsia" w:ascii="仿宋_GB2312" w:hAnsi="仿宋_GB2312" w:eastAsia="仿宋_GB2312" w:cs="仿宋_GB2312"/>
          <w:color w:val="000000"/>
          <w:kern w:val="0"/>
          <w:sz w:val="32"/>
          <w:szCs w:val="32"/>
          <w:lang w:val="en-US" w:eastAsia="zh-CN"/>
        </w:rPr>
        <w:t>养老支出</w:t>
      </w:r>
      <w:r>
        <w:rPr>
          <w:rFonts w:hint="eastAsia" w:ascii="仿宋_GB2312" w:hAnsi="仿宋_GB2312" w:eastAsia="仿宋_GB2312" w:cs="仿宋_GB2312"/>
          <w:color w:val="000000"/>
          <w:kern w:val="0"/>
          <w:sz w:val="32"/>
          <w:szCs w:val="32"/>
        </w:rPr>
        <w:t>（款）机关事业单位职业年金缴费支出（项）:</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年预算数为</w:t>
      </w:r>
      <w:r>
        <w:rPr>
          <w:rFonts w:hint="eastAsia" w:ascii="仿宋_GB2312" w:hAnsi="仿宋_GB2312" w:eastAsia="仿宋_GB2312" w:cs="仿宋_GB2312"/>
          <w:color w:val="000000"/>
          <w:kern w:val="0"/>
          <w:sz w:val="32"/>
          <w:szCs w:val="32"/>
          <w:lang w:val="en-US" w:eastAsia="zh-CN"/>
        </w:rPr>
        <w:t>6.97</w:t>
      </w:r>
      <w:r>
        <w:rPr>
          <w:rFonts w:hint="eastAsia" w:ascii="仿宋_GB2312" w:hAnsi="仿宋_GB2312" w:eastAsia="仿宋_GB2312" w:cs="仿宋_GB2312"/>
          <w:color w:val="000000"/>
          <w:kern w:val="0"/>
          <w:sz w:val="32"/>
          <w:szCs w:val="32"/>
        </w:rPr>
        <w:t>万元，主要用于：实施养老保险制度后，部门按规定由单位缴纳的职业年金支出。</w:t>
      </w:r>
    </w:p>
    <w:p w14:paraId="49C214B7">
      <w:pPr>
        <w:numPr>
          <w:ilvl w:val="0"/>
          <w:numId w:val="0"/>
        </w:numPr>
        <w:spacing w:line="600"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auto"/>
          <w:kern w:val="0"/>
          <w:sz w:val="32"/>
          <w:szCs w:val="32"/>
          <w:lang w:val="en-US" w:eastAsia="zh-CN"/>
        </w:rPr>
        <w:t>5.社</w:t>
      </w:r>
      <w:r>
        <w:rPr>
          <w:rFonts w:hint="eastAsia" w:ascii="仿宋_GB2312" w:hAnsi="仿宋_GB2312" w:eastAsia="仿宋_GB2312" w:cs="仿宋_GB2312"/>
          <w:color w:val="auto"/>
          <w:kern w:val="0"/>
        </w:rPr>
        <w:t>会保障和就业（类）其他社会保障和就业支出（款）其他社会保障和就业支出（项）:202</w:t>
      </w:r>
      <w:r>
        <w:rPr>
          <w:rFonts w:hint="eastAsia" w:ascii="仿宋_GB2312" w:hAnsi="仿宋_GB2312" w:eastAsia="仿宋_GB2312" w:cs="仿宋_GB2312"/>
          <w:color w:val="auto"/>
          <w:kern w:val="0"/>
          <w:lang w:val="en-US" w:eastAsia="zh-CN"/>
        </w:rPr>
        <w:t>5</w:t>
      </w:r>
      <w:r>
        <w:rPr>
          <w:rFonts w:hint="eastAsia" w:ascii="仿宋_GB2312" w:hAnsi="仿宋_GB2312" w:eastAsia="仿宋_GB2312" w:cs="仿宋_GB2312"/>
          <w:color w:val="auto"/>
          <w:kern w:val="0"/>
        </w:rPr>
        <w:t>预算数为</w:t>
      </w:r>
      <w:r>
        <w:rPr>
          <w:rFonts w:hint="eastAsia" w:ascii="仿宋_GB2312" w:hAnsi="仿宋_GB2312" w:eastAsia="仿宋_GB2312" w:cs="仿宋_GB2312"/>
          <w:color w:val="auto"/>
          <w:kern w:val="0"/>
          <w:lang w:val="en-US" w:eastAsia="zh-CN"/>
        </w:rPr>
        <w:t>0.7</w:t>
      </w:r>
      <w:r>
        <w:rPr>
          <w:rFonts w:hint="eastAsia" w:ascii="仿宋_GB2312" w:hAnsi="仿宋_GB2312" w:eastAsia="仿宋_GB2312" w:cs="仿宋_GB2312"/>
          <w:color w:val="auto"/>
          <w:kern w:val="0"/>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rPr>
        <w:t>主要用于：其他用于社会保障和就业方面的支出</w:t>
      </w:r>
      <w:r>
        <w:rPr>
          <w:rFonts w:hint="eastAsia" w:ascii="仿宋_GB2312" w:hAnsi="仿宋_GB2312" w:eastAsia="仿宋_GB2312" w:cs="仿宋_GB2312"/>
          <w:color w:val="auto"/>
          <w:kern w:val="0"/>
          <w:sz w:val="32"/>
          <w:szCs w:val="32"/>
        </w:rPr>
        <w:t>。</w:t>
      </w:r>
    </w:p>
    <w:p w14:paraId="4FC1A848">
      <w:pPr>
        <w:numPr>
          <w:ilvl w:val="0"/>
          <w:numId w:val="0"/>
        </w:numPr>
        <w:spacing w:line="600" w:lineRule="exact"/>
        <w:ind w:firstLine="640" w:firstLineChars="200"/>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卫生健康支出</w:t>
      </w:r>
      <w:r>
        <w:rPr>
          <w:rFonts w:hint="eastAsia" w:ascii="仿宋_GB2312" w:hAnsi="仿宋_GB2312" w:eastAsia="仿宋_GB2312" w:cs="仿宋_GB2312"/>
          <w:color w:val="000000"/>
          <w:kern w:val="0"/>
          <w:sz w:val="32"/>
          <w:szCs w:val="32"/>
        </w:rPr>
        <w:t>（类）</w:t>
      </w:r>
      <w:r>
        <w:rPr>
          <w:rFonts w:hint="eastAsia" w:ascii="仿宋_GB2312" w:hAnsi="仿宋_GB2312" w:eastAsia="仿宋_GB2312" w:cs="仿宋_GB2312"/>
          <w:color w:val="auto"/>
          <w:kern w:val="0"/>
          <w:sz w:val="32"/>
          <w:szCs w:val="32"/>
          <w:lang w:val="en-US" w:eastAsia="zh-CN"/>
        </w:rPr>
        <w:t>行政事业单位医疗</w:t>
      </w:r>
      <w:r>
        <w:rPr>
          <w:rFonts w:hint="eastAsia" w:ascii="仿宋_GB2312" w:hAnsi="仿宋_GB2312" w:eastAsia="仿宋_GB2312" w:cs="仿宋_GB2312"/>
          <w:color w:val="auto"/>
          <w:kern w:val="0"/>
          <w:sz w:val="32"/>
          <w:szCs w:val="32"/>
        </w:rPr>
        <w:t>（款）</w:t>
      </w:r>
      <w:r>
        <w:rPr>
          <w:rFonts w:hint="eastAsia" w:ascii="仿宋_GB2312" w:hAnsi="仿宋_GB2312" w:eastAsia="仿宋_GB2312" w:cs="仿宋_GB2312"/>
          <w:color w:val="auto"/>
          <w:kern w:val="0"/>
          <w:sz w:val="32"/>
          <w:szCs w:val="32"/>
          <w:lang w:val="en-US" w:eastAsia="zh-CN"/>
        </w:rPr>
        <w:t>行政单位医疗</w:t>
      </w:r>
      <w:r>
        <w:rPr>
          <w:rFonts w:hint="eastAsia" w:ascii="仿宋_GB2312" w:hAnsi="仿宋_GB2312" w:eastAsia="仿宋_GB2312" w:cs="仿宋_GB2312"/>
          <w:color w:val="auto"/>
          <w:kern w:val="0"/>
          <w:sz w:val="32"/>
          <w:szCs w:val="32"/>
        </w:rPr>
        <w:t>（项）</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年预算数为</w:t>
      </w:r>
      <w:r>
        <w:rPr>
          <w:rFonts w:hint="eastAsia" w:ascii="仿宋_GB2312" w:hAnsi="仿宋_GB2312" w:eastAsia="仿宋_GB2312" w:cs="仿宋_GB2312"/>
          <w:color w:val="000000"/>
          <w:kern w:val="0"/>
          <w:sz w:val="32"/>
          <w:szCs w:val="32"/>
          <w:lang w:val="en-US" w:eastAsia="zh-CN"/>
        </w:rPr>
        <w:t>3.79</w:t>
      </w:r>
      <w:r>
        <w:rPr>
          <w:rFonts w:hint="eastAsia" w:ascii="仿宋_GB2312" w:hAnsi="仿宋_GB2312" w:eastAsia="仿宋_GB2312" w:cs="仿宋_GB2312"/>
          <w:color w:val="000000"/>
          <w:kern w:val="0"/>
          <w:sz w:val="32"/>
          <w:szCs w:val="32"/>
        </w:rPr>
        <w:t>万元，主要用于：机关及参公管理事业单位基本医疗保险缴费支出。</w:t>
      </w:r>
    </w:p>
    <w:p w14:paraId="5FFD9299">
      <w:pPr>
        <w:numPr>
          <w:ilvl w:val="0"/>
          <w:numId w:val="0"/>
        </w:numPr>
        <w:spacing w:line="600" w:lineRule="exact"/>
        <w:ind w:firstLine="640" w:firstLineChars="200"/>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.住房保障（类）</w:t>
      </w:r>
      <w:r>
        <w:rPr>
          <w:rFonts w:hint="eastAsia" w:ascii="仿宋_GB2312" w:hAnsi="仿宋_GB2312" w:eastAsia="仿宋_GB2312" w:cs="仿宋_GB2312"/>
          <w:color w:val="000000"/>
          <w:kern w:val="0"/>
          <w:sz w:val="32"/>
          <w:szCs w:val="32"/>
          <w:lang w:val="en-US" w:eastAsia="zh-CN"/>
        </w:rPr>
        <w:t>住房改革支出</w:t>
      </w:r>
      <w:r>
        <w:rPr>
          <w:rFonts w:hint="eastAsia" w:ascii="仿宋_GB2312" w:hAnsi="仿宋_GB2312" w:eastAsia="仿宋_GB2312" w:cs="仿宋_GB2312"/>
          <w:color w:val="000000"/>
          <w:kern w:val="0"/>
          <w:sz w:val="32"/>
          <w:szCs w:val="32"/>
        </w:rPr>
        <w:t>（款）</w:t>
      </w:r>
      <w:r>
        <w:rPr>
          <w:rFonts w:hint="eastAsia" w:ascii="仿宋_GB2312" w:hAnsi="仿宋_GB2312" w:eastAsia="仿宋_GB2312" w:cs="仿宋_GB2312"/>
          <w:color w:val="000000"/>
          <w:kern w:val="0"/>
          <w:sz w:val="32"/>
          <w:szCs w:val="32"/>
          <w:lang w:val="en-US" w:eastAsia="zh-CN"/>
        </w:rPr>
        <w:t>住房公积金</w:t>
      </w:r>
      <w:r>
        <w:rPr>
          <w:rFonts w:hint="eastAsia" w:ascii="仿宋_GB2312" w:hAnsi="仿宋_GB2312" w:eastAsia="仿宋_GB2312" w:cs="仿宋_GB2312"/>
          <w:color w:val="000000"/>
          <w:kern w:val="0"/>
          <w:sz w:val="32"/>
          <w:szCs w:val="32"/>
        </w:rPr>
        <w:t>（项）:</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年预算数为</w:t>
      </w:r>
      <w:r>
        <w:rPr>
          <w:rFonts w:hint="eastAsia" w:ascii="仿宋_GB2312" w:hAnsi="仿宋_GB2312" w:eastAsia="仿宋_GB2312" w:cs="仿宋_GB2312"/>
          <w:color w:val="000000"/>
          <w:kern w:val="0"/>
          <w:sz w:val="32"/>
          <w:szCs w:val="32"/>
          <w:lang w:val="en-US" w:eastAsia="zh-CN"/>
        </w:rPr>
        <w:t>11.69</w:t>
      </w:r>
      <w:r>
        <w:rPr>
          <w:rFonts w:hint="eastAsia" w:ascii="仿宋_GB2312" w:hAnsi="仿宋_GB2312" w:eastAsia="仿宋_GB2312" w:cs="仿宋_GB2312"/>
          <w:color w:val="000000"/>
          <w:kern w:val="0"/>
          <w:sz w:val="32"/>
          <w:szCs w:val="32"/>
        </w:rPr>
        <w:t>万元，主要用于：部门按人力资源和社会保障部、财政部规定的基本工资和津贴补贴以及规定比例为职工缴纳的住房公积金支出。</w:t>
      </w:r>
    </w:p>
    <w:p w14:paraId="51B0DE55">
      <w:pPr>
        <w:pStyle w:val="4"/>
        <w:bidi w:val="0"/>
        <w:rPr>
          <w:rStyle w:val="24"/>
          <w:rFonts w:hint="eastAsia" w:ascii="黑体" w:hAnsi="黑体" w:eastAsia="黑体" w:cs="黑体"/>
          <w:b w:val="0"/>
          <w:bCs/>
          <w:lang w:eastAsia="zh-CN"/>
        </w:rPr>
      </w:pPr>
      <w:r>
        <w:rPr>
          <w:rStyle w:val="24"/>
          <w:rFonts w:hint="eastAsia" w:ascii="黑体" w:hAnsi="黑体" w:eastAsia="黑体" w:cs="黑体"/>
          <w:b w:val="0"/>
          <w:bCs/>
          <w:lang w:eastAsia="zh-CN"/>
        </w:rPr>
        <w:t>四</w:t>
      </w:r>
      <w:r>
        <w:rPr>
          <w:rStyle w:val="24"/>
          <w:rFonts w:hint="eastAsia" w:ascii="黑体" w:hAnsi="黑体" w:eastAsia="黑体" w:cs="黑体"/>
          <w:b w:val="0"/>
          <w:bCs/>
        </w:rPr>
        <w:t>、一般公共预算基本支出情况说明</w:t>
      </w:r>
    </w:p>
    <w:p w14:paraId="365B364D">
      <w:pPr>
        <w:rPr>
          <w:rFonts w:hint="eastAsia" w:ascii="仿宋_GB2312" w:hAnsi="仿宋_GB2312" w:eastAsia="仿宋_GB2312" w:cs="仿宋_GB2312"/>
          <w:color w:val="000000"/>
          <w:kern w:val="0"/>
          <w:sz w:val="32"/>
          <w:szCs w:val="32"/>
          <w:lang w:eastAsia="zh-CN"/>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年一般公共预算基本支出</w:t>
      </w:r>
      <w:r>
        <w:rPr>
          <w:rFonts w:hint="eastAsia" w:ascii="仿宋_GB2312" w:hAnsi="仿宋_GB2312" w:eastAsia="仿宋_GB2312" w:cs="仿宋_GB2312"/>
          <w:color w:val="000000"/>
          <w:kern w:val="0"/>
          <w:sz w:val="32"/>
          <w:szCs w:val="32"/>
          <w:lang w:val="en-US" w:eastAsia="zh-CN"/>
        </w:rPr>
        <w:t>160.08</w:t>
      </w:r>
      <w:r>
        <w:rPr>
          <w:rFonts w:hint="eastAsia" w:ascii="仿宋_GB2312" w:hAnsi="仿宋_GB2312" w:eastAsia="仿宋_GB2312" w:cs="仿宋_GB2312"/>
          <w:color w:val="000000"/>
          <w:kern w:val="0"/>
          <w:sz w:val="32"/>
          <w:szCs w:val="32"/>
        </w:rPr>
        <w:t>万元，其中：</w:t>
      </w:r>
    </w:p>
    <w:p w14:paraId="66BD6FC8">
      <w:pP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000000"/>
          <w:kern w:val="0"/>
          <w:sz w:val="32"/>
          <w:szCs w:val="32"/>
        </w:rPr>
        <w:t>人员经费</w:t>
      </w:r>
      <w:r>
        <w:rPr>
          <w:rFonts w:hint="eastAsia" w:ascii="仿宋_GB2312" w:hAnsi="仿宋_GB2312" w:eastAsia="仿宋_GB2312" w:cs="仿宋_GB2312"/>
          <w:color w:val="000000"/>
          <w:kern w:val="0"/>
          <w:sz w:val="32"/>
          <w:szCs w:val="32"/>
          <w:lang w:val="en-US" w:eastAsia="zh-CN"/>
        </w:rPr>
        <w:t>128.98</w:t>
      </w:r>
      <w:r>
        <w:rPr>
          <w:rFonts w:hint="eastAsia" w:ascii="仿宋_GB2312" w:hAnsi="仿宋_GB2312" w:eastAsia="仿宋_GB2312" w:cs="仿宋_GB2312"/>
          <w:color w:val="000000"/>
          <w:kern w:val="0"/>
          <w:sz w:val="32"/>
          <w:szCs w:val="32"/>
        </w:rPr>
        <w:t>万元，主要包括：</w:t>
      </w:r>
      <w:r>
        <w:rPr>
          <w:rFonts w:hint="eastAsia" w:ascii="仿宋_GB2312" w:hAnsi="仿宋_GB2312" w:eastAsia="仿宋_GB2312" w:cs="仿宋_GB2312"/>
          <w:color w:val="auto"/>
          <w:kern w:val="0"/>
          <w:sz w:val="32"/>
          <w:szCs w:val="32"/>
        </w:rPr>
        <w:t>基本工资、津贴补贴、奖金、</w:t>
      </w:r>
      <w:r>
        <w:rPr>
          <w:rFonts w:hint="eastAsia" w:ascii="仿宋_GB2312" w:hAnsi="仿宋_GB2312" w:eastAsia="仿宋_GB2312" w:cs="仿宋_GB2312"/>
          <w:color w:val="auto"/>
          <w:kern w:val="0"/>
          <w:sz w:val="32"/>
          <w:szCs w:val="32"/>
          <w:lang w:val="en-US" w:eastAsia="zh-CN"/>
        </w:rPr>
        <w:t>奖金、伙食补助费</w:t>
      </w:r>
      <w:r>
        <w:rPr>
          <w:rFonts w:hint="eastAsia" w:ascii="仿宋_GB2312" w:hAnsi="仿宋_GB2312" w:eastAsia="仿宋_GB2312" w:cs="仿宋_GB2312"/>
          <w:color w:val="auto"/>
          <w:kern w:val="0"/>
          <w:sz w:val="32"/>
          <w:szCs w:val="32"/>
        </w:rPr>
        <w:t>、机关事业单位基本养老保险缴费、职业年金缴费、</w:t>
      </w:r>
      <w:r>
        <w:rPr>
          <w:rFonts w:hint="eastAsia" w:ascii="仿宋_GB2312" w:hAnsi="仿宋_GB2312" w:eastAsia="仿宋_GB2312" w:cs="仿宋_GB2312"/>
          <w:color w:val="auto"/>
          <w:kern w:val="0"/>
          <w:sz w:val="32"/>
          <w:szCs w:val="32"/>
          <w:lang w:val="en-US" w:eastAsia="zh-CN"/>
        </w:rPr>
        <w:t>职工基本医疗保险缴费、其他社会保险缴费</w:t>
      </w:r>
      <w:r>
        <w:rPr>
          <w:rFonts w:hint="eastAsia" w:ascii="仿宋_GB2312" w:hAnsi="仿宋_GB2312" w:eastAsia="仿宋_GB2312" w:cs="仿宋_GB2312"/>
          <w:color w:val="auto"/>
          <w:kern w:val="0"/>
          <w:sz w:val="32"/>
          <w:szCs w:val="32"/>
        </w:rPr>
        <w:t>、住房公积金</w:t>
      </w:r>
      <w:r>
        <w:rPr>
          <w:rFonts w:hint="eastAsia" w:ascii="仿宋_GB2312" w:hAnsi="仿宋_GB2312" w:eastAsia="仿宋_GB2312" w:cs="仿宋_GB2312"/>
          <w:color w:val="auto"/>
          <w:kern w:val="0"/>
          <w:sz w:val="32"/>
          <w:szCs w:val="32"/>
          <w:lang w:val="en-US" w:eastAsia="zh-CN"/>
        </w:rPr>
        <w:t>等</w:t>
      </w:r>
      <w:r>
        <w:rPr>
          <w:rFonts w:hint="eastAsia" w:ascii="仿宋_GB2312" w:hAnsi="仿宋_GB2312" w:eastAsia="仿宋_GB2312" w:cs="仿宋_GB2312"/>
          <w:color w:val="auto"/>
          <w:kern w:val="0"/>
          <w:sz w:val="32"/>
          <w:szCs w:val="32"/>
        </w:rPr>
        <w:t>。</w:t>
      </w:r>
    </w:p>
    <w:p w14:paraId="78079EF5">
      <w:pP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000000"/>
          <w:kern w:val="0"/>
          <w:sz w:val="32"/>
          <w:szCs w:val="32"/>
        </w:rPr>
        <w:t>公用经费</w:t>
      </w:r>
      <w:r>
        <w:rPr>
          <w:rFonts w:hint="eastAsia" w:ascii="仿宋_GB2312" w:hAnsi="仿宋_GB2312" w:eastAsia="仿宋_GB2312" w:cs="仿宋_GB2312"/>
          <w:color w:val="000000"/>
          <w:kern w:val="0"/>
          <w:sz w:val="32"/>
          <w:szCs w:val="32"/>
          <w:lang w:val="en-US" w:eastAsia="zh-CN"/>
        </w:rPr>
        <w:t>25.1</w:t>
      </w:r>
      <w:r>
        <w:rPr>
          <w:rFonts w:hint="eastAsia" w:ascii="仿宋_GB2312" w:hAnsi="仿宋_GB2312" w:eastAsia="仿宋_GB2312" w:cs="仿宋_GB2312"/>
          <w:color w:val="000000"/>
          <w:kern w:val="0"/>
          <w:sz w:val="32"/>
          <w:szCs w:val="32"/>
        </w:rPr>
        <w:t>万元，主要包括：</w:t>
      </w:r>
      <w:r>
        <w:rPr>
          <w:rFonts w:hint="eastAsia" w:ascii="仿宋_GB2312" w:hAnsi="仿宋_GB2312" w:eastAsia="仿宋_GB2312" w:cs="仿宋_GB2312"/>
          <w:color w:val="auto"/>
          <w:kern w:val="0"/>
          <w:sz w:val="32"/>
          <w:szCs w:val="32"/>
        </w:rPr>
        <w:t>办公费、印刷费、邮电费、差旅费、</w:t>
      </w:r>
      <w:r>
        <w:rPr>
          <w:rFonts w:hint="eastAsia" w:ascii="仿宋_GB2312" w:hAnsi="仿宋_GB2312" w:eastAsia="仿宋_GB2312" w:cs="仿宋_GB2312"/>
          <w:color w:val="auto"/>
          <w:kern w:val="0"/>
          <w:sz w:val="32"/>
          <w:szCs w:val="32"/>
          <w:lang w:val="en-US" w:eastAsia="zh-CN"/>
        </w:rPr>
        <w:t>公务接待费、</w:t>
      </w:r>
      <w:r>
        <w:rPr>
          <w:rFonts w:hint="eastAsia" w:ascii="仿宋_GB2312" w:hAnsi="仿宋_GB2312" w:eastAsia="仿宋_GB2312" w:cs="仿宋_GB2312"/>
          <w:color w:val="auto"/>
          <w:kern w:val="0"/>
          <w:sz w:val="32"/>
          <w:szCs w:val="32"/>
        </w:rPr>
        <w:t>工会经费、福利费、其他交通费。</w:t>
      </w:r>
    </w:p>
    <w:p w14:paraId="25886B1B">
      <w:pPr>
        <w:numPr>
          <w:ilvl w:val="0"/>
          <w:numId w:val="0"/>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项目经费</w:t>
      </w:r>
      <w:r>
        <w:rPr>
          <w:rFonts w:hint="eastAsia" w:ascii="仿宋_GB2312" w:hAnsi="仿宋_GB2312" w:eastAsia="仿宋_GB2312" w:cs="仿宋_GB2312"/>
          <w:color w:val="auto"/>
          <w:kern w:val="0"/>
          <w:sz w:val="32"/>
          <w:szCs w:val="32"/>
          <w:lang w:val="en-US" w:eastAsia="zh-CN"/>
        </w:rPr>
        <w:t>6万元，</w:t>
      </w:r>
      <w:r>
        <w:rPr>
          <w:rFonts w:hint="eastAsia" w:ascii="仿宋_GB2312" w:hAnsi="仿宋_GB2312" w:eastAsia="仿宋_GB2312" w:cs="仿宋_GB2312"/>
          <w:color w:val="000000"/>
          <w:kern w:val="0"/>
          <w:sz w:val="32"/>
          <w:szCs w:val="32"/>
        </w:rPr>
        <w:t>主要用于机关及参公管理事业单位未单独设置项级科目的专门性财政管理工作的项目支出。</w:t>
      </w:r>
    </w:p>
    <w:p w14:paraId="79568FD0">
      <w:pPr>
        <w:rPr>
          <w:rStyle w:val="24"/>
          <w:rFonts w:hint="eastAsia" w:ascii="黑体" w:hAnsi="黑体" w:eastAsia="黑体" w:cs="黑体"/>
          <w:b w:val="0"/>
          <w:bCs/>
          <w:lang w:eastAsia="zh-CN"/>
        </w:rPr>
      </w:pPr>
      <w:r>
        <w:rPr>
          <w:rStyle w:val="24"/>
          <w:rFonts w:hint="eastAsia" w:ascii="黑体" w:hAnsi="黑体" w:eastAsia="黑体" w:cs="黑体"/>
          <w:b w:val="0"/>
          <w:bCs/>
          <w:lang w:eastAsia="zh-CN"/>
        </w:rPr>
        <w:t>五</w:t>
      </w:r>
      <w:r>
        <w:rPr>
          <w:rStyle w:val="24"/>
          <w:rFonts w:hint="eastAsia" w:ascii="黑体" w:hAnsi="黑体" w:eastAsia="黑体" w:cs="黑体"/>
          <w:b w:val="0"/>
          <w:bCs/>
        </w:rPr>
        <w:t>、政府性基金预算支出规模及变化情况说明</w:t>
      </w:r>
    </w:p>
    <w:p w14:paraId="3DC4494D">
      <w:pPr>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峨边彝族自治县供销社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2025年没有使用政府性基金预算拨款安排的支出。</w:t>
      </w:r>
    </w:p>
    <w:p w14:paraId="13A35B04">
      <w:pPr>
        <w:rPr>
          <w:rStyle w:val="24"/>
          <w:rFonts w:hint="eastAsia" w:ascii="黑体" w:hAnsi="黑体" w:eastAsia="黑体" w:cs="黑体"/>
          <w:b w:val="0"/>
          <w:bCs/>
        </w:rPr>
      </w:pPr>
      <w:r>
        <w:rPr>
          <w:rStyle w:val="24"/>
          <w:rFonts w:hint="eastAsia" w:ascii="黑体" w:hAnsi="黑体" w:eastAsia="黑体" w:cs="黑体"/>
          <w:b w:val="0"/>
          <w:bCs/>
          <w:lang w:eastAsia="zh-CN"/>
        </w:rPr>
        <w:t>六</w:t>
      </w:r>
      <w:r>
        <w:rPr>
          <w:rStyle w:val="24"/>
          <w:rFonts w:hint="eastAsia" w:ascii="黑体" w:hAnsi="黑体" w:eastAsia="黑体" w:cs="黑体"/>
          <w:b w:val="0"/>
          <w:bCs/>
        </w:rPr>
        <w:t>、国有资本经营预算支出规模及变化情况说明</w:t>
      </w:r>
    </w:p>
    <w:p w14:paraId="70293565">
      <w:pPr>
        <w:rPr>
          <w:rFonts w:hint="eastAsia" w:ascii="仿宋_GB2312" w:hAnsi="仿宋_GB2312" w:eastAsia="仿宋_GB2312" w:cs="仿宋_GB2312"/>
          <w:color w:val="FF0000"/>
          <w:kern w:val="0"/>
          <w:sz w:val="32"/>
          <w:szCs w:val="32"/>
          <w:lang w:eastAsia="zh-CN"/>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2025年没有使用国有资本经营预算拨款安排的支出。</w:t>
      </w:r>
    </w:p>
    <w:p w14:paraId="7B7C3CC9">
      <w:pPr>
        <w:pStyle w:val="4"/>
        <w:bidi w:val="0"/>
        <w:rPr>
          <w:rStyle w:val="24"/>
          <w:rFonts w:hint="eastAsia" w:ascii="黑体" w:hAnsi="黑体" w:eastAsia="黑体" w:cs="黑体"/>
          <w:b w:val="0"/>
          <w:bCs/>
          <w:lang w:eastAsia="zh-CN"/>
        </w:rPr>
      </w:pPr>
      <w:r>
        <w:rPr>
          <w:rStyle w:val="24"/>
          <w:rFonts w:hint="eastAsia" w:ascii="黑体" w:hAnsi="黑体" w:eastAsia="黑体" w:cs="黑体"/>
          <w:b w:val="0"/>
          <w:bCs/>
          <w:lang w:eastAsia="zh-CN"/>
        </w:rPr>
        <w:t>七</w:t>
      </w:r>
      <w:r>
        <w:rPr>
          <w:rStyle w:val="24"/>
          <w:rFonts w:hint="eastAsia" w:ascii="黑体" w:hAnsi="黑体" w:eastAsia="黑体" w:cs="黑体"/>
          <w:b w:val="0"/>
          <w:bCs/>
        </w:rPr>
        <w:t>、“三公”经费预算安排情况说明</w:t>
      </w:r>
    </w:p>
    <w:p w14:paraId="4BEAB7DB">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年“三公”经费</w:t>
      </w:r>
      <w:r>
        <w:rPr>
          <w:rFonts w:hint="eastAsia" w:ascii="仿宋_GB2312" w:hAnsi="仿宋_GB2312" w:eastAsia="仿宋_GB2312" w:cs="仿宋_GB2312"/>
          <w:color w:val="000000"/>
          <w:kern w:val="0"/>
          <w:sz w:val="32"/>
          <w:szCs w:val="32"/>
          <w:lang w:eastAsia="zh-CN"/>
        </w:rPr>
        <w:t>财政拨款</w:t>
      </w:r>
      <w:r>
        <w:rPr>
          <w:rFonts w:hint="eastAsia" w:ascii="仿宋_GB2312" w:hAnsi="仿宋_GB2312" w:eastAsia="仿宋_GB2312" w:cs="仿宋_GB2312"/>
          <w:color w:val="000000"/>
          <w:kern w:val="0"/>
          <w:sz w:val="32"/>
          <w:szCs w:val="32"/>
        </w:rPr>
        <w:t>预算数</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万元。其中</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因公出国（境）经费</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万元，公务接待费</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万元，公务用车购置及运行维护费</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w:t>
      </w:r>
    </w:p>
    <w:p w14:paraId="21C81EF3">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因公出国（境）经费较上年预算持平。主要原因是</w:t>
      </w: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eastAsia="zh-CN"/>
        </w:rPr>
        <w:t>和2024</w:t>
      </w:r>
      <w:r>
        <w:rPr>
          <w:rFonts w:hint="eastAsia" w:ascii="仿宋_GB2312" w:hAnsi="仿宋_GB2312" w:eastAsia="仿宋_GB2312" w:cs="仿宋_GB2312"/>
          <w:color w:val="000000"/>
          <w:kern w:val="0"/>
          <w:sz w:val="32"/>
          <w:szCs w:val="32"/>
        </w:rPr>
        <w:t>年均无因公出国（境）费用支出。</w:t>
      </w:r>
    </w:p>
    <w:p w14:paraId="0500C2D0">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2.公务接待费较上年预算减少</w:t>
      </w:r>
      <w:r>
        <w:rPr>
          <w:rFonts w:hint="eastAsia" w:ascii="仿宋_GB2312" w:hAnsi="仿宋_GB2312" w:eastAsia="仿宋_GB2312" w:cs="仿宋_GB2312"/>
          <w:color w:val="000000"/>
          <w:kern w:val="0"/>
          <w:sz w:val="32"/>
          <w:szCs w:val="32"/>
          <w:lang w:val="en-US" w:eastAsia="zh-CN"/>
        </w:rPr>
        <w:t>26</w:t>
      </w:r>
      <w:r>
        <w:rPr>
          <w:rFonts w:hint="eastAsia" w:ascii="仿宋_GB2312" w:hAnsi="仿宋_GB2312" w:eastAsia="仿宋_GB2312" w:cs="仿宋_GB2312"/>
          <w:color w:val="000000"/>
          <w:kern w:val="0"/>
          <w:sz w:val="32"/>
          <w:szCs w:val="32"/>
        </w:rPr>
        <w:t>万元，下降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86</w:t>
      </w:r>
      <w:r>
        <w:rPr>
          <w:rFonts w:hint="eastAsia" w:ascii="仿宋_GB2312" w:hAnsi="仿宋_GB2312" w:eastAsia="仿宋_GB2312" w:cs="仿宋_GB2312"/>
          <w:color w:val="000000"/>
          <w:kern w:val="0"/>
          <w:sz w:val="32"/>
          <w:szCs w:val="32"/>
        </w:rPr>
        <w:t>%。主要原因是按照中央八项规定及厉行节约、反对浪费的要求，简化接待程序，严格控制用餐及住宿标准，减少公务接待开支。</w:t>
      </w:r>
    </w:p>
    <w:p w14:paraId="3254A3CC">
      <w:pPr>
        <w:bidi w:val="0"/>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2025</w:t>
      </w:r>
      <w:r>
        <w:rPr>
          <w:rFonts w:hint="eastAsia" w:ascii="仿宋_GB2312" w:hAnsi="仿宋_GB2312" w:eastAsia="仿宋_GB2312" w:cs="仿宋_GB2312"/>
          <w:color w:val="000000" w:themeColor="text1"/>
          <w:kern w:val="0"/>
          <w:sz w:val="32"/>
          <w:szCs w:val="32"/>
          <w14:textFill>
            <w14:solidFill>
              <w14:schemeClr w14:val="tx1"/>
            </w14:solidFill>
          </w14:textFill>
        </w:rPr>
        <w:t>年公务接待费计划用于</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上级部门</w:t>
      </w:r>
      <w:r>
        <w:rPr>
          <w:rFonts w:hint="eastAsia" w:ascii="仿宋_GB2312" w:hAnsi="仿宋_GB2312" w:eastAsia="仿宋_GB2312" w:cs="仿宋_GB2312"/>
          <w:color w:val="000000" w:themeColor="text1"/>
          <w:kern w:val="0"/>
          <w:sz w:val="32"/>
          <w:szCs w:val="32"/>
          <w14:textFill>
            <w14:solidFill>
              <w14:schemeClr w14:val="tx1"/>
            </w14:solidFill>
          </w14:textFill>
        </w:rPr>
        <w:t>调研指导工作和</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周边区市县</w:t>
      </w:r>
      <w:r>
        <w:rPr>
          <w:rFonts w:hint="eastAsia" w:ascii="仿宋_GB2312" w:hAnsi="仿宋_GB2312" w:eastAsia="仿宋_GB2312" w:cs="仿宋_GB2312"/>
          <w:color w:val="000000" w:themeColor="text1"/>
          <w:kern w:val="0"/>
          <w:sz w:val="32"/>
          <w:szCs w:val="32"/>
          <w14:textFill>
            <w14:solidFill>
              <w14:schemeClr w14:val="tx1"/>
            </w14:solidFill>
          </w14:textFill>
        </w:rPr>
        <w:t>来我单位交流学习等。</w:t>
      </w:r>
    </w:p>
    <w:p w14:paraId="5A6D17EA">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themeColor="text1"/>
          <w:kern w:val="0"/>
          <w:sz w:val="32"/>
          <w:szCs w:val="32"/>
          <w14:textFill>
            <w14:solidFill>
              <w14:schemeClr w14:val="tx1"/>
            </w14:solidFill>
          </w14:textFill>
        </w:rPr>
        <w:t>3.公务用车购置及运行维护费较上年预算减少</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430</w:t>
      </w:r>
      <w:r>
        <w:rPr>
          <w:rFonts w:hint="eastAsia" w:ascii="仿宋_GB2312" w:hAnsi="仿宋_GB2312" w:eastAsia="仿宋_GB2312" w:cs="仿宋_GB2312"/>
          <w:color w:val="000000" w:themeColor="text1"/>
          <w:kern w:val="0"/>
          <w:sz w:val="32"/>
          <w:szCs w:val="32"/>
          <w14:textFill>
            <w14:solidFill>
              <w14:schemeClr w14:val="tx1"/>
            </w14:solidFill>
          </w14:textFill>
        </w:rPr>
        <w:t>万元，下降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kern w:val="0"/>
          <w:sz w:val="32"/>
          <w:szCs w:val="32"/>
          <w14:textFill>
            <w14:solidFill>
              <w14:schemeClr w14:val="tx1"/>
            </w14:solidFill>
          </w14:textFill>
        </w:rPr>
        <w:t>%。主要原因是</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因机构改革职能划转，2025年</w:t>
      </w:r>
      <w:r>
        <w:rPr>
          <w:rFonts w:hint="eastAsia" w:ascii="仿宋_GB2312" w:hAnsi="仿宋_GB2312" w:eastAsia="仿宋_GB2312" w:cs="仿宋_GB2312"/>
          <w:color w:val="000000" w:themeColor="text1"/>
          <w:kern w:val="0"/>
          <w:sz w:val="32"/>
          <w:szCs w:val="32"/>
          <w14:textFill>
            <w14:solidFill>
              <w14:schemeClr w14:val="tx1"/>
            </w14:solidFill>
          </w14:textFill>
        </w:rPr>
        <w:t>公务用车购置及运行维护费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不在本单位预算</w:t>
      </w:r>
      <w:r>
        <w:rPr>
          <w:rFonts w:hint="eastAsia" w:ascii="仿宋_GB2312" w:hAnsi="仿宋_GB2312" w:eastAsia="仿宋_GB2312" w:cs="仿宋_GB2312"/>
          <w:color w:val="000000"/>
          <w:kern w:val="0"/>
          <w:sz w:val="32"/>
          <w:szCs w:val="32"/>
        </w:rPr>
        <w:t>。</w:t>
      </w:r>
    </w:p>
    <w:p w14:paraId="4FCCF42E">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单位现有公务用车</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辆，其中：轿车</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辆，越野车</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辆，其他车型</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辆。</w:t>
      </w:r>
    </w:p>
    <w:p w14:paraId="04C3F0EF">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2025年安排公务用车购置费0万元。</w:t>
      </w:r>
    </w:p>
    <w:p w14:paraId="7ED3D8F1">
      <w:pPr>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lang w:eastAsia="zh-CN"/>
        </w:rPr>
        <w:t>2025</w:t>
      </w:r>
      <w:r>
        <w:rPr>
          <w:rFonts w:hint="eastAsia" w:ascii="仿宋_GB2312" w:hAnsi="仿宋_GB2312" w:eastAsia="仿宋_GB2312" w:cs="仿宋_GB2312"/>
          <w:color w:val="000000"/>
          <w:kern w:val="0"/>
          <w:sz w:val="32"/>
          <w:szCs w:val="32"/>
        </w:rPr>
        <w:t>年安排公务用车运行维护费</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rPr>
        <w:t>万元，用于公务用车燃油、维修、保险及其他车辆支出</w:t>
      </w:r>
      <w:r>
        <w:rPr>
          <w:rFonts w:hint="eastAsia" w:ascii="仿宋_GB2312" w:hAnsi="仿宋_GB2312" w:eastAsia="仿宋_GB2312" w:cs="仿宋_GB2312"/>
          <w:color w:val="000000"/>
          <w:kern w:val="0"/>
          <w:sz w:val="32"/>
          <w:szCs w:val="32"/>
          <w:lang w:eastAsia="zh-CN"/>
        </w:rPr>
        <w:t>，主要保障相关工作开展</w:t>
      </w:r>
      <w:r>
        <w:rPr>
          <w:rFonts w:hint="eastAsia" w:ascii="仿宋_GB2312" w:hAnsi="仿宋_GB2312" w:eastAsia="仿宋_GB2312" w:cs="仿宋_GB2312"/>
          <w:color w:val="000000"/>
          <w:kern w:val="0"/>
          <w:sz w:val="32"/>
          <w:szCs w:val="32"/>
        </w:rPr>
        <w:t>。</w:t>
      </w:r>
    </w:p>
    <w:p w14:paraId="25C3327F">
      <w:pPr>
        <w:pStyle w:val="4"/>
        <w:bidi w:val="0"/>
        <w:rPr>
          <w:rStyle w:val="24"/>
          <w:rFonts w:hint="eastAsia" w:ascii="黑体" w:hAnsi="黑体" w:eastAsia="黑体" w:cs="黑体"/>
          <w:b w:val="0"/>
          <w:bCs/>
          <w:lang w:eastAsia="zh-CN"/>
        </w:rPr>
      </w:pPr>
      <w:r>
        <w:rPr>
          <w:rStyle w:val="24"/>
          <w:rFonts w:hint="eastAsia" w:ascii="黑体" w:hAnsi="黑体" w:eastAsia="黑体" w:cs="黑体"/>
          <w:b w:val="0"/>
          <w:bCs/>
          <w:lang w:eastAsia="zh-CN"/>
        </w:rPr>
        <w:t>八</w:t>
      </w:r>
      <w:r>
        <w:rPr>
          <w:rStyle w:val="24"/>
          <w:rFonts w:hint="eastAsia" w:ascii="黑体" w:hAnsi="黑体" w:eastAsia="黑体" w:cs="黑体"/>
          <w:b w:val="0"/>
          <w:bCs/>
        </w:rPr>
        <w:t>、其他重要事项的情况说明</w:t>
      </w:r>
    </w:p>
    <w:p w14:paraId="6F1336CF">
      <w:pPr>
        <w:suppressAutoHyphens/>
        <w:spacing w:line="580" w:lineRule="exact"/>
        <w:ind w:firstLine="640" w:firstLineChars="200"/>
        <w:jc w:val="both"/>
        <w:outlineLvl w:val="2"/>
        <w:rPr>
          <w:rFonts w:hint="eastAsia" w:ascii="Times New Roman" w:hAnsi="Times New Roman" w:eastAsia="楷体_GB2312" w:cs="Times New Roman"/>
          <w:b w:val="0"/>
          <w:bCs/>
          <w:sz w:val="32"/>
          <w:szCs w:val="32"/>
          <w:lang w:eastAsia="zh-CN"/>
        </w:rPr>
      </w:pPr>
      <w:r>
        <w:rPr>
          <w:rFonts w:hint="eastAsia" w:ascii="Times New Roman" w:hAnsi="Times New Roman" w:eastAsia="楷体_GB2312" w:cs="Times New Roman"/>
          <w:b w:val="0"/>
          <w:bCs/>
          <w:sz w:val="32"/>
          <w:szCs w:val="32"/>
        </w:rPr>
        <w:t>（一）机关运行经费。</w:t>
      </w:r>
    </w:p>
    <w:p w14:paraId="50498B45">
      <w:pPr>
        <w:bidi w:val="0"/>
        <w:rPr>
          <w:rFonts w:hint="eastAsia" w:ascii="Times New Roman" w:hAnsi="Times New Roman" w:eastAsia="仿宋_GB2312" w:cs="仿宋_GB2312"/>
          <w:color w:val="000000"/>
          <w:sz w:val="32"/>
          <w:szCs w:val="32"/>
          <w:shd w:val="clear" w:color="auto" w:fill="FFFFFF"/>
          <w:lang w:eastAsia="zh-CN"/>
        </w:rPr>
      </w:pPr>
      <w:r>
        <w:rPr>
          <w:rFonts w:hint="eastAsia" w:ascii="仿宋_GB2312" w:hAnsi="仿宋_GB2312" w:eastAsia="仿宋_GB2312" w:cs="仿宋_GB2312"/>
          <w:color w:val="000000"/>
          <w:sz w:val="32"/>
          <w:szCs w:val="32"/>
          <w:shd w:val="clear" w:color="auto" w:fill="FFFFFF"/>
          <w:lang w:eastAsia="zh-CN"/>
        </w:rPr>
        <w:t>2025</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峨边彝族自治县供销社</w:t>
      </w:r>
      <w:r>
        <w:rPr>
          <w:rFonts w:hint="eastAsia" w:ascii="仿宋_GB2312" w:hAnsi="仿宋_GB2312" w:eastAsia="仿宋_GB2312" w:cs="仿宋_GB2312"/>
          <w:color w:val="000000" w:themeColor="text1"/>
          <w:sz w:val="32"/>
          <w:szCs w:val="32"/>
          <w:lang w:eastAsia="zh-CN"/>
          <w14:textFill>
            <w14:solidFill>
              <w14:schemeClr w14:val="tx1"/>
            </w14:solidFill>
          </w14:textFill>
        </w:rPr>
        <w:t>运行经费财政拨款预算为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25.1</w:t>
      </w:r>
      <w:r>
        <w:rPr>
          <w:rFonts w:hint="eastAsia" w:ascii="仿宋_GB2312" w:hAnsi="仿宋_GB2312" w:eastAsia="仿宋_GB2312" w:cs="仿宋_GB2312"/>
          <w:color w:val="000000"/>
          <w:sz w:val="32"/>
          <w:szCs w:val="32"/>
          <w:shd w:val="clear" w:color="auto" w:fill="FFFFFF"/>
        </w:rPr>
        <w:t>万元</w:t>
      </w:r>
      <w:r>
        <w:rPr>
          <w:rFonts w:hint="eastAsia" w:ascii="仿宋_GB2312" w:hAnsi="仿宋_GB2312" w:eastAsia="仿宋_GB2312" w:cs="仿宋_GB2312"/>
          <w:color w:val="000000"/>
          <w:sz w:val="32"/>
          <w:szCs w:val="32"/>
          <w:shd w:val="clear" w:color="auto" w:fill="FFFFFF"/>
          <w:lang w:eastAsia="zh-CN"/>
        </w:rPr>
        <w:t>，比2024年</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预算</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602.4</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万元，主要原因是</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因机构改革职能职责减少，机构运行经费减少</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p>
    <w:p w14:paraId="2EFFAF65">
      <w:pPr>
        <w:suppressAutoHyphens/>
        <w:spacing w:line="580" w:lineRule="exact"/>
        <w:ind w:firstLine="640" w:firstLineChars="200"/>
        <w:jc w:val="both"/>
        <w:outlineLvl w:val="2"/>
        <w:rPr>
          <w:rFonts w:hint="eastAsia" w:ascii="Times New Roman" w:hAnsi="Times New Roman" w:eastAsia="楷体_GB2312" w:cs="Times New Roman"/>
          <w:b w:val="0"/>
          <w:bCs/>
          <w:sz w:val="32"/>
          <w:szCs w:val="32"/>
          <w:lang w:eastAsia="zh-CN"/>
        </w:rPr>
      </w:pPr>
      <w:r>
        <w:rPr>
          <w:rFonts w:hint="eastAsia" w:ascii="Times New Roman" w:hAnsi="Times New Roman" w:eastAsia="楷体_GB2312" w:cs="Times New Roman"/>
          <w:b w:val="0"/>
          <w:bCs/>
          <w:sz w:val="32"/>
          <w:szCs w:val="32"/>
        </w:rPr>
        <w:t>（二）政府采购情况。</w:t>
      </w:r>
    </w:p>
    <w:p w14:paraId="4E8F2086">
      <w:pPr>
        <w:suppressAutoHyphens/>
        <w:spacing w:line="580" w:lineRule="exact"/>
        <w:ind w:firstLine="640" w:firstLineChars="200"/>
        <w:jc w:val="both"/>
        <w:outlineLvl w:val="2"/>
        <w:rPr>
          <w:rFonts w:hint="eastAsia" w:ascii="Times New Roman" w:hAnsi="Times New Roman" w:eastAsia="仿宋_GB2312" w:cs="仿宋_GB2312"/>
          <w:color w:val="000000"/>
          <w:kern w:val="0"/>
          <w:sz w:val="32"/>
          <w:szCs w:val="32"/>
          <w:lang w:eastAsia="zh-CN"/>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color w:val="000000"/>
          <w:kern w:val="0"/>
          <w:sz w:val="32"/>
          <w:szCs w:val="32"/>
          <w:lang w:eastAsia="zh-CN"/>
        </w:rPr>
        <w:t>2025年无政府采购项目，未安排政府采购预算。</w:t>
      </w:r>
    </w:p>
    <w:p w14:paraId="6D37188D">
      <w:pPr>
        <w:suppressAutoHyphens/>
        <w:spacing w:line="580" w:lineRule="exact"/>
        <w:ind w:firstLine="640" w:firstLineChars="200"/>
        <w:jc w:val="both"/>
        <w:outlineLvl w:val="2"/>
        <w:rPr>
          <w:rFonts w:hint="eastAsia" w:ascii="Times New Roman" w:hAnsi="Times New Roman" w:eastAsia="楷体_GB2312" w:cs="Times New Roman"/>
          <w:b w:val="0"/>
          <w:bCs/>
          <w:sz w:val="32"/>
          <w:szCs w:val="32"/>
        </w:rPr>
      </w:pPr>
      <w:r>
        <w:rPr>
          <w:rFonts w:hint="eastAsia" w:ascii="Times New Roman" w:hAnsi="Times New Roman" w:eastAsia="楷体_GB2312" w:cs="Times New Roman"/>
          <w:b w:val="0"/>
          <w:bCs/>
          <w:sz w:val="32"/>
          <w:szCs w:val="32"/>
        </w:rPr>
        <w:t>（</w:t>
      </w:r>
      <w:r>
        <w:rPr>
          <w:rFonts w:hint="eastAsia" w:ascii="Times New Roman" w:hAnsi="Times New Roman" w:eastAsia="楷体_GB2312" w:cs="Times New Roman"/>
          <w:b w:val="0"/>
          <w:bCs/>
          <w:sz w:val="32"/>
          <w:szCs w:val="32"/>
          <w:lang w:eastAsia="zh-CN"/>
        </w:rPr>
        <w:t>三</w:t>
      </w:r>
      <w:r>
        <w:rPr>
          <w:rFonts w:hint="eastAsia" w:ascii="Times New Roman" w:hAnsi="Times New Roman" w:eastAsia="楷体_GB2312" w:cs="Times New Roman"/>
          <w:b w:val="0"/>
          <w:bCs/>
          <w:sz w:val="32"/>
          <w:szCs w:val="32"/>
        </w:rPr>
        <w:t>）国有资产占有使用情况。</w:t>
      </w:r>
    </w:p>
    <w:p w14:paraId="6F719488">
      <w:pPr>
        <w:rPr>
          <w:rFonts w:hint="eastAsia" w:ascii="Times New Roman" w:hAnsi="Times New Roman" w:eastAsia="仿宋_GB2312" w:cs="仿宋_GB2312"/>
          <w:color w:val="000000"/>
          <w:kern w:val="0"/>
        </w:rPr>
      </w:pPr>
      <w:r>
        <w:rPr>
          <w:rFonts w:hint="eastAsia" w:ascii="Times New Roman" w:hAnsi="Times New Roman" w:eastAsia="仿宋_GB2312" w:cs="仿宋_GB2312"/>
          <w:color w:val="000000"/>
          <w:kern w:val="0"/>
        </w:rPr>
        <w:t>截至2024年底，</w:t>
      </w:r>
      <w:r>
        <w:rPr>
          <w:rFonts w:hint="eastAsia" w:ascii="Times New Roman" w:hAnsi="Times New Roman" w:eastAsia="仿宋_GB2312" w:cs="仿宋_GB2312"/>
          <w:color w:val="000000"/>
          <w:kern w:val="0"/>
          <w:lang w:val="en-US" w:eastAsia="zh-CN"/>
        </w:rPr>
        <w:t>峨边彝族自治县供销社</w:t>
      </w:r>
      <w:r>
        <w:rPr>
          <w:rFonts w:hint="eastAsia" w:ascii="Times New Roman" w:hAnsi="Times New Roman" w:eastAsia="仿宋_GB2312" w:cs="仿宋_GB2312"/>
          <w:color w:val="000000"/>
          <w:kern w:val="0"/>
        </w:rPr>
        <w:t>所属各预算单位共有车辆</w:t>
      </w:r>
      <w:r>
        <w:rPr>
          <w:rFonts w:hint="eastAsia" w:ascii="Times New Roman" w:hAnsi="Times New Roman" w:eastAsia="仿宋_GB2312" w:cs="仿宋_GB2312"/>
          <w:color w:val="000000"/>
          <w:kern w:val="0"/>
          <w:lang w:val="en-US" w:eastAsia="zh-CN"/>
        </w:rPr>
        <w:t>7</w:t>
      </w:r>
      <w:r>
        <w:rPr>
          <w:rFonts w:hint="eastAsia" w:ascii="Times New Roman" w:hAnsi="Times New Roman" w:eastAsia="仿宋_GB2312" w:cs="仿宋_GB2312"/>
          <w:color w:val="000000"/>
          <w:kern w:val="0"/>
        </w:rPr>
        <w:t>辆，其中，县级领导干部用车</w:t>
      </w:r>
      <w:r>
        <w:rPr>
          <w:rFonts w:hint="eastAsia" w:ascii="Times New Roman" w:hAnsi="Times New Roman" w:eastAsia="仿宋_GB2312" w:cs="仿宋_GB2312"/>
          <w:color w:val="000000"/>
          <w:kern w:val="0"/>
          <w:lang w:val="en-US" w:eastAsia="zh-CN"/>
        </w:rPr>
        <w:t>0</w:t>
      </w:r>
      <w:r>
        <w:rPr>
          <w:rFonts w:hint="eastAsia" w:ascii="Times New Roman" w:hAnsi="Times New Roman" w:eastAsia="仿宋_GB2312" w:cs="仿宋_GB2312"/>
          <w:color w:val="000000"/>
          <w:kern w:val="0"/>
        </w:rPr>
        <w:t>辆、定向保障用车</w:t>
      </w:r>
      <w:r>
        <w:rPr>
          <w:rFonts w:hint="eastAsia" w:ascii="Times New Roman" w:hAnsi="Times New Roman" w:eastAsia="仿宋_GB2312" w:cs="仿宋_GB2312"/>
          <w:color w:val="000000"/>
          <w:kern w:val="0"/>
          <w:lang w:val="en-US" w:eastAsia="zh-CN"/>
        </w:rPr>
        <w:t>0</w:t>
      </w:r>
      <w:r>
        <w:rPr>
          <w:rFonts w:hint="eastAsia" w:ascii="Times New Roman" w:hAnsi="Times New Roman" w:eastAsia="仿宋_GB2312" w:cs="仿宋_GB2312"/>
          <w:color w:val="000000"/>
          <w:kern w:val="0"/>
        </w:rPr>
        <w:t>辆、执法执勤用车</w:t>
      </w:r>
      <w:r>
        <w:rPr>
          <w:rFonts w:hint="eastAsia" w:ascii="Times New Roman" w:hAnsi="Times New Roman" w:eastAsia="仿宋_GB2312" w:cs="仿宋_GB2312"/>
          <w:color w:val="000000"/>
          <w:kern w:val="0"/>
          <w:lang w:val="en-US" w:eastAsia="zh-CN"/>
        </w:rPr>
        <w:t>7</w:t>
      </w:r>
      <w:r>
        <w:rPr>
          <w:rFonts w:hint="eastAsia" w:ascii="Times New Roman" w:hAnsi="Times New Roman" w:eastAsia="仿宋_GB2312" w:cs="仿宋_GB2312"/>
          <w:color w:val="000000"/>
          <w:kern w:val="0"/>
        </w:rPr>
        <w:t>辆。单位价值200万元以上大型设备</w:t>
      </w:r>
      <w:r>
        <w:rPr>
          <w:rFonts w:hint="eastAsia" w:ascii="Times New Roman" w:hAnsi="Times New Roman" w:eastAsia="仿宋_GB2312" w:cs="仿宋_GB2312"/>
          <w:color w:val="000000"/>
          <w:kern w:val="0"/>
          <w:lang w:val="en-US" w:eastAsia="zh-CN"/>
        </w:rPr>
        <w:t>0</w:t>
      </w:r>
      <w:r>
        <w:rPr>
          <w:rFonts w:hint="eastAsia" w:ascii="Times New Roman" w:hAnsi="Times New Roman" w:eastAsia="仿宋_GB2312" w:cs="仿宋_GB2312"/>
          <w:color w:val="000000"/>
          <w:kern w:val="0"/>
        </w:rPr>
        <w:t>台。</w:t>
      </w:r>
    </w:p>
    <w:p w14:paraId="3FCBF8D7">
      <w:pPr>
        <w:rPr>
          <w:rFonts w:hint="eastAsia" w:ascii="Times New Roman" w:hAnsi="Times New Roman" w:eastAsia="仿宋_GB2312" w:cs="仿宋_GB2312"/>
          <w:color w:val="000000"/>
          <w:kern w:val="0"/>
        </w:rPr>
      </w:pPr>
      <w:r>
        <w:rPr>
          <w:rFonts w:hint="eastAsia" w:ascii="Times New Roman" w:hAnsi="Times New Roman" w:eastAsia="仿宋_GB2312" w:cs="仿宋_GB2312"/>
          <w:kern w:val="0"/>
          <w:sz w:val="32"/>
          <w:szCs w:val="32"/>
          <w:lang w:val="en-US" w:eastAsia="zh-CN"/>
        </w:rPr>
        <w:t>峨边彝族自治县供销合作社联合社</w:t>
      </w:r>
      <w:r>
        <w:rPr>
          <w:rFonts w:hint="eastAsia" w:ascii="Times New Roman" w:hAnsi="Times New Roman" w:eastAsia="仿宋_GB2312" w:cs="仿宋_GB2312"/>
          <w:color w:val="000000"/>
          <w:kern w:val="0"/>
          <w:lang w:eastAsia="zh-CN"/>
        </w:rPr>
        <w:t>202</w:t>
      </w:r>
      <w:r>
        <w:rPr>
          <w:rFonts w:hint="eastAsia" w:ascii="Times New Roman" w:hAnsi="Times New Roman" w:eastAsia="仿宋_GB2312" w:cs="仿宋_GB2312"/>
          <w:color w:val="000000"/>
          <w:kern w:val="0"/>
          <w:lang w:val="en-US" w:eastAsia="zh-CN"/>
        </w:rPr>
        <w:t>5</w:t>
      </w:r>
      <w:r>
        <w:rPr>
          <w:rFonts w:hint="eastAsia" w:ascii="Times New Roman" w:hAnsi="Times New Roman" w:eastAsia="仿宋_GB2312" w:cs="仿宋_GB2312"/>
          <w:color w:val="000000"/>
          <w:kern w:val="0"/>
        </w:rPr>
        <w:t>年部门预算</w:t>
      </w:r>
      <w:r>
        <w:rPr>
          <w:rFonts w:hint="eastAsia" w:ascii="Times New Roman" w:hAnsi="Times New Roman" w:eastAsia="仿宋_GB2312" w:cs="仿宋_GB2312"/>
          <w:color w:val="000000" w:themeColor="text1"/>
          <w:kern w:val="0"/>
          <w14:textFill>
            <w14:solidFill>
              <w14:schemeClr w14:val="tx1"/>
            </w14:solidFill>
          </w14:textFill>
        </w:rPr>
        <w:t>未</w:t>
      </w:r>
      <w:r>
        <w:rPr>
          <w:rFonts w:hint="eastAsia" w:ascii="Times New Roman" w:hAnsi="Times New Roman" w:eastAsia="仿宋_GB2312" w:cs="仿宋_GB2312"/>
          <w:color w:val="000000"/>
          <w:kern w:val="0"/>
        </w:rPr>
        <w:t>安排购置车辆及单位价值200万元以上大型设备。</w:t>
      </w:r>
    </w:p>
    <w:p w14:paraId="009A1474">
      <w:pPr>
        <w:suppressAutoHyphens/>
        <w:spacing w:line="580" w:lineRule="exact"/>
        <w:ind w:firstLine="640" w:firstLineChars="200"/>
        <w:jc w:val="both"/>
        <w:outlineLvl w:val="2"/>
        <w:rPr>
          <w:rFonts w:hint="eastAsia" w:ascii="Times New Roman" w:hAnsi="Times New Roman" w:eastAsia="楷体_GB2312" w:cs="Times New Roman"/>
          <w:b w:val="0"/>
          <w:bCs/>
          <w:sz w:val="32"/>
          <w:szCs w:val="32"/>
          <w:lang w:eastAsia="zh-CN"/>
        </w:rPr>
      </w:pPr>
      <w:r>
        <w:rPr>
          <w:rFonts w:hint="eastAsia" w:ascii="Times New Roman" w:hAnsi="Times New Roman" w:eastAsia="楷体_GB2312" w:cs="Times New Roman"/>
          <w:b w:val="0"/>
          <w:bCs/>
          <w:sz w:val="32"/>
          <w:szCs w:val="32"/>
        </w:rPr>
        <w:t>（</w:t>
      </w:r>
      <w:r>
        <w:rPr>
          <w:rFonts w:hint="eastAsia" w:ascii="Times New Roman" w:hAnsi="Times New Roman" w:eastAsia="楷体_GB2312" w:cs="Times New Roman"/>
          <w:b w:val="0"/>
          <w:bCs/>
          <w:sz w:val="32"/>
          <w:szCs w:val="32"/>
          <w:lang w:eastAsia="zh-CN"/>
        </w:rPr>
        <w:t>四</w:t>
      </w:r>
      <w:r>
        <w:rPr>
          <w:rFonts w:hint="eastAsia" w:ascii="Times New Roman" w:hAnsi="Times New Roman" w:eastAsia="楷体_GB2312" w:cs="Times New Roman"/>
          <w:b w:val="0"/>
          <w:bCs/>
          <w:sz w:val="32"/>
          <w:szCs w:val="32"/>
        </w:rPr>
        <w:t>）绩效目标设置情况。</w:t>
      </w:r>
    </w:p>
    <w:p w14:paraId="35AB527D">
      <w:pPr>
        <w:bidi w:val="0"/>
        <w:rPr>
          <w:rFonts w:hint="eastAsia" w:ascii="Times New Roman" w:hAnsi="Times New Roman" w:eastAsia="仿宋_GB2312" w:cs="仿宋_GB2312"/>
          <w:color w:val="000000"/>
          <w:kern w:val="0"/>
          <w:sz w:val="32"/>
          <w:szCs w:val="32"/>
          <w:lang w:eastAsia="zh-CN"/>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2025年，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峨边彝族自治县供销社</w:t>
      </w:r>
      <w:r>
        <w:rPr>
          <w:rFonts w:hint="eastAsia" w:ascii="仿宋_GB2312" w:hAnsi="仿宋_GB2312" w:eastAsia="仿宋_GB2312" w:cs="仿宋_GB2312"/>
          <w:color w:val="000000"/>
          <w:kern w:val="0"/>
          <w:sz w:val="32"/>
          <w:szCs w:val="32"/>
          <w:lang w:eastAsia="zh-CN"/>
        </w:rPr>
        <w:t>开展绩效目标管理的项目</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个，涉及预算</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eastAsia="zh-CN"/>
        </w:rPr>
        <w:t>万元。其中：人员类项目</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eastAsia="zh-CN"/>
        </w:rPr>
        <w:t>个，涉及预算</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eastAsia="zh-CN"/>
        </w:rPr>
        <w:t>万元；运转类项目</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eastAsia="zh-CN"/>
        </w:rPr>
        <w:t>个，涉及预算</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eastAsia="zh-CN"/>
        </w:rPr>
        <w:t>万元；特定目标类项目</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eastAsia="zh-CN"/>
        </w:rPr>
        <w:t>个，涉及预算</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lang w:eastAsia="zh-CN"/>
        </w:rPr>
        <w:t>万元</w:t>
      </w:r>
      <w:r>
        <w:rPr>
          <w:rFonts w:hint="eastAsia" w:ascii="仿宋_GB2312" w:hAnsi="仿宋_GB2312" w:eastAsia="仿宋_GB2312" w:cs="仿宋_GB2312"/>
          <w:color w:val="000000"/>
          <w:kern w:val="0"/>
          <w:sz w:val="32"/>
          <w:szCs w:val="32"/>
        </w:rPr>
        <w:t>。</w:t>
      </w:r>
    </w:p>
    <w:p w14:paraId="340956C2">
      <w:pPr>
        <w:pStyle w:val="2"/>
        <w:numPr>
          <w:ilvl w:val="0"/>
          <w:numId w:val="0"/>
        </w:numPr>
        <w:bidi w:val="0"/>
        <w:jc w:val="both"/>
        <w:rPr>
          <w:rFonts w:hint="eastAsia"/>
          <w:lang w:val="en-US" w:eastAsia="zh-CN"/>
        </w:rPr>
      </w:pPr>
    </w:p>
    <w:p w14:paraId="68D1E8AA">
      <w:pPr>
        <w:rPr>
          <w:rFonts w:hint="eastAsia"/>
          <w:lang w:val="en-US" w:eastAsia="zh-CN"/>
        </w:rPr>
      </w:pPr>
    </w:p>
    <w:p w14:paraId="14707982">
      <w:pPr>
        <w:rPr>
          <w:rFonts w:hint="eastAsia"/>
          <w:lang w:val="en-US" w:eastAsia="zh-CN"/>
        </w:rPr>
      </w:pPr>
    </w:p>
    <w:p w14:paraId="6B7F12E4">
      <w:pPr>
        <w:pStyle w:val="2"/>
        <w:numPr>
          <w:ilvl w:val="0"/>
          <w:numId w:val="0"/>
        </w:numPr>
        <w:bidi w:val="0"/>
        <w:jc w:val="center"/>
        <w:rPr>
          <w:rFonts w:hint="eastAsia" w:ascii="方正小标宋简体" w:hAnsi="方正小标宋简体" w:eastAsia="方正小标宋简体" w:cs="方正小标宋简体"/>
          <w:b w:val="0"/>
          <w:bCs/>
          <w:lang w:val="en-US" w:eastAsia="zh-CN"/>
        </w:rPr>
      </w:pPr>
    </w:p>
    <w:p w14:paraId="0B4EC4E3">
      <w:pPr>
        <w:pStyle w:val="2"/>
        <w:numPr>
          <w:ilvl w:val="0"/>
          <w:numId w:val="0"/>
        </w:numPr>
        <w:bidi w:val="0"/>
        <w:jc w:val="center"/>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第四部分 名词解释</w:t>
      </w:r>
    </w:p>
    <w:p w14:paraId="63B2A91B">
      <w:pPr>
        <w:widowControl w:val="0"/>
        <w:numPr>
          <w:ilvl w:val="0"/>
          <w:numId w:val="0"/>
        </w:numPr>
        <w:spacing w:line="360" w:lineRule="auto"/>
        <w:jc w:val="left"/>
        <w:rPr>
          <w:rFonts w:hint="eastAsia"/>
        </w:rPr>
      </w:pPr>
    </w:p>
    <w:p w14:paraId="4B2E3420">
      <w:pPr>
        <w:widowControl w:val="0"/>
        <w:numPr>
          <w:ilvl w:val="0"/>
          <w:numId w:val="0"/>
        </w:numPr>
        <w:spacing w:line="360" w:lineRule="auto"/>
        <w:jc w:val="left"/>
        <w:rPr>
          <w:rFonts w:hint="eastAsia"/>
        </w:rPr>
      </w:pPr>
    </w:p>
    <w:p w14:paraId="13D23309">
      <w:pPr>
        <w:widowControl w:val="0"/>
        <w:numPr>
          <w:ilvl w:val="0"/>
          <w:numId w:val="0"/>
        </w:numPr>
        <w:spacing w:line="360" w:lineRule="auto"/>
        <w:jc w:val="left"/>
        <w:rPr>
          <w:rFonts w:hint="eastAsia"/>
        </w:rPr>
      </w:pPr>
    </w:p>
    <w:p w14:paraId="6494FB04">
      <w:pPr>
        <w:widowControl w:val="0"/>
        <w:numPr>
          <w:ilvl w:val="0"/>
          <w:numId w:val="0"/>
        </w:numPr>
        <w:spacing w:line="360" w:lineRule="auto"/>
        <w:jc w:val="left"/>
        <w:rPr>
          <w:rFonts w:hint="eastAsia"/>
        </w:rPr>
      </w:pPr>
    </w:p>
    <w:p w14:paraId="08725BA3">
      <w:pPr>
        <w:widowControl w:val="0"/>
        <w:numPr>
          <w:ilvl w:val="0"/>
          <w:numId w:val="0"/>
        </w:numPr>
        <w:spacing w:line="360" w:lineRule="auto"/>
        <w:jc w:val="left"/>
        <w:rPr>
          <w:rFonts w:hint="eastAsia"/>
        </w:rPr>
      </w:pPr>
    </w:p>
    <w:p w14:paraId="56B729C5">
      <w:pPr>
        <w:widowControl w:val="0"/>
        <w:numPr>
          <w:ilvl w:val="0"/>
          <w:numId w:val="0"/>
        </w:numPr>
        <w:spacing w:line="360" w:lineRule="auto"/>
        <w:jc w:val="left"/>
        <w:rPr>
          <w:rFonts w:hint="eastAsia"/>
        </w:rPr>
      </w:pPr>
    </w:p>
    <w:p w14:paraId="0E6A3D87">
      <w:pPr>
        <w:widowControl w:val="0"/>
        <w:numPr>
          <w:ilvl w:val="0"/>
          <w:numId w:val="0"/>
        </w:numPr>
        <w:spacing w:line="360" w:lineRule="auto"/>
        <w:jc w:val="left"/>
        <w:rPr>
          <w:rFonts w:hint="eastAsia"/>
        </w:rPr>
      </w:pPr>
    </w:p>
    <w:p w14:paraId="03120474">
      <w:pPr>
        <w:widowControl w:val="0"/>
        <w:numPr>
          <w:ilvl w:val="0"/>
          <w:numId w:val="0"/>
        </w:numPr>
        <w:spacing w:line="360" w:lineRule="auto"/>
        <w:jc w:val="left"/>
        <w:rPr>
          <w:rFonts w:hint="eastAsia"/>
        </w:rPr>
      </w:pPr>
    </w:p>
    <w:p w14:paraId="5D932953">
      <w:pPr>
        <w:widowControl w:val="0"/>
        <w:numPr>
          <w:ilvl w:val="0"/>
          <w:numId w:val="0"/>
        </w:numPr>
        <w:spacing w:line="360" w:lineRule="auto"/>
        <w:jc w:val="left"/>
        <w:rPr>
          <w:rFonts w:hint="eastAsia"/>
        </w:rPr>
      </w:pPr>
    </w:p>
    <w:p w14:paraId="02C92A76">
      <w:pPr>
        <w:widowControl w:val="0"/>
        <w:numPr>
          <w:ilvl w:val="0"/>
          <w:numId w:val="0"/>
        </w:numPr>
        <w:spacing w:line="360" w:lineRule="auto"/>
        <w:jc w:val="left"/>
        <w:rPr>
          <w:rFonts w:hint="eastAsia"/>
        </w:rPr>
      </w:pPr>
    </w:p>
    <w:p w14:paraId="74DDA042">
      <w:pPr>
        <w:widowControl w:val="0"/>
        <w:numPr>
          <w:ilvl w:val="0"/>
          <w:numId w:val="0"/>
        </w:numPr>
        <w:spacing w:line="360" w:lineRule="auto"/>
        <w:jc w:val="left"/>
        <w:rPr>
          <w:rFonts w:hint="eastAsia"/>
        </w:rPr>
      </w:pPr>
    </w:p>
    <w:p w14:paraId="2EE443CF">
      <w:pPr>
        <w:bidi w:val="0"/>
        <w:rPr>
          <w:rFonts w:hint="eastAsia" w:ascii="仿宋_GB2312" w:hAnsi="仿宋_GB2312" w:eastAsia="仿宋_GB2312" w:cs="仿宋_GB2312"/>
          <w:lang w:eastAsia="zh-CN"/>
        </w:rPr>
      </w:pPr>
      <w:r>
        <w:rPr>
          <w:rFonts w:hint="eastAsia" w:ascii="楷体" w:hAnsi="楷体" w:eastAsia="楷体" w:cs="楷体"/>
          <w:lang w:eastAsia="zh-CN"/>
        </w:rPr>
        <w:t>（</w:t>
      </w:r>
      <w:r>
        <w:rPr>
          <w:rFonts w:hint="eastAsia" w:ascii="楷体" w:hAnsi="楷体" w:eastAsia="楷体" w:cs="楷体"/>
          <w:lang w:val="en-US" w:eastAsia="zh-CN"/>
        </w:rPr>
        <w:t>一</w:t>
      </w:r>
      <w:r>
        <w:rPr>
          <w:rFonts w:hint="eastAsia" w:ascii="楷体" w:hAnsi="楷体" w:eastAsia="楷体" w:cs="楷体"/>
          <w:lang w:eastAsia="zh-CN"/>
        </w:rPr>
        <w:t>）</w:t>
      </w:r>
      <w:r>
        <w:rPr>
          <w:rFonts w:hint="eastAsia" w:ascii="楷体" w:hAnsi="楷体" w:eastAsia="楷体" w:cs="楷体"/>
        </w:rPr>
        <w:t>财政拨款收支情况：</w:t>
      </w:r>
      <w:r>
        <w:rPr>
          <w:rFonts w:hint="eastAsia" w:ascii="仿宋_GB2312" w:hAnsi="仿宋_GB2312" w:eastAsia="仿宋_GB2312" w:cs="仿宋_GB2312"/>
        </w:rPr>
        <w:t>是指一般公共预算、政府性基金预算、国有资本经营预算拨款收支情况。</w:t>
      </w:r>
    </w:p>
    <w:p w14:paraId="5EF3ABB8">
      <w:pPr>
        <w:bidi w:val="0"/>
        <w:rPr>
          <w:rFonts w:hint="eastAsia" w:eastAsia="仿宋"/>
          <w:lang w:eastAsia="zh-CN"/>
        </w:rPr>
      </w:pPr>
      <w:r>
        <w:rPr>
          <w:rFonts w:hint="eastAsia" w:ascii="楷体" w:hAnsi="楷体" w:eastAsia="楷体" w:cs="楷体"/>
          <w:lang w:eastAsia="zh-CN"/>
        </w:rPr>
        <w:t>（二）财政拨款收入：</w:t>
      </w:r>
      <w:r>
        <w:rPr>
          <w:rFonts w:hint="eastAsia" w:ascii="仿宋_GB2312" w:hAnsi="仿宋_GB2312" w:eastAsia="仿宋_GB2312" w:cs="仿宋_GB2312"/>
        </w:rPr>
        <w:t>指</w:t>
      </w:r>
      <w:r>
        <w:rPr>
          <w:rFonts w:hint="eastAsia" w:ascii="仿宋_GB2312" w:hAnsi="仿宋_GB2312" w:eastAsia="仿宋_GB2312" w:cs="仿宋_GB2312"/>
          <w:lang w:eastAsia="zh-CN"/>
        </w:rPr>
        <w:t>县</w:t>
      </w:r>
      <w:r>
        <w:rPr>
          <w:rFonts w:hint="eastAsia" w:ascii="仿宋_GB2312" w:hAnsi="仿宋_GB2312" w:eastAsia="仿宋_GB2312" w:cs="仿宋_GB2312"/>
        </w:rPr>
        <w:t>级财政当年拨付的资金。</w:t>
      </w:r>
    </w:p>
    <w:p w14:paraId="57BC4ED7">
      <w:pPr>
        <w:bidi w:val="0"/>
        <w:rPr>
          <w:rFonts w:hint="eastAsia" w:eastAsia="仿宋"/>
          <w:lang w:eastAsia="zh-CN"/>
        </w:rPr>
      </w:pPr>
      <w:r>
        <w:rPr>
          <w:rFonts w:hint="eastAsia" w:ascii="楷体" w:hAnsi="楷体" w:eastAsia="楷体" w:cs="楷体"/>
          <w:lang w:eastAsia="zh-CN"/>
        </w:rPr>
        <w:t>（三）事业收入：</w:t>
      </w:r>
      <w:r>
        <w:rPr>
          <w:rFonts w:hint="eastAsia" w:ascii="仿宋_GB2312" w:hAnsi="仿宋_GB2312" w:eastAsia="仿宋_GB2312" w:cs="仿宋_GB2312"/>
        </w:rPr>
        <w:t>指事业单位开展专业业务活动及辅助活动所取得的收入。</w:t>
      </w:r>
    </w:p>
    <w:p w14:paraId="0A3A64A9">
      <w:pPr>
        <w:bidi w:val="0"/>
        <w:rPr>
          <w:rFonts w:hint="eastAsia" w:eastAsia="仿宋"/>
          <w:lang w:eastAsia="zh-CN"/>
        </w:rPr>
      </w:pPr>
      <w:r>
        <w:rPr>
          <w:rFonts w:hint="eastAsia" w:ascii="楷体" w:hAnsi="楷体" w:eastAsia="楷体" w:cs="楷体"/>
          <w:lang w:eastAsia="zh-CN"/>
        </w:rPr>
        <w:t>（四）事业单位经营收入：</w:t>
      </w:r>
      <w:r>
        <w:rPr>
          <w:rFonts w:hint="eastAsia" w:ascii="仿宋_GB2312" w:hAnsi="仿宋_GB2312" w:eastAsia="仿宋_GB2312" w:cs="仿宋_GB2312"/>
        </w:rPr>
        <w:t>指事业单位在专业业务活动及其辅助活动之外开展非独立核算经营活动取得的收入。</w:t>
      </w:r>
    </w:p>
    <w:p w14:paraId="55D69339">
      <w:pPr>
        <w:bidi w:val="0"/>
        <w:rPr>
          <w:rFonts w:hint="eastAsia" w:eastAsia="仿宋"/>
          <w:lang w:eastAsia="zh-CN"/>
        </w:rPr>
      </w:pPr>
      <w:r>
        <w:rPr>
          <w:rFonts w:hint="eastAsia" w:ascii="楷体" w:hAnsi="楷体" w:eastAsia="楷体" w:cs="楷体"/>
          <w:lang w:eastAsia="zh-CN"/>
        </w:rPr>
        <w:t>（五）其他收入：</w:t>
      </w:r>
      <w:r>
        <w:rPr>
          <w:rFonts w:hint="eastAsia" w:ascii="仿宋_GB2312" w:hAnsi="仿宋_GB2312" w:eastAsia="仿宋_GB2312" w:cs="仿宋_GB2312"/>
        </w:rPr>
        <w:t>指除上述“一般公共预算拨款收入</w:t>
      </w:r>
      <w:r>
        <w:rPr>
          <w:rFonts w:hint="eastAsia" w:ascii="仿宋_GB2312" w:hAnsi="仿宋_GB2312" w:eastAsia="仿宋_GB2312" w:cs="仿宋_GB2312"/>
          <w:lang w:eastAsia="zh-CN"/>
        </w:rPr>
        <w:t>”“</w:t>
      </w:r>
      <w:r>
        <w:rPr>
          <w:rFonts w:hint="eastAsia" w:ascii="仿宋_GB2312" w:hAnsi="仿宋_GB2312" w:eastAsia="仿宋_GB2312" w:cs="仿宋_GB2312"/>
        </w:rPr>
        <w:t>事业收入</w:t>
      </w:r>
      <w:r>
        <w:rPr>
          <w:rFonts w:hint="eastAsia" w:ascii="仿宋_GB2312" w:hAnsi="仿宋_GB2312" w:eastAsia="仿宋_GB2312" w:cs="仿宋_GB2312"/>
          <w:lang w:eastAsia="zh-CN"/>
        </w:rPr>
        <w:t>”“</w:t>
      </w:r>
      <w:r>
        <w:rPr>
          <w:rFonts w:hint="eastAsia" w:ascii="仿宋_GB2312" w:hAnsi="仿宋_GB2312" w:eastAsia="仿宋_GB2312" w:cs="仿宋_GB2312"/>
        </w:rPr>
        <w:t>事业单位经营收入”等以外的收入。主要是利息收入、国有资产出租收入等。</w:t>
      </w:r>
    </w:p>
    <w:p w14:paraId="60384CCC">
      <w:pPr>
        <w:bidi w:val="0"/>
        <w:rPr>
          <w:rFonts w:hint="eastAsia" w:eastAsia="仿宋"/>
          <w:lang w:eastAsia="zh-CN"/>
        </w:rPr>
      </w:pPr>
      <w:r>
        <w:rPr>
          <w:rFonts w:hint="eastAsia" w:ascii="楷体" w:hAnsi="楷体" w:eastAsia="楷体" w:cs="楷体"/>
          <w:lang w:val="en-US" w:eastAsia="zh-CN"/>
        </w:rPr>
        <w:t>（六）</w:t>
      </w:r>
      <w:r>
        <w:rPr>
          <w:rFonts w:hint="eastAsia" w:ascii="楷体" w:hAnsi="楷体" w:eastAsia="楷体" w:cs="楷体"/>
          <w:lang w:eastAsia="zh-CN"/>
        </w:rPr>
        <w:t>上年结转：</w:t>
      </w:r>
      <w:r>
        <w:rPr>
          <w:rFonts w:hint="eastAsia" w:ascii="仿宋_GB2312" w:hAnsi="仿宋_GB2312" w:eastAsia="仿宋_GB2312" w:cs="仿宋_GB2312"/>
        </w:rPr>
        <w:t>指以前年度</w:t>
      </w:r>
      <w:r>
        <w:rPr>
          <w:rFonts w:hint="eastAsia" w:ascii="仿宋_GB2312" w:hAnsi="仿宋_GB2312" w:eastAsia="仿宋_GB2312" w:cs="仿宋_GB2312"/>
          <w:lang w:eastAsia="zh-CN"/>
        </w:rPr>
        <w:t>安排、</w:t>
      </w:r>
      <w:r>
        <w:rPr>
          <w:rFonts w:hint="eastAsia" w:ascii="仿宋_GB2312" w:hAnsi="仿宋_GB2312" w:eastAsia="仿宋_GB2312" w:cs="仿宋_GB2312"/>
        </w:rPr>
        <w:t>结转到本年仍按原规定用途继续使用的资金。</w:t>
      </w:r>
    </w:p>
    <w:p w14:paraId="6C70D76C">
      <w:pPr>
        <w:bidi w:val="0"/>
        <w:rPr>
          <w:rFonts w:hint="eastAsia" w:eastAsia="仿宋"/>
          <w:lang w:eastAsia="zh-CN"/>
        </w:rPr>
      </w:pPr>
      <w:r>
        <w:rPr>
          <w:rFonts w:hint="eastAsia" w:ascii="楷体" w:hAnsi="楷体" w:eastAsia="楷体" w:cs="楷体"/>
          <w:lang w:val="en-US" w:eastAsia="zh-CN"/>
        </w:rPr>
        <w:t>（七）</w:t>
      </w:r>
      <w:r>
        <w:rPr>
          <w:rFonts w:hint="eastAsia" w:ascii="楷体" w:hAnsi="楷体" w:eastAsia="楷体" w:cs="楷体"/>
          <w:lang w:eastAsia="zh-CN"/>
        </w:rPr>
        <w:t>社会保障和就业（类）行政事业单位养老支出（款）事业单位离退休（项）：</w:t>
      </w:r>
      <w:r>
        <w:rPr>
          <w:rFonts w:hint="eastAsia" w:ascii="仿宋_GB2312" w:hAnsi="仿宋_GB2312" w:eastAsia="仿宋_GB2312" w:cs="仿宋_GB2312"/>
        </w:rPr>
        <w:t>指</w:t>
      </w:r>
      <w:r>
        <w:rPr>
          <w:rFonts w:hint="eastAsia" w:ascii="仿宋_GB2312" w:hAnsi="仿宋_GB2312" w:eastAsia="仿宋_GB2312" w:cs="仿宋_GB2312"/>
          <w:lang w:eastAsia="zh-CN"/>
        </w:rPr>
        <w:t>事业单位开支的离退休经费</w:t>
      </w:r>
      <w:r>
        <w:rPr>
          <w:rFonts w:hint="eastAsia" w:ascii="仿宋_GB2312" w:hAnsi="仿宋_GB2312" w:eastAsia="仿宋_GB2312" w:cs="仿宋_GB2312"/>
        </w:rPr>
        <w:t>。</w:t>
      </w:r>
    </w:p>
    <w:p w14:paraId="0D37F1CE">
      <w:pPr>
        <w:bidi w:val="0"/>
        <w:rPr>
          <w:rFonts w:hint="eastAsia" w:eastAsia="仿宋"/>
          <w:lang w:eastAsia="zh-CN"/>
        </w:rPr>
      </w:pPr>
      <w:r>
        <w:rPr>
          <w:rFonts w:hint="eastAsia" w:ascii="楷体" w:hAnsi="楷体" w:eastAsia="楷体" w:cs="楷体"/>
          <w:lang w:val="en-US" w:eastAsia="zh-CN"/>
        </w:rPr>
        <w:t>（八）</w:t>
      </w:r>
      <w:r>
        <w:rPr>
          <w:rFonts w:hint="eastAsia" w:ascii="楷体" w:hAnsi="楷体" w:eastAsia="楷体" w:cs="楷体"/>
          <w:lang w:eastAsia="zh-CN"/>
        </w:rPr>
        <w:t>社会保障和就业支出（类）行政事业单位养老支出（款）行政单位离退休（项）：</w:t>
      </w:r>
      <w:r>
        <w:rPr>
          <w:rFonts w:hint="eastAsia" w:ascii="仿宋_GB2312" w:hAnsi="仿宋_GB2312" w:eastAsia="仿宋_GB2312" w:cs="仿宋_GB2312"/>
        </w:rPr>
        <w:t>指</w:t>
      </w:r>
      <w:r>
        <w:rPr>
          <w:rFonts w:hint="eastAsia" w:ascii="仿宋_GB2312" w:hAnsi="仿宋_GB2312" w:eastAsia="仿宋_GB2312" w:cs="仿宋_GB2312"/>
          <w:lang w:eastAsia="zh-CN"/>
        </w:rPr>
        <w:t>行政单位（包括实行公务员管理的事业单位）开支的离退休经费。</w:t>
      </w:r>
    </w:p>
    <w:p w14:paraId="61CD88D9">
      <w:pPr>
        <w:bidi w:val="0"/>
        <w:rPr>
          <w:rFonts w:hint="eastAsia" w:eastAsia="仿宋"/>
          <w:lang w:eastAsia="zh-CN"/>
        </w:rPr>
      </w:pPr>
      <w:r>
        <w:rPr>
          <w:rFonts w:hint="eastAsia" w:ascii="楷体" w:hAnsi="楷体" w:eastAsia="楷体" w:cs="楷体"/>
          <w:lang w:eastAsia="zh-CN"/>
        </w:rPr>
        <w:t>（九）社会保障和就业支出（类）行政事业单位养老支出（款）机关事业单位基本养老保险缴费支出（项）：</w:t>
      </w:r>
      <w:r>
        <w:rPr>
          <w:rFonts w:hint="eastAsia" w:ascii="仿宋_GB2312" w:hAnsi="仿宋_GB2312" w:eastAsia="仿宋_GB2312" w:cs="仿宋_GB2312"/>
        </w:rPr>
        <w:t>指</w:t>
      </w:r>
      <w:r>
        <w:rPr>
          <w:rFonts w:hint="eastAsia" w:ascii="仿宋_GB2312" w:hAnsi="仿宋_GB2312" w:eastAsia="仿宋_GB2312" w:cs="仿宋_GB2312"/>
          <w:lang w:eastAsia="zh-CN"/>
        </w:rPr>
        <w:t>机关事业单位</w:t>
      </w:r>
      <w:r>
        <w:rPr>
          <w:rFonts w:hint="eastAsia" w:ascii="仿宋_GB2312" w:hAnsi="仿宋_GB2312" w:eastAsia="仿宋_GB2312" w:cs="仿宋_GB2312"/>
        </w:rPr>
        <w:t>实施养老保险制度由单位缴纳的</w:t>
      </w:r>
      <w:r>
        <w:rPr>
          <w:rFonts w:hint="eastAsia" w:ascii="仿宋_GB2312" w:hAnsi="仿宋_GB2312" w:eastAsia="仿宋_GB2312" w:cs="仿宋_GB2312"/>
          <w:lang w:eastAsia="zh-CN"/>
        </w:rPr>
        <w:t>基本</w:t>
      </w:r>
      <w:r>
        <w:rPr>
          <w:rFonts w:hint="eastAsia" w:ascii="仿宋_GB2312" w:hAnsi="仿宋_GB2312" w:eastAsia="仿宋_GB2312" w:cs="仿宋_GB2312"/>
        </w:rPr>
        <w:t>养老保险费的支出。</w:t>
      </w:r>
    </w:p>
    <w:p w14:paraId="1D0A55E4">
      <w:pPr>
        <w:bidi w:val="0"/>
        <w:rPr>
          <w:rFonts w:hint="eastAsia" w:eastAsia="仿宋"/>
          <w:lang w:eastAsia="zh-CN"/>
        </w:rPr>
      </w:pPr>
      <w:r>
        <w:rPr>
          <w:rFonts w:hint="eastAsia" w:ascii="楷体" w:hAnsi="楷体" w:eastAsia="楷体" w:cs="楷体"/>
          <w:lang w:eastAsia="zh-CN"/>
        </w:rPr>
        <w:t>（十）社会保障和就业支出（类）行政事业单位养老支出（款）机关事业单位职业年金缴费支出（项）：</w:t>
      </w:r>
      <w:r>
        <w:rPr>
          <w:rFonts w:hint="eastAsia" w:ascii="仿宋_GB2312" w:hAnsi="仿宋_GB2312" w:eastAsia="仿宋_GB2312" w:cs="仿宋_GB2312"/>
        </w:rPr>
        <w:t>指</w:t>
      </w:r>
      <w:r>
        <w:rPr>
          <w:rFonts w:hint="eastAsia" w:ascii="仿宋_GB2312" w:hAnsi="仿宋_GB2312" w:eastAsia="仿宋_GB2312" w:cs="仿宋_GB2312"/>
          <w:lang w:eastAsia="zh-CN"/>
        </w:rPr>
        <w:t>机关事业单位</w:t>
      </w:r>
      <w:r>
        <w:rPr>
          <w:rFonts w:hint="eastAsia" w:ascii="仿宋_GB2312" w:hAnsi="仿宋_GB2312" w:eastAsia="仿宋_GB2312" w:cs="仿宋_GB2312"/>
        </w:rPr>
        <w:t>实施养老保险制度由单位缴纳的职业年金的支出</w:t>
      </w:r>
      <w:r>
        <w:rPr>
          <w:rFonts w:hint="eastAsia" w:ascii="仿宋_GB2312" w:hAnsi="仿宋_GB2312" w:eastAsia="仿宋_GB2312" w:cs="仿宋_GB2312"/>
          <w:lang w:eastAsia="zh-CN"/>
        </w:rPr>
        <w:t>（含职业年金补记支出）</w:t>
      </w:r>
      <w:r>
        <w:rPr>
          <w:rFonts w:hint="eastAsia" w:ascii="仿宋_GB2312" w:hAnsi="仿宋_GB2312" w:eastAsia="仿宋_GB2312" w:cs="仿宋_GB2312"/>
        </w:rPr>
        <w:t>。</w:t>
      </w:r>
    </w:p>
    <w:p w14:paraId="22E36A4F">
      <w:pPr>
        <w:bidi w:val="0"/>
        <w:rPr>
          <w:rFonts w:hint="eastAsia" w:eastAsia="仿宋"/>
          <w:lang w:eastAsia="zh-CN"/>
        </w:rPr>
      </w:pPr>
      <w:r>
        <w:rPr>
          <w:rFonts w:hint="eastAsia" w:ascii="楷体" w:hAnsi="楷体" w:eastAsia="楷体" w:cs="楷体"/>
          <w:lang w:eastAsia="zh-CN"/>
        </w:rPr>
        <w:t>（十一）社会保障和就业支出（类）其他社会保障和就业支出（款）其他社会保障和就业支出（项）：</w:t>
      </w:r>
      <w:r>
        <w:rPr>
          <w:rFonts w:hint="eastAsia" w:ascii="仿宋_GB2312" w:hAnsi="仿宋_GB2312" w:eastAsia="仿宋_GB2312" w:cs="仿宋_GB2312"/>
        </w:rPr>
        <w:t>指除上述项目</w:t>
      </w:r>
      <w:r>
        <w:rPr>
          <w:rFonts w:hint="eastAsia" w:ascii="仿宋_GB2312" w:hAnsi="仿宋_GB2312" w:eastAsia="仿宋_GB2312" w:cs="仿宋_GB2312"/>
          <w:lang w:eastAsia="zh-CN"/>
        </w:rPr>
        <w:t>以外的</w:t>
      </w:r>
      <w:r>
        <w:rPr>
          <w:rFonts w:hint="eastAsia" w:ascii="仿宋_GB2312" w:hAnsi="仿宋_GB2312" w:eastAsia="仿宋_GB2312" w:cs="仿宋_GB2312"/>
        </w:rPr>
        <w:t>其他用于</w:t>
      </w:r>
      <w:r>
        <w:rPr>
          <w:rFonts w:hint="eastAsia" w:ascii="仿宋_GB2312" w:hAnsi="仿宋_GB2312" w:eastAsia="仿宋_GB2312" w:cs="仿宋_GB2312"/>
          <w:lang w:eastAsia="zh-CN"/>
        </w:rPr>
        <w:t>社会保障和就业</w:t>
      </w:r>
      <w:r>
        <w:rPr>
          <w:rFonts w:hint="eastAsia" w:ascii="仿宋_GB2312" w:hAnsi="仿宋_GB2312" w:eastAsia="仿宋_GB2312" w:cs="仿宋_GB2312"/>
        </w:rPr>
        <w:t>方面的支出。</w:t>
      </w:r>
    </w:p>
    <w:p w14:paraId="7209DC55">
      <w:pPr>
        <w:bidi w:val="0"/>
        <w:rPr>
          <w:rFonts w:hint="eastAsia" w:eastAsia="仿宋"/>
          <w:lang w:eastAsia="zh-CN"/>
        </w:rPr>
      </w:pPr>
      <w:r>
        <w:rPr>
          <w:rFonts w:hint="eastAsia" w:ascii="楷体" w:hAnsi="楷体" w:eastAsia="楷体" w:cs="楷体"/>
          <w:lang w:eastAsia="zh-CN"/>
        </w:rPr>
        <w:t>（十二）卫生健康支出（类）行政事业单位医疗（款）行政单位医疗（项）：</w:t>
      </w:r>
      <w:r>
        <w:rPr>
          <w:rFonts w:hint="eastAsia" w:ascii="仿宋_GB2312" w:hAnsi="仿宋_GB2312" w:eastAsia="仿宋_GB2312" w:cs="仿宋_GB2312"/>
        </w:rPr>
        <w:t>指财政部门安排的行政单位（包括实行公务员管理的事业单位）基本医疗保险缴费经费，未参加医疗保险的行政单位的公费医疗经费，按国家规定享受离休人员、红军老战士待遇人员的医疗经费。</w:t>
      </w:r>
    </w:p>
    <w:p w14:paraId="13AB3DA6">
      <w:pPr>
        <w:bidi w:val="0"/>
        <w:rPr>
          <w:rFonts w:hint="eastAsia" w:eastAsia="仿宋"/>
          <w:lang w:eastAsia="zh-CN"/>
        </w:rPr>
      </w:pPr>
      <w:r>
        <w:rPr>
          <w:rFonts w:hint="eastAsia" w:ascii="楷体" w:hAnsi="楷体" w:eastAsia="楷体" w:cs="楷体"/>
          <w:lang w:eastAsia="zh-CN"/>
        </w:rPr>
        <w:t>（十三）卫生健康支出（类）行政事业单位医疗（款）事业单位医疗（项）：</w:t>
      </w:r>
      <w:r>
        <w:rPr>
          <w:rFonts w:hint="eastAsia" w:ascii="仿宋_GB2312" w:hAnsi="仿宋_GB2312" w:eastAsia="仿宋_GB2312" w:cs="仿宋_GB2312"/>
        </w:rPr>
        <w:t>指财政部门安排的事业单位基本医疗保险缴费经费，未参加医疗保险的事业单位的公费医疗经费，按国家规定享受离休人员待遇的医疗经费。</w:t>
      </w:r>
    </w:p>
    <w:p w14:paraId="2A7C2FCA">
      <w:pPr>
        <w:bidi w:val="0"/>
        <w:rPr>
          <w:rFonts w:hint="eastAsia" w:eastAsia="仿宋"/>
          <w:lang w:eastAsia="zh-CN"/>
        </w:rPr>
      </w:pPr>
      <w:r>
        <w:rPr>
          <w:rFonts w:hint="eastAsia" w:ascii="楷体" w:hAnsi="楷体" w:eastAsia="楷体" w:cs="楷体"/>
          <w:lang w:eastAsia="zh-CN"/>
        </w:rPr>
        <w:t>（十四）卫生健康支出（类）行政事业单位医疗（款）公务员医疗补助（项）：</w:t>
      </w:r>
      <w:r>
        <w:rPr>
          <w:rFonts w:hint="eastAsia" w:ascii="仿宋_GB2312" w:hAnsi="仿宋_GB2312" w:eastAsia="仿宋_GB2312" w:cs="仿宋_GB2312"/>
        </w:rPr>
        <w:t>指财政部门安排的公务员医疗补助经费。</w:t>
      </w:r>
    </w:p>
    <w:p w14:paraId="3A88DC0D">
      <w:pPr>
        <w:bidi w:val="0"/>
        <w:rPr>
          <w:rFonts w:hint="eastAsia" w:eastAsia="仿宋"/>
          <w:lang w:eastAsia="zh-CN"/>
        </w:rPr>
      </w:pPr>
      <w:r>
        <w:rPr>
          <w:rFonts w:hint="eastAsia" w:ascii="楷体" w:hAnsi="楷体" w:eastAsia="楷体" w:cs="楷体"/>
          <w:lang w:eastAsia="zh-CN"/>
        </w:rPr>
        <w:t>（十五）住房保障支出（类）住房改革支出（款）住房公积金（项）：</w:t>
      </w:r>
      <w:r>
        <w:rPr>
          <w:rFonts w:hint="eastAsia" w:ascii="仿宋_GB2312" w:hAnsi="仿宋_GB2312" w:eastAsia="仿宋_GB2312" w:cs="仿宋_GB2312"/>
        </w:rPr>
        <w:t>指行政事业单位按人力资源和社会保障部、财政部规定的基本工资和津贴补贴以及规定比例为职工缴纳的住房公积金。</w:t>
      </w:r>
    </w:p>
    <w:p w14:paraId="4A7D0291">
      <w:pPr>
        <w:bidi w:val="0"/>
        <w:rPr>
          <w:rFonts w:hint="eastAsia" w:eastAsia="仿宋"/>
          <w:lang w:eastAsia="zh-CN"/>
        </w:rPr>
      </w:pPr>
      <w:r>
        <w:rPr>
          <w:rFonts w:hint="eastAsia" w:ascii="楷体" w:hAnsi="楷体" w:eastAsia="楷体" w:cs="楷体"/>
          <w:lang w:eastAsia="zh-CN"/>
        </w:rPr>
        <w:t>（十六）基本支出：</w:t>
      </w:r>
      <w:r>
        <w:rPr>
          <w:rFonts w:hint="eastAsia" w:ascii="仿宋_GB2312" w:hAnsi="仿宋_GB2312" w:eastAsia="仿宋_GB2312" w:cs="仿宋_GB2312"/>
        </w:rPr>
        <w:t>指为保</w:t>
      </w:r>
      <w:r>
        <w:rPr>
          <w:rFonts w:hint="eastAsia" w:ascii="仿宋_GB2312" w:hAnsi="仿宋_GB2312" w:eastAsia="仿宋_GB2312" w:cs="仿宋_GB2312"/>
          <w:lang w:eastAsia="zh-CN"/>
        </w:rPr>
        <w:t>障</w:t>
      </w:r>
      <w:r>
        <w:rPr>
          <w:rFonts w:hint="eastAsia" w:ascii="仿宋_GB2312" w:hAnsi="仿宋_GB2312" w:eastAsia="仿宋_GB2312" w:cs="仿宋_GB2312"/>
        </w:rPr>
        <w:t>机构正常运转，完成日常工作任务而发生的人员支出和公用支出。</w:t>
      </w:r>
    </w:p>
    <w:p w14:paraId="1A541E05">
      <w:pPr>
        <w:bidi w:val="0"/>
        <w:rPr>
          <w:rFonts w:hint="eastAsia" w:eastAsia="仿宋"/>
          <w:lang w:eastAsia="zh-CN"/>
        </w:rPr>
      </w:pPr>
      <w:r>
        <w:rPr>
          <w:rFonts w:hint="eastAsia" w:ascii="楷体" w:hAnsi="楷体" w:eastAsia="楷体" w:cs="楷体"/>
          <w:lang w:eastAsia="zh-CN"/>
        </w:rPr>
        <w:t>（十七）项目支出：</w:t>
      </w:r>
      <w:r>
        <w:rPr>
          <w:rFonts w:hint="eastAsia" w:ascii="仿宋_GB2312" w:hAnsi="仿宋_GB2312" w:eastAsia="仿宋_GB2312" w:cs="仿宋_GB2312"/>
        </w:rPr>
        <w:t>指在基本支出之外为完成特定行政任务</w:t>
      </w:r>
      <w:r>
        <w:rPr>
          <w:rFonts w:hint="eastAsia" w:ascii="仿宋_GB2312" w:hAnsi="仿宋_GB2312" w:eastAsia="仿宋_GB2312" w:cs="仿宋_GB2312"/>
          <w:lang w:eastAsia="zh-CN"/>
        </w:rPr>
        <w:t>或</w:t>
      </w:r>
      <w:r>
        <w:rPr>
          <w:rFonts w:hint="eastAsia" w:ascii="仿宋_GB2312" w:hAnsi="仿宋_GB2312" w:eastAsia="仿宋_GB2312" w:cs="仿宋_GB2312"/>
        </w:rPr>
        <w:t>事业发展目标所发生的支出。</w:t>
      </w:r>
    </w:p>
    <w:p w14:paraId="17A0CEEF">
      <w:pPr>
        <w:bidi w:val="0"/>
        <w:rPr>
          <w:rFonts w:hint="eastAsia" w:ascii="仿宋" w:hAnsi="仿宋" w:eastAsia="仿宋" w:cs="Times New Roman"/>
          <w:sz w:val="32"/>
          <w:szCs w:val="32"/>
          <w:lang w:val="en-US" w:eastAsia="zh-CN"/>
        </w:rPr>
      </w:pPr>
      <w:r>
        <w:rPr>
          <w:rFonts w:hint="eastAsia" w:ascii="楷体" w:hAnsi="楷体" w:eastAsia="楷体" w:cs="楷体"/>
          <w:lang w:eastAsia="zh-CN"/>
        </w:rPr>
        <w:t>（十八）“三公”经费：</w:t>
      </w:r>
      <w:r>
        <w:rPr>
          <w:rFonts w:hint="eastAsia" w:ascii="仿宋_GB2312" w:hAnsi="仿宋_GB2312" w:eastAsia="仿宋_GB2312" w:cs="仿宋_GB2312"/>
          <w:lang w:eastAsia="zh-CN"/>
        </w:rPr>
        <w:t>纳入预算管理的“三公”经费，</w:t>
      </w:r>
      <w:r>
        <w:rPr>
          <w:rFonts w:hint="eastAsia" w:ascii="仿宋_GB2312" w:hAnsi="仿宋_GB2312" w:eastAsia="仿宋_GB2312" w:cs="仿宋_GB2312"/>
        </w:rPr>
        <w:t>是指部门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w:t>
      </w:r>
      <w:r>
        <w:rPr>
          <w:rFonts w:hint="eastAsia" w:ascii="仿宋_GB2312" w:hAnsi="仿宋_GB2312" w:eastAsia="仿宋_GB2312" w:cs="仿宋_GB2312"/>
          <w:lang w:eastAsia="zh-CN"/>
        </w:rPr>
        <w:t>、牌照费</w:t>
      </w:r>
      <w:r>
        <w:rPr>
          <w:rFonts w:hint="eastAsia" w:ascii="仿宋_GB2312" w:hAnsi="仿宋_GB2312" w:eastAsia="仿宋_GB2312" w:cs="仿宋_GB2312"/>
        </w:rPr>
        <w:t>）及</w:t>
      </w:r>
      <w:r>
        <w:rPr>
          <w:rFonts w:hint="eastAsia" w:ascii="仿宋_GB2312" w:hAnsi="仿宋_GB2312" w:eastAsia="仿宋_GB2312" w:cs="仿宋_GB2312"/>
          <w:lang w:eastAsia="zh-CN"/>
        </w:rPr>
        <w:t>单位按规定保留的公务用车</w:t>
      </w:r>
      <w:r>
        <w:rPr>
          <w:rFonts w:hint="eastAsia" w:ascii="仿宋_GB2312" w:hAnsi="仿宋_GB2312" w:eastAsia="仿宋_GB2312" w:cs="仿宋_GB2312"/>
        </w:rPr>
        <w:t>燃料费、维修费、过路过桥费、保险费</w:t>
      </w:r>
      <w:r>
        <w:rPr>
          <w:rFonts w:hint="eastAsia" w:ascii="仿宋_GB2312" w:hAnsi="仿宋_GB2312" w:eastAsia="仿宋_GB2312" w:cs="仿宋_GB2312"/>
          <w:lang w:eastAsia="zh-CN"/>
        </w:rPr>
        <w:t>、安全奖励费用</w:t>
      </w:r>
      <w:r>
        <w:rPr>
          <w:rFonts w:hint="eastAsia" w:ascii="仿宋_GB2312" w:hAnsi="仿宋_GB2312" w:eastAsia="仿宋_GB2312" w:cs="仿宋_GB2312"/>
        </w:rPr>
        <w:t>等支出；公务接待费反映单位按规定开支的各类公务接待（含外宾接待）支出。</w:t>
      </w:r>
    </w:p>
    <w:p w14:paraId="370B88CF">
      <w:pPr>
        <w:rPr>
          <w:rFonts w:hint="eastAsia"/>
        </w:rPr>
      </w:pPr>
    </w:p>
    <w:sectPr>
      <w:footerReference r:id="rId5" w:type="default"/>
      <w:pgSz w:w="11906" w:h="16838"/>
      <w:pgMar w:top="2041" w:right="1469" w:bottom="1588" w:left="1468" w:header="851" w:footer="992" w:gutter="0"/>
      <w:pgNumType w:fmt="numberInDash"/>
      <w:cols w:space="0" w:num="1"/>
      <w:docGrid w:type="lines" w:linePitch="31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5FE928-648C-4A09-9584-554BDB3258D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F0D6CA64-4C77-4B36-A4BB-8DBBCBCF2482}"/>
  </w:font>
  <w:font w:name="仿宋_GB2312">
    <w:panose1 w:val="02010609030101010101"/>
    <w:charset w:val="86"/>
    <w:family w:val="modern"/>
    <w:pitch w:val="default"/>
    <w:sig w:usb0="00000001" w:usb1="080E0000" w:usb2="00000000" w:usb3="00000000" w:csb0="00040000" w:csb1="00000000"/>
    <w:embedRegular r:id="rId3" w:fontKey="{23B2733F-2F79-4F15-9661-07B6C4C920B9}"/>
  </w:font>
  <w:font w:name="汉仪中宋简á..">
    <w:altName w:val="宋体"/>
    <w:panose1 w:val="00000000000000000000"/>
    <w:charset w:val="86"/>
    <w:family w:val="roman"/>
    <w:pitch w:val="default"/>
    <w:sig w:usb0="00000000" w:usb1="0000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E0000" w:usb2="00000000" w:usb3="00000000" w:csb0="00040000" w:csb1="00000000"/>
    <w:embedRegular r:id="rId4" w:fontKey="{17C6B24C-E002-47AC-9DD6-BB318D83DDFF}"/>
  </w:font>
  <w:font w:name="微软雅黑">
    <w:panose1 w:val="020B0503020204020204"/>
    <w:charset w:val="86"/>
    <w:family w:val="auto"/>
    <w:pitch w:val="default"/>
    <w:sig w:usb0="80000287" w:usb1="280F3C52" w:usb2="00000016" w:usb3="00000000" w:csb0="0004001F" w:csb1="00000000"/>
    <w:embedRegular r:id="rId5" w:fontKey="{55F48C73-0A3D-47E6-918C-8013AC441E54}"/>
  </w:font>
  <w:font w:name="楷体">
    <w:panose1 w:val="02010609060101010101"/>
    <w:charset w:val="86"/>
    <w:family w:val="auto"/>
    <w:pitch w:val="default"/>
    <w:sig w:usb0="800002BF" w:usb1="38CF7CFA" w:usb2="00000016" w:usb3="00000000" w:csb0="00040001" w:csb1="00000000"/>
    <w:embedRegular r:id="rId6" w:fontKey="{C8F1BDE8-EFD7-4C25-B65F-5495BFF09A43}"/>
  </w:font>
  <w:font w:name="楷体_GB2312">
    <w:panose1 w:val="02010609030101010101"/>
    <w:charset w:val="86"/>
    <w:family w:val="modern"/>
    <w:pitch w:val="default"/>
    <w:sig w:usb0="00000001" w:usb1="080E0000" w:usb2="00000000" w:usb3="00000000" w:csb0="00040000" w:csb1="00000000"/>
    <w:embedRegular r:id="rId7" w:fontKey="{A057BB9A-5B9A-4C1C-B944-C57324CADC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3D44">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4A0745">
                          <w:pPr>
                            <w:pStyle w:val="9"/>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asciiTheme="minorEastAsia" w:hAnsiTheme="minorEastAsia" w:cstheme="minorEastAsia"/>
                              <w:sz w:val="32"/>
                              <w:szCs w:val="32"/>
                            </w:rPr>
                            <w:t>- 1 -</w:t>
                          </w:r>
                          <w:r>
                            <w:rPr>
                              <w:rFonts w:hint="eastAsia" w:asciiTheme="minorEastAsia" w:hAnsi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44A0745">
                    <w:pPr>
                      <w:pStyle w:val="9"/>
                    </w:pPr>
                    <w:r>
                      <w:rPr>
                        <w:rFonts w:hint="eastAsia" w:asciiTheme="minorEastAsia" w:hAnsiTheme="minorEastAsia" w:cstheme="minorEastAsia"/>
                        <w:sz w:val="32"/>
                        <w:szCs w:val="32"/>
                      </w:rPr>
                      <w:fldChar w:fldCharType="begin"/>
                    </w:r>
                    <w:r>
                      <w:rPr>
                        <w:rFonts w:hint="eastAsia" w:asciiTheme="minorEastAsia" w:hAnsiTheme="minorEastAsia" w:cstheme="minorEastAsia"/>
                        <w:sz w:val="32"/>
                        <w:szCs w:val="32"/>
                      </w:rPr>
                      <w:instrText xml:space="preserve"> PAGE  \* MERGEFORMAT </w:instrText>
                    </w:r>
                    <w:r>
                      <w:rPr>
                        <w:rFonts w:hint="eastAsia" w:asciiTheme="minorEastAsia" w:hAnsiTheme="minorEastAsia" w:cstheme="minorEastAsia"/>
                        <w:sz w:val="32"/>
                        <w:szCs w:val="32"/>
                      </w:rPr>
                      <w:fldChar w:fldCharType="separate"/>
                    </w:r>
                    <w:r>
                      <w:rPr>
                        <w:rFonts w:asciiTheme="minorEastAsia" w:hAnsiTheme="minorEastAsia" w:cstheme="minorEastAsia"/>
                        <w:sz w:val="32"/>
                        <w:szCs w:val="32"/>
                      </w:rPr>
                      <w:t>- 1 -</w:t>
                    </w:r>
                    <w:r>
                      <w:rPr>
                        <w:rFonts w:hint="eastAsia" w:asciiTheme="minorEastAsia" w:hAnsiTheme="minorEastAsia" w:cstheme="minorEastAsia"/>
                        <w:sz w:val="32"/>
                        <w:szCs w:val="3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3F1418"/>
    <w:multiLevelType w:val="singleLevel"/>
    <w:tmpl w:val="F43F1418"/>
    <w:lvl w:ilvl="0" w:tentative="0">
      <w:start w:val="4"/>
      <w:numFmt w:val="chineseCounting"/>
      <w:suff w:val="nothing"/>
      <w:lvlText w:val="%1、"/>
      <w:lvlJc w:val="left"/>
      <w:rPr>
        <w:rFonts w:hint="eastAsia"/>
      </w:rPr>
    </w:lvl>
  </w:abstractNum>
  <w:abstractNum w:abstractNumId="1">
    <w:nsid w:val="5D8D4774"/>
    <w:multiLevelType w:val="multilevel"/>
    <w:tmpl w:val="5D8D4774"/>
    <w:lvl w:ilvl="0" w:tentative="0">
      <w:start w:val="13"/>
      <w:numFmt w:val="chineseCountingThousand"/>
      <w:lvlText w:val="第%1章"/>
      <w:lvlJc w:val="left"/>
      <w:pPr>
        <w:tabs>
          <w:tab w:val="left" w:pos="2782"/>
        </w:tabs>
      </w:pPr>
      <w:rPr>
        <w:rFonts w:hint="eastAsia"/>
      </w:rPr>
    </w:lvl>
    <w:lvl w:ilvl="1" w:tentative="0">
      <w:start w:val="1"/>
      <w:numFmt w:val="decimal"/>
      <w:pStyle w:val="3"/>
      <w:isLgl/>
      <w:lvlText w:val="%1.%2"/>
      <w:lvlJc w:val="left"/>
      <w:pPr>
        <w:tabs>
          <w:tab w:val="left" w:pos="2422"/>
        </w:tabs>
      </w:pPr>
      <w:rPr>
        <w:rFonts w:hint="eastAsia"/>
      </w:rPr>
    </w:lvl>
    <w:lvl w:ilvl="2" w:tentative="0">
      <w:start w:val="1"/>
      <w:numFmt w:val="decimal"/>
      <w:isLgl/>
      <w:lvlText w:val="%1.%2.%3"/>
      <w:lvlJc w:val="left"/>
      <w:pPr>
        <w:tabs>
          <w:tab w:val="left" w:pos="2782"/>
        </w:tabs>
      </w:pPr>
      <w:rPr>
        <w:rFonts w:hint="eastAsia"/>
      </w:rPr>
    </w:lvl>
    <w:lvl w:ilvl="3" w:tentative="0">
      <w:start w:val="1"/>
      <w:numFmt w:val="decimal"/>
      <w:isLgl/>
      <w:lvlText w:val="%1.%2.%3.%4"/>
      <w:lvlJc w:val="left"/>
      <w:pPr>
        <w:tabs>
          <w:tab w:val="left" w:pos="4582"/>
        </w:tabs>
        <w:ind w:left="2566" w:hanging="864"/>
      </w:pPr>
      <w:rPr>
        <w:rFonts w:hint="eastAsia"/>
      </w:rPr>
    </w:lvl>
    <w:lvl w:ilvl="4" w:tentative="0">
      <w:start w:val="1"/>
      <w:numFmt w:val="decimal"/>
      <w:isLgl/>
      <w:lvlText w:val="%1.%2.%3.%4.%5"/>
      <w:lvlJc w:val="left"/>
      <w:pPr>
        <w:tabs>
          <w:tab w:val="left" w:pos="3862"/>
        </w:tabs>
        <w:ind w:left="2710" w:hanging="1008"/>
      </w:pPr>
      <w:rPr>
        <w:rFonts w:hint="eastAsia"/>
      </w:rPr>
    </w:lvl>
    <w:lvl w:ilvl="5" w:tentative="0">
      <w:start w:val="1"/>
      <w:numFmt w:val="decimal"/>
      <w:isLgl/>
      <w:lvlText w:val="%1.%2.%3.%4.%5.%6"/>
      <w:lvlJc w:val="left"/>
      <w:pPr>
        <w:tabs>
          <w:tab w:val="left" w:pos="4222"/>
        </w:tabs>
        <w:ind w:left="2854" w:hanging="1152"/>
      </w:pPr>
      <w:rPr>
        <w:rFonts w:hint="eastAsia"/>
      </w:rPr>
    </w:lvl>
    <w:lvl w:ilvl="6" w:tentative="0">
      <w:start w:val="1"/>
      <w:numFmt w:val="decimal"/>
      <w:isLgl/>
      <w:lvlText w:val="%1.%2.%3.%4.%5.%6.%7"/>
      <w:lvlJc w:val="left"/>
      <w:pPr>
        <w:tabs>
          <w:tab w:val="left" w:pos="4942"/>
        </w:tabs>
        <w:ind w:left="2998" w:hanging="1296"/>
      </w:pPr>
      <w:rPr>
        <w:rFonts w:hint="eastAsia"/>
      </w:rPr>
    </w:lvl>
    <w:lvl w:ilvl="7" w:tentative="0">
      <w:start w:val="1"/>
      <w:numFmt w:val="decimal"/>
      <w:isLgl/>
      <w:lvlText w:val="%1.%2.%3.%4.%5.%6.%7.%8"/>
      <w:lvlJc w:val="left"/>
      <w:pPr>
        <w:tabs>
          <w:tab w:val="left" w:pos="5302"/>
        </w:tabs>
        <w:ind w:left="3142" w:hanging="1440"/>
      </w:pPr>
      <w:rPr>
        <w:rFonts w:hint="eastAsia"/>
      </w:rPr>
    </w:lvl>
    <w:lvl w:ilvl="8" w:tentative="0">
      <w:start w:val="1"/>
      <w:numFmt w:val="decimal"/>
      <w:isLgl/>
      <w:lvlText w:val="%1.%2.%3.%4.%5.%6.%7.%8.%9"/>
      <w:lvlJc w:val="left"/>
      <w:pPr>
        <w:tabs>
          <w:tab w:val="left" w:pos="5662"/>
        </w:tabs>
        <w:ind w:left="3286" w:hanging="1584"/>
      </w:pPr>
      <w:rPr>
        <w:rFonts w:hint="eastAsia"/>
      </w:rPr>
    </w:lvl>
  </w:abstractNum>
  <w:abstractNum w:abstractNumId="2">
    <w:nsid w:val="67F56FF3"/>
    <w:multiLevelType w:val="singleLevel"/>
    <w:tmpl w:val="67F56FF3"/>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xNjFmMzVhYmRmMjFjZDYxYzZmMDA5NjI2ZjA5ZjcifQ=="/>
  </w:docVars>
  <w:rsids>
    <w:rsidRoot w:val="00172A27"/>
    <w:rsid w:val="00027865"/>
    <w:rsid w:val="00044417"/>
    <w:rsid w:val="00061ACE"/>
    <w:rsid w:val="00066DAC"/>
    <w:rsid w:val="00070145"/>
    <w:rsid w:val="00091AAC"/>
    <w:rsid w:val="000F6987"/>
    <w:rsid w:val="00112171"/>
    <w:rsid w:val="00127D11"/>
    <w:rsid w:val="00144DF8"/>
    <w:rsid w:val="00172A27"/>
    <w:rsid w:val="00187C87"/>
    <w:rsid w:val="00192096"/>
    <w:rsid w:val="001B01D2"/>
    <w:rsid w:val="001D512F"/>
    <w:rsid w:val="001E30C0"/>
    <w:rsid w:val="00260924"/>
    <w:rsid w:val="00276A73"/>
    <w:rsid w:val="00286D78"/>
    <w:rsid w:val="002C723E"/>
    <w:rsid w:val="003019C3"/>
    <w:rsid w:val="00313DCD"/>
    <w:rsid w:val="00333B67"/>
    <w:rsid w:val="00336343"/>
    <w:rsid w:val="00353F9F"/>
    <w:rsid w:val="0036108B"/>
    <w:rsid w:val="00364E2A"/>
    <w:rsid w:val="003D44AA"/>
    <w:rsid w:val="0043152E"/>
    <w:rsid w:val="00465A32"/>
    <w:rsid w:val="00466676"/>
    <w:rsid w:val="0049116A"/>
    <w:rsid w:val="004E04D2"/>
    <w:rsid w:val="004F20BD"/>
    <w:rsid w:val="0052635E"/>
    <w:rsid w:val="00533308"/>
    <w:rsid w:val="00553E37"/>
    <w:rsid w:val="00587D51"/>
    <w:rsid w:val="005F00C2"/>
    <w:rsid w:val="00607597"/>
    <w:rsid w:val="006110D7"/>
    <w:rsid w:val="006368F6"/>
    <w:rsid w:val="00651BD8"/>
    <w:rsid w:val="006C5714"/>
    <w:rsid w:val="006D4CE5"/>
    <w:rsid w:val="0074734E"/>
    <w:rsid w:val="00752661"/>
    <w:rsid w:val="0077780A"/>
    <w:rsid w:val="00794055"/>
    <w:rsid w:val="007A6535"/>
    <w:rsid w:val="007E6435"/>
    <w:rsid w:val="007F23CA"/>
    <w:rsid w:val="0084407A"/>
    <w:rsid w:val="00850F93"/>
    <w:rsid w:val="00886062"/>
    <w:rsid w:val="008E3D4B"/>
    <w:rsid w:val="00944DB8"/>
    <w:rsid w:val="009552E6"/>
    <w:rsid w:val="009F78A2"/>
    <w:rsid w:val="00A068D8"/>
    <w:rsid w:val="00A11CCC"/>
    <w:rsid w:val="00A47E4F"/>
    <w:rsid w:val="00AA2536"/>
    <w:rsid w:val="00AF0502"/>
    <w:rsid w:val="00AF2D05"/>
    <w:rsid w:val="00B26922"/>
    <w:rsid w:val="00B55CCE"/>
    <w:rsid w:val="00B82AF3"/>
    <w:rsid w:val="00B861CA"/>
    <w:rsid w:val="00B91481"/>
    <w:rsid w:val="00B96941"/>
    <w:rsid w:val="00C47ED7"/>
    <w:rsid w:val="00C51E0A"/>
    <w:rsid w:val="00C7262B"/>
    <w:rsid w:val="00C7370C"/>
    <w:rsid w:val="00C7721E"/>
    <w:rsid w:val="00D22DD7"/>
    <w:rsid w:val="00DE489B"/>
    <w:rsid w:val="00E82D3B"/>
    <w:rsid w:val="00EB13EE"/>
    <w:rsid w:val="00F403B5"/>
    <w:rsid w:val="00F45E21"/>
    <w:rsid w:val="00FA0E5D"/>
    <w:rsid w:val="00FE4CAE"/>
    <w:rsid w:val="00FE638D"/>
    <w:rsid w:val="010C0F51"/>
    <w:rsid w:val="01362EA7"/>
    <w:rsid w:val="01882F25"/>
    <w:rsid w:val="018C0544"/>
    <w:rsid w:val="019F118E"/>
    <w:rsid w:val="01A3107B"/>
    <w:rsid w:val="01BA7141"/>
    <w:rsid w:val="01CA79BB"/>
    <w:rsid w:val="01D64485"/>
    <w:rsid w:val="01E83A92"/>
    <w:rsid w:val="01EB3E74"/>
    <w:rsid w:val="022F534A"/>
    <w:rsid w:val="024039F2"/>
    <w:rsid w:val="025D4D8E"/>
    <w:rsid w:val="033E43E6"/>
    <w:rsid w:val="03945CCD"/>
    <w:rsid w:val="03BA186D"/>
    <w:rsid w:val="040F3551"/>
    <w:rsid w:val="042072C2"/>
    <w:rsid w:val="043C361C"/>
    <w:rsid w:val="043F4C24"/>
    <w:rsid w:val="044B2AE6"/>
    <w:rsid w:val="045B0809"/>
    <w:rsid w:val="04A04F6C"/>
    <w:rsid w:val="04A05348"/>
    <w:rsid w:val="04A94D2F"/>
    <w:rsid w:val="0502501C"/>
    <w:rsid w:val="05233D9C"/>
    <w:rsid w:val="05465970"/>
    <w:rsid w:val="05590821"/>
    <w:rsid w:val="056C235C"/>
    <w:rsid w:val="062E413A"/>
    <w:rsid w:val="06A2019C"/>
    <w:rsid w:val="06B66C8B"/>
    <w:rsid w:val="06CC45A6"/>
    <w:rsid w:val="06D8568E"/>
    <w:rsid w:val="06DD60AB"/>
    <w:rsid w:val="072F53D3"/>
    <w:rsid w:val="07574DBE"/>
    <w:rsid w:val="076A7644"/>
    <w:rsid w:val="07980D6A"/>
    <w:rsid w:val="07B14DE9"/>
    <w:rsid w:val="07E809FE"/>
    <w:rsid w:val="07F655F9"/>
    <w:rsid w:val="084B25CC"/>
    <w:rsid w:val="084E286D"/>
    <w:rsid w:val="084E4C61"/>
    <w:rsid w:val="0860583A"/>
    <w:rsid w:val="08914A76"/>
    <w:rsid w:val="08AE4D92"/>
    <w:rsid w:val="08DB6116"/>
    <w:rsid w:val="08ED7502"/>
    <w:rsid w:val="08F6117B"/>
    <w:rsid w:val="096878F0"/>
    <w:rsid w:val="097E121A"/>
    <w:rsid w:val="09952E46"/>
    <w:rsid w:val="09C64739"/>
    <w:rsid w:val="09CF5F42"/>
    <w:rsid w:val="09F82EA0"/>
    <w:rsid w:val="0A8E6119"/>
    <w:rsid w:val="0A913707"/>
    <w:rsid w:val="0ABE1F9B"/>
    <w:rsid w:val="0ADA1A81"/>
    <w:rsid w:val="0B29129C"/>
    <w:rsid w:val="0BB15CFC"/>
    <w:rsid w:val="0BE20302"/>
    <w:rsid w:val="0C31589B"/>
    <w:rsid w:val="0C343E9E"/>
    <w:rsid w:val="0C37316F"/>
    <w:rsid w:val="0C565E28"/>
    <w:rsid w:val="0C9E05B3"/>
    <w:rsid w:val="0CEF662F"/>
    <w:rsid w:val="0D136775"/>
    <w:rsid w:val="0D15182E"/>
    <w:rsid w:val="0D1F7D7F"/>
    <w:rsid w:val="0D211BCC"/>
    <w:rsid w:val="0DA40415"/>
    <w:rsid w:val="0DC47C7E"/>
    <w:rsid w:val="0E1B6735"/>
    <w:rsid w:val="0E5A24B2"/>
    <w:rsid w:val="0E5B7463"/>
    <w:rsid w:val="0E7C2A49"/>
    <w:rsid w:val="0E863207"/>
    <w:rsid w:val="0E8C67E6"/>
    <w:rsid w:val="0E995F08"/>
    <w:rsid w:val="0EFF2D5A"/>
    <w:rsid w:val="0F332E84"/>
    <w:rsid w:val="0F4F3EF9"/>
    <w:rsid w:val="0F5126AD"/>
    <w:rsid w:val="0F5C24C4"/>
    <w:rsid w:val="0F773787"/>
    <w:rsid w:val="0F8C416D"/>
    <w:rsid w:val="0F903831"/>
    <w:rsid w:val="0FC21DA3"/>
    <w:rsid w:val="0FCB515E"/>
    <w:rsid w:val="0FE02C01"/>
    <w:rsid w:val="106E3487"/>
    <w:rsid w:val="107A2AB2"/>
    <w:rsid w:val="10B403A4"/>
    <w:rsid w:val="10E95826"/>
    <w:rsid w:val="117B6E9B"/>
    <w:rsid w:val="11A062BA"/>
    <w:rsid w:val="11BB24DA"/>
    <w:rsid w:val="120A09B7"/>
    <w:rsid w:val="12290641"/>
    <w:rsid w:val="127150AC"/>
    <w:rsid w:val="127A774D"/>
    <w:rsid w:val="12F04042"/>
    <w:rsid w:val="13030836"/>
    <w:rsid w:val="131A52D4"/>
    <w:rsid w:val="13B824DA"/>
    <w:rsid w:val="13F265CF"/>
    <w:rsid w:val="13F50541"/>
    <w:rsid w:val="13FD34D0"/>
    <w:rsid w:val="14030F44"/>
    <w:rsid w:val="1421019A"/>
    <w:rsid w:val="14250002"/>
    <w:rsid w:val="143546C3"/>
    <w:rsid w:val="14D50328"/>
    <w:rsid w:val="14FF1C34"/>
    <w:rsid w:val="15016C82"/>
    <w:rsid w:val="15333760"/>
    <w:rsid w:val="15500F91"/>
    <w:rsid w:val="157F6F01"/>
    <w:rsid w:val="15A866E4"/>
    <w:rsid w:val="15D8136C"/>
    <w:rsid w:val="15E80FCB"/>
    <w:rsid w:val="169B01CE"/>
    <w:rsid w:val="16BA0530"/>
    <w:rsid w:val="16CD70BB"/>
    <w:rsid w:val="172E2ACB"/>
    <w:rsid w:val="17304353"/>
    <w:rsid w:val="17403920"/>
    <w:rsid w:val="17D759F2"/>
    <w:rsid w:val="17F770F6"/>
    <w:rsid w:val="181727DC"/>
    <w:rsid w:val="18510D87"/>
    <w:rsid w:val="18827941"/>
    <w:rsid w:val="18BD2FFF"/>
    <w:rsid w:val="18FC06F1"/>
    <w:rsid w:val="19007EC3"/>
    <w:rsid w:val="19113949"/>
    <w:rsid w:val="1969002C"/>
    <w:rsid w:val="19F7360C"/>
    <w:rsid w:val="1A045C10"/>
    <w:rsid w:val="1A577820"/>
    <w:rsid w:val="1A5E7EFB"/>
    <w:rsid w:val="1A7D5B0F"/>
    <w:rsid w:val="1A9C7E2B"/>
    <w:rsid w:val="1AE807BA"/>
    <w:rsid w:val="1AEF7DCF"/>
    <w:rsid w:val="1AFF4785"/>
    <w:rsid w:val="1B2E6628"/>
    <w:rsid w:val="1B5F7D27"/>
    <w:rsid w:val="1BF33119"/>
    <w:rsid w:val="1CAF32EA"/>
    <w:rsid w:val="1CB64F71"/>
    <w:rsid w:val="1CBD69AA"/>
    <w:rsid w:val="1CFB3E9E"/>
    <w:rsid w:val="1D3356ED"/>
    <w:rsid w:val="1D5B07B8"/>
    <w:rsid w:val="1D6135A7"/>
    <w:rsid w:val="1DC52255"/>
    <w:rsid w:val="1DDA5D4F"/>
    <w:rsid w:val="1DDB2F47"/>
    <w:rsid w:val="1DFB51A6"/>
    <w:rsid w:val="1E3D7C87"/>
    <w:rsid w:val="1E707FD4"/>
    <w:rsid w:val="1E877297"/>
    <w:rsid w:val="1EB05D0A"/>
    <w:rsid w:val="1EF0431B"/>
    <w:rsid w:val="1EFE7B28"/>
    <w:rsid w:val="1F3565D5"/>
    <w:rsid w:val="1F9A468B"/>
    <w:rsid w:val="1FFA6A2F"/>
    <w:rsid w:val="20023401"/>
    <w:rsid w:val="20143409"/>
    <w:rsid w:val="20F902C6"/>
    <w:rsid w:val="21320321"/>
    <w:rsid w:val="2138528B"/>
    <w:rsid w:val="217544DB"/>
    <w:rsid w:val="21971D65"/>
    <w:rsid w:val="21B957AE"/>
    <w:rsid w:val="22121464"/>
    <w:rsid w:val="223312F4"/>
    <w:rsid w:val="22653E5A"/>
    <w:rsid w:val="22673757"/>
    <w:rsid w:val="22AD5E3A"/>
    <w:rsid w:val="22CA56D0"/>
    <w:rsid w:val="230F1CF5"/>
    <w:rsid w:val="23255E32"/>
    <w:rsid w:val="2345745A"/>
    <w:rsid w:val="235E0BC8"/>
    <w:rsid w:val="23D47812"/>
    <w:rsid w:val="23DE1611"/>
    <w:rsid w:val="24150A7F"/>
    <w:rsid w:val="24213EC8"/>
    <w:rsid w:val="24307A0E"/>
    <w:rsid w:val="245034D6"/>
    <w:rsid w:val="246A6DCB"/>
    <w:rsid w:val="247453B8"/>
    <w:rsid w:val="25212915"/>
    <w:rsid w:val="265A431A"/>
    <w:rsid w:val="266B2A66"/>
    <w:rsid w:val="26710FF0"/>
    <w:rsid w:val="26B732BD"/>
    <w:rsid w:val="27104C6C"/>
    <w:rsid w:val="27263D7B"/>
    <w:rsid w:val="272D4172"/>
    <w:rsid w:val="279168B5"/>
    <w:rsid w:val="27A0205E"/>
    <w:rsid w:val="27CA2B49"/>
    <w:rsid w:val="27CB754F"/>
    <w:rsid w:val="280223C0"/>
    <w:rsid w:val="28115DC0"/>
    <w:rsid w:val="28A21C19"/>
    <w:rsid w:val="298D0C33"/>
    <w:rsid w:val="29A12E30"/>
    <w:rsid w:val="29B4649A"/>
    <w:rsid w:val="29DC2D0C"/>
    <w:rsid w:val="29EE4FAE"/>
    <w:rsid w:val="2A3E1EBB"/>
    <w:rsid w:val="2A6A7B31"/>
    <w:rsid w:val="2AFE1AAC"/>
    <w:rsid w:val="2B424B14"/>
    <w:rsid w:val="2B576F68"/>
    <w:rsid w:val="2B580C97"/>
    <w:rsid w:val="2B7A76AB"/>
    <w:rsid w:val="2B7F27BA"/>
    <w:rsid w:val="2BE62BB6"/>
    <w:rsid w:val="2C0868BC"/>
    <w:rsid w:val="2C262A09"/>
    <w:rsid w:val="2C456543"/>
    <w:rsid w:val="2C56698C"/>
    <w:rsid w:val="2C6829BD"/>
    <w:rsid w:val="2C726404"/>
    <w:rsid w:val="2C8269FB"/>
    <w:rsid w:val="2CC43FE4"/>
    <w:rsid w:val="2CE403B9"/>
    <w:rsid w:val="2CE77D75"/>
    <w:rsid w:val="2D5F7A17"/>
    <w:rsid w:val="2DEF169F"/>
    <w:rsid w:val="2E2A4CEC"/>
    <w:rsid w:val="2E395AB2"/>
    <w:rsid w:val="2E3E712E"/>
    <w:rsid w:val="2E6F0902"/>
    <w:rsid w:val="2ED12513"/>
    <w:rsid w:val="2ED93BF6"/>
    <w:rsid w:val="2EE53513"/>
    <w:rsid w:val="2EF717D0"/>
    <w:rsid w:val="2F0571F8"/>
    <w:rsid w:val="2F6837FE"/>
    <w:rsid w:val="2F826250"/>
    <w:rsid w:val="2F9C50A0"/>
    <w:rsid w:val="2FFA35F8"/>
    <w:rsid w:val="2FFB3813"/>
    <w:rsid w:val="30044B54"/>
    <w:rsid w:val="30125478"/>
    <w:rsid w:val="302D040C"/>
    <w:rsid w:val="30363CB0"/>
    <w:rsid w:val="30405A42"/>
    <w:rsid w:val="30CE650E"/>
    <w:rsid w:val="30D2554F"/>
    <w:rsid w:val="30EC1D1E"/>
    <w:rsid w:val="3178425C"/>
    <w:rsid w:val="31884A79"/>
    <w:rsid w:val="318F6DFD"/>
    <w:rsid w:val="31D23233"/>
    <w:rsid w:val="31F223D9"/>
    <w:rsid w:val="31FA1651"/>
    <w:rsid w:val="32400809"/>
    <w:rsid w:val="32941411"/>
    <w:rsid w:val="32D34144"/>
    <w:rsid w:val="33180FDF"/>
    <w:rsid w:val="33AF50A4"/>
    <w:rsid w:val="33BF5A1C"/>
    <w:rsid w:val="34347CA8"/>
    <w:rsid w:val="346D1487"/>
    <w:rsid w:val="347C3BC1"/>
    <w:rsid w:val="347D7659"/>
    <w:rsid w:val="34B75DE4"/>
    <w:rsid w:val="34EC234E"/>
    <w:rsid w:val="35070FE1"/>
    <w:rsid w:val="35413925"/>
    <w:rsid w:val="35B4718D"/>
    <w:rsid w:val="362000D5"/>
    <w:rsid w:val="362E53CF"/>
    <w:rsid w:val="36322589"/>
    <w:rsid w:val="36505C55"/>
    <w:rsid w:val="36877AF6"/>
    <w:rsid w:val="36AC602F"/>
    <w:rsid w:val="36B408B4"/>
    <w:rsid w:val="36C57B63"/>
    <w:rsid w:val="36D60EC8"/>
    <w:rsid w:val="36EB7A56"/>
    <w:rsid w:val="37072D43"/>
    <w:rsid w:val="37133F7E"/>
    <w:rsid w:val="375B12BA"/>
    <w:rsid w:val="37996DF9"/>
    <w:rsid w:val="37997EBF"/>
    <w:rsid w:val="379B2080"/>
    <w:rsid w:val="37CD6097"/>
    <w:rsid w:val="37FF408D"/>
    <w:rsid w:val="3864253B"/>
    <w:rsid w:val="388A196F"/>
    <w:rsid w:val="38BF7DBB"/>
    <w:rsid w:val="38D25888"/>
    <w:rsid w:val="38E23412"/>
    <w:rsid w:val="393E1416"/>
    <w:rsid w:val="39627EA4"/>
    <w:rsid w:val="399D7E16"/>
    <w:rsid w:val="39F952C4"/>
    <w:rsid w:val="3A537A73"/>
    <w:rsid w:val="3A566958"/>
    <w:rsid w:val="3A591E05"/>
    <w:rsid w:val="3A8C587F"/>
    <w:rsid w:val="3A9841D9"/>
    <w:rsid w:val="3AC022D7"/>
    <w:rsid w:val="3AD0720B"/>
    <w:rsid w:val="3AD87EC3"/>
    <w:rsid w:val="3AE2704C"/>
    <w:rsid w:val="3B0E09AE"/>
    <w:rsid w:val="3B133333"/>
    <w:rsid w:val="3B433201"/>
    <w:rsid w:val="3B5553B4"/>
    <w:rsid w:val="3B5D5685"/>
    <w:rsid w:val="3B663B9B"/>
    <w:rsid w:val="3BAD0F9A"/>
    <w:rsid w:val="3C5763B9"/>
    <w:rsid w:val="3C9F7525"/>
    <w:rsid w:val="3CAD14EB"/>
    <w:rsid w:val="3CE10D53"/>
    <w:rsid w:val="3D7E788D"/>
    <w:rsid w:val="3DE5239C"/>
    <w:rsid w:val="3DF73841"/>
    <w:rsid w:val="3DFF6B24"/>
    <w:rsid w:val="3E337D9D"/>
    <w:rsid w:val="3E4A3184"/>
    <w:rsid w:val="3EA15BEA"/>
    <w:rsid w:val="3EEC3285"/>
    <w:rsid w:val="3F7517C8"/>
    <w:rsid w:val="3FAE1258"/>
    <w:rsid w:val="401D6094"/>
    <w:rsid w:val="40300C0E"/>
    <w:rsid w:val="40534228"/>
    <w:rsid w:val="4063108E"/>
    <w:rsid w:val="408D251C"/>
    <w:rsid w:val="40C07780"/>
    <w:rsid w:val="410A15F9"/>
    <w:rsid w:val="412A1254"/>
    <w:rsid w:val="41656000"/>
    <w:rsid w:val="41AE00B6"/>
    <w:rsid w:val="41E95F9F"/>
    <w:rsid w:val="42154310"/>
    <w:rsid w:val="42495010"/>
    <w:rsid w:val="425C545A"/>
    <w:rsid w:val="42636FB6"/>
    <w:rsid w:val="42811BC4"/>
    <w:rsid w:val="42B60B92"/>
    <w:rsid w:val="42D650B2"/>
    <w:rsid w:val="42DD34D6"/>
    <w:rsid w:val="43137D99"/>
    <w:rsid w:val="43475BB2"/>
    <w:rsid w:val="44090B96"/>
    <w:rsid w:val="44906B29"/>
    <w:rsid w:val="44B452A6"/>
    <w:rsid w:val="45560CD4"/>
    <w:rsid w:val="459509CB"/>
    <w:rsid w:val="45F4689A"/>
    <w:rsid w:val="45FB4649"/>
    <w:rsid w:val="46074EE8"/>
    <w:rsid w:val="4637542D"/>
    <w:rsid w:val="46731EEB"/>
    <w:rsid w:val="46875D06"/>
    <w:rsid w:val="46BD4700"/>
    <w:rsid w:val="46CD28E5"/>
    <w:rsid w:val="47770CCA"/>
    <w:rsid w:val="477A2AB4"/>
    <w:rsid w:val="48094AE2"/>
    <w:rsid w:val="483E4E75"/>
    <w:rsid w:val="4852492F"/>
    <w:rsid w:val="486B3CAF"/>
    <w:rsid w:val="48772769"/>
    <w:rsid w:val="49207E0A"/>
    <w:rsid w:val="492F572C"/>
    <w:rsid w:val="49421FCC"/>
    <w:rsid w:val="49AE5B8A"/>
    <w:rsid w:val="49D85ADD"/>
    <w:rsid w:val="49ED6C82"/>
    <w:rsid w:val="4A0C0182"/>
    <w:rsid w:val="4A4A7C46"/>
    <w:rsid w:val="4A523CD5"/>
    <w:rsid w:val="4A786FAB"/>
    <w:rsid w:val="4A873A47"/>
    <w:rsid w:val="4ACB5C6C"/>
    <w:rsid w:val="4ADC2291"/>
    <w:rsid w:val="4AFE168C"/>
    <w:rsid w:val="4B4C6658"/>
    <w:rsid w:val="4B6926B5"/>
    <w:rsid w:val="4B7A69E2"/>
    <w:rsid w:val="4B9C252E"/>
    <w:rsid w:val="4BBE5D06"/>
    <w:rsid w:val="4BCA09FA"/>
    <w:rsid w:val="4BE907F8"/>
    <w:rsid w:val="4BEB54D0"/>
    <w:rsid w:val="4C435437"/>
    <w:rsid w:val="4C570DA7"/>
    <w:rsid w:val="4C925D72"/>
    <w:rsid w:val="4CD5653B"/>
    <w:rsid w:val="4CD81862"/>
    <w:rsid w:val="4D28470C"/>
    <w:rsid w:val="4D341ABA"/>
    <w:rsid w:val="4DA559B9"/>
    <w:rsid w:val="4DE352BC"/>
    <w:rsid w:val="4DE6145A"/>
    <w:rsid w:val="4E182958"/>
    <w:rsid w:val="4E6D7648"/>
    <w:rsid w:val="4E7B14D6"/>
    <w:rsid w:val="4F011EB4"/>
    <w:rsid w:val="4F270107"/>
    <w:rsid w:val="4F5E0589"/>
    <w:rsid w:val="4F82145C"/>
    <w:rsid w:val="4FB627BF"/>
    <w:rsid w:val="504B7277"/>
    <w:rsid w:val="50765CB0"/>
    <w:rsid w:val="50801331"/>
    <w:rsid w:val="50924CFB"/>
    <w:rsid w:val="50DC614F"/>
    <w:rsid w:val="50E0282D"/>
    <w:rsid w:val="51050BFE"/>
    <w:rsid w:val="51395CD6"/>
    <w:rsid w:val="5166767E"/>
    <w:rsid w:val="51710636"/>
    <w:rsid w:val="51E16B86"/>
    <w:rsid w:val="51F040FB"/>
    <w:rsid w:val="51F71E1A"/>
    <w:rsid w:val="522E33FF"/>
    <w:rsid w:val="523F3B40"/>
    <w:rsid w:val="529507CD"/>
    <w:rsid w:val="53A019A2"/>
    <w:rsid w:val="53A14529"/>
    <w:rsid w:val="53AB55C1"/>
    <w:rsid w:val="53D92945"/>
    <w:rsid w:val="53E62601"/>
    <w:rsid w:val="53E874BC"/>
    <w:rsid w:val="542A1ACD"/>
    <w:rsid w:val="546259DF"/>
    <w:rsid w:val="546327C9"/>
    <w:rsid w:val="54893C4E"/>
    <w:rsid w:val="55006EC7"/>
    <w:rsid w:val="55130FD8"/>
    <w:rsid w:val="552E03CD"/>
    <w:rsid w:val="55662F4C"/>
    <w:rsid w:val="556D0E36"/>
    <w:rsid w:val="55A91AFC"/>
    <w:rsid w:val="55F00D78"/>
    <w:rsid w:val="56061562"/>
    <w:rsid w:val="565E2A78"/>
    <w:rsid w:val="56A566E4"/>
    <w:rsid w:val="56F54CB6"/>
    <w:rsid w:val="571A40C7"/>
    <w:rsid w:val="57307786"/>
    <w:rsid w:val="57316DA0"/>
    <w:rsid w:val="575B54D9"/>
    <w:rsid w:val="57B154DA"/>
    <w:rsid w:val="57C40364"/>
    <w:rsid w:val="57E735A9"/>
    <w:rsid w:val="57ED3CD1"/>
    <w:rsid w:val="58974137"/>
    <w:rsid w:val="589F2BD8"/>
    <w:rsid w:val="58A423E4"/>
    <w:rsid w:val="58D76DB3"/>
    <w:rsid w:val="58D96039"/>
    <w:rsid w:val="58E04384"/>
    <w:rsid w:val="59692B59"/>
    <w:rsid w:val="596B7825"/>
    <w:rsid w:val="5976418F"/>
    <w:rsid w:val="59932391"/>
    <w:rsid w:val="599F5692"/>
    <w:rsid w:val="59DF7EAD"/>
    <w:rsid w:val="59F62891"/>
    <w:rsid w:val="5A0200DD"/>
    <w:rsid w:val="5A4F037D"/>
    <w:rsid w:val="5A5D1252"/>
    <w:rsid w:val="5A736516"/>
    <w:rsid w:val="5A99745E"/>
    <w:rsid w:val="5AA43A05"/>
    <w:rsid w:val="5AC201A5"/>
    <w:rsid w:val="5B012E17"/>
    <w:rsid w:val="5B0954B3"/>
    <w:rsid w:val="5B0E49D4"/>
    <w:rsid w:val="5B69023F"/>
    <w:rsid w:val="5B747982"/>
    <w:rsid w:val="5B9C44F9"/>
    <w:rsid w:val="5BC11F53"/>
    <w:rsid w:val="5C0438FC"/>
    <w:rsid w:val="5C1C4987"/>
    <w:rsid w:val="5C526A06"/>
    <w:rsid w:val="5C6D4FF3"/>
    <w:rsid w:val="5C8C12C8"/>
    <w:rsid w:val="5CA67BCF"/>
    <w:rsid w:val="5CAD3352"/>
    <w:rsid w:val="5CEF421A"/>
    <w:rsid w:val="5D6E287B"/>
    <w:rsid w:val="5DD62F1B"/>
    <w:rsid w:val="5E0651AA"/>
    <w:rsid w:val="5E294F9F"/>
    <w:rsid w:val="5E566896"/>
    <w:rsid w:val="5E5E7997"/>
    <w:rsid w:val="5E604B3E"/>
    <w:rsid w:val="5E64737F"/>
    <w:rsid w:val="5E77526B"/>
    <w:rsid w:val="5E921426"/>
    <w:rsid w:val="5EA77AD3"/>
    <w:rsid w:val="5EB95DD2"/>
    <w:rsid w:val="5F5C2EFA"/>
    <w:rsid w:val="5F7255C6"/>
    <w:rsid w:val="5F785834"/>
    <w:rsid w:val="5FB13C1C"/>
    <w:rsid w:val="5FC75282"/>
    <w:rsid w:val="5FE1567A"/>
    <w:rsid w:val="5FEC1BF5"/>
    <w:rsid w:val="60C2709E"/>
    <w:rsid w:val="6106329C"/>
    <w:rsid w:val="610E451F"/>
    <w:rsid w:val="61824E34"/>
    <w:rsid w:val="618333EA"/>
    <w:rsid w:val="61885C5D"/>
    <w:rsid w:val="61A265C7"/>
    <w:rsid w:val="61BE18D9"/>
    <w:rsid w:val="61F91876"/>
    <w:rsid w:val="61FD7F47"/>
    <w:rsid w:val="62322474"/>
    <w:rsid w:val="626012F3"/>
    <w:rsid w:val="626E260B"/>
    <w:rsid w:val="62C84DC4"/>
    <w:rsid w:val="62D62068"/>
    <w:rsid w:val="62EA2690"/>
    <w:rsid w:val="630C0C9E"/>
    <w:rsid w:val="6341785E"/>
    <w:rsid w:val="63A96A13"/>
    <w:rsid w:val="644448CA"/>
    <w:rsid w:val="6453457F"/>
    <w:rsid w:val="648B5500"/>
    <w:rsid w:val="649655B1"/>
    <w:rsid w:val="64BC2C9B"/>
    <w:rsid w:val="64E67EDA"/>
    <w:rsid w:val="64FA183E"/>
    <w:rsid w:val="65245D70"/>
    <w:rsid w:val="655E7CF1"/>
    <w:rsid w:val="6571153A"/>
    <w:rsid w:val="65724749"/>
    <w:rsid w:val="65871379"/>
    <w:rsid w:val="65B457A2"/>
    <w:rsid w:val="65CF48B7"/>
    <w:rsid w:val="65E3052E"/>
    <w:rsid w:val="65EF238E"/>
    <w:rsid w:val="65FD30D1"/>
    <w:rsid w:val="660A4448"/>
    <w:rsid w:val="661B3704"/>
    <w:rsid w:val="66704573"/>
    <w:rsid w:val="66797ED2"/>
    <w:rsid w:val="66A05DC1"/>
    <w:rsid w:val="66B16DB5"/>
    <w:rsid w:val="66D91364"/>
    <w:rsid w:val="66E856F1"/>
    <w:rsid w:val="66EC4861"/>
    <w:rsid w:val="670A555D"/>
    <w:rsid w:val="675A74FA"/>
    <w:rsid w:val="67DE101C"/>
    <w:rsid w:val="67FC099D"/>
    <w:rsid w:val="683A42B9"/>
    <w:rsid w:val="68413617"/>
    <w:rsid w:val="68FA5E7F"/>
    <w:rsid w:val="69206FE6"/>
    <w:rsid w:val="69275944"/>
    <w:rsid w:val="69A56796"/>
    <w:rsid w:val="69A67CDD"/>
    <w:rsid w:val="69AA25B9"/>
    <w:rsid w:val="6A5C2965"/>
    <w:rsid w:val="6ABE3F1A"/>
    <w:rsid w:val="6AEF5784"/>
    <w:rsid w:val="6AEF6426"/>
    <w:rsid w:val="6B256BBD"/>
    <w:rsid w:val="6C17358A"/>
    <w:rsid w:val="6C192DF4"/>
    <w:rsid w:val="6C2E3BAB"/>
    <w:rsid w:val="6CFD38B4"/>
    <w:rsid w:val="6D24124D"/>
    <w:rsid w:val="6D7831C7"/>
    <w:rsid w:val="6DA43D14"/>
    <w:rsid w:val="6DE93268"/>
    <w:rsid w:val="6DFC0A08"/>
    <w:rsid w:val="6E03556E"/>
    <w:rsid w:val="6E4C1DDD"/>
    <w:rsid w:val="6E4F4E79"/>
    <w:rsid w:val="6EBA7CE7"/>
    <w:rsid w:val="6F0526A1"/>
    <w:rsid w:val="6F683104"/>
    <w:rsid w:val="6FBA6E91"/>
    <w:rsid w:val="70525A28"/>
    <w:rsid w:val="70631405"/>
    <w:rsid w:val="707D4D66"/>
    <w:rsid w:val="707E15F9"/>
    <w:rsid w:val="70A231E6"/>
    <w:rsid w:val="70F463B4"/>
    <w:rsid w:val="70FB6077"/>
    <w:rsid w:val="712D20D3"/>
    <w:rsid w:val="7131157C"/>
    <w:rsid w:val="718370CE"/>
    <w:rsid w:val="71944CFF"/>
    <w:rsid w:val="71CC0D50"/>
    <w:rsid w:val="71F85BCF"/>
    <w:rsid w:val="71FC0F7A"/>
    <w:rsid w:val="720B57D9"/>
    <w:rsid w:val="721C18CD"/>
    <w:rsid w:val="72974BB0"/>
    <w:rsid w:val="730A62BA"/>
    <w:rsid w:val="731E4809"/>
    <w:rsid w:val="73394FCE"/>
    <w:rsid w:val="733952EA"/>
    <w:rsid w:val="735D00D3"/>
    <w:rsid w:val="73B07BE6"/>
    <w:rsid w:val="73B155E8"/>
    <w:rsid w:val="741C4825"/>
    <w:rsid w:val="74280C84"/>
    <w:rsid w:val="742A2BFF"/>
    <w:rsid w:val="745921C5"/>
    <w:rsid w:val="74693BC7"/>
    <w:rsid w:val="74977010"/>
    <w:rsid w:val="74CA64C0"/>
    <w:rsid w:val="74E90FB2"/>
    <w:rsid w:val="75101280"/>
    <w:rsid w:val="751D0B78"/>
    <w:rsid w:val="754D2856"/>
    <w:rsid w:val="756151CD"/>
    <w:rsid w:val="75B1662A"/>
    <w:rsid w:val="75D8533D"/>
    <w:rsid w:val="75E032AB"/>
    <w:rsid w:val="75EE49A7"/>
    <w:rsid w:val="760A1510"/>
    <w:rsid w:val="76121E15"/>
    <w:rsid w:val="7615266F"/>
    <w:rsid w:val="762F2831"/>
    <w:rsid w:val="766816D6"/>
    <w:rsid w:val="766B5547"/>
    <w:rsid w:val="76715DDC"/>
    <w:rsid w:val="76BA0BE1"/>
    <w:rsid w:val="76D53204"/>
    <w:rsid w:val="772F3D11"/>
    <w:rsid w:val="77446D81"/>
    <w:rsid w:val="77656ADB"/>
    <w:rsid w:val="777964B3"/>
    <w:rsid w:val="77912D9C"/>
    <w:rsid w:val="77937F90"/>
    <w:rsid w:val="77A23D29"/>
    <w:rsid w:val="77A6570F"/>
    <w:rsid w:val="77AE356C"/>
    <w:rsid w:val="77AE3EE9"/>
    <w:rsid w:val="77B45BFA"/>
    <w:rsid w:val="77B76141"/>
    <w:rsid w:val="77C43553"/>
    <w:rsid w:val="77D71CE3"/>
    <w:rsid w:val="78361828"/>
    <w:rsid w:val="78557445"/>
    <w:rsid w:val="78872FBC"/>
    <w:rsid w:val="788E1D2B"/>
    <w:rsid w:val="78AC5FDC"/>
    <w:rsid w:val="79223282"/>
    <w:rsid w:val="79FC224E"/>
    <w:rsid w:val="7A01796E"/>
    <w:rsid w:val="7A056E77"/>
    <w:rsid w:val="7A5173A9"/>
    <w:rsid w:val="7A5A076F"/>
    <w:rsid w:val="7B3C7DB9"/>
    <w:rsid w:val="7BB774C5"/>
    <w:rsid w:val="7BC22FF4"/>
    <w:rsid w:val="7BFD4C52"/>
    <w:rsid w:val="7C622CA0"/>
    <w:rsid w:val="7C731091"/>
    <w:rsid w:val="7CA440B9"/>
    <w:rsid w:val="7E5768E9"/>
    <w:rsid w:val="7EBF1A58"/>
    <w:rsid w:val="7EC3202A"/>
    <w:rsid w:val="7ED02DDB"/>
    <w:rsid w:val="7F380CA6"/>
    <w:rsid w:val="7F626766"/>
    <w:rsid w:val="7F733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left"/>
    </w:pPr>
    <w:rPr>
      <w:rFonts w:eastAsia="仿宋"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1300" w:beforeLines="1300" w:beforeAutospacing="0" w:afterLines="0" w:afterAutospacing="0" w:line="360" w:lineRule="auto"/>
      <w:jc w:val="center"/>
      <w:outlineLvl w:val="0"/>
    </w:pPr>
    <w:rPr>
      <w:rFonts w:eastAsia="宋体"/>
      <w:b/>
      <w:kern w:val="44"/>
      <w:sz w:val="52"/>
    </w:rPr>
  </w:style>
  <w:style w:type="paragraph" w:styleId="3">
    <w:name w:val="heading 2"/>
    <w:basedOn w:val="1"/>
    <w:next w:val="1"/>
    <w:link w:val="21"/>
    <w:qFormat/>
    <w:uiPriority w:val="0"/>
    <w:pPr>
      <w:keepNext/>
      <w:keepLines/>
      <w:numPr>
        <w:ilvl w:val="1"/>
        <w:numId w:val="1"/>
      </w:numPr>
      <w:tabs>
        <w:tab w:val="left" w:pos="1080"/>
      </w:tabs>
      <w:spacing w:before="120" w:after="120" w:line="460" w:lineRule="exact"/>
      <w:outlineLvl w:val="1"/>
    </w:pPr>
    <w:rPr>
      <w:rFonts w:ascii="Arial" w:hAnsi="Arial" w:eastAsia="黑体" w:cs="Arial"/>
      <w:b/>
      <w:bCs/>
      <w:sz w:val="30"/>
      <w:szCs w:val="30"/>
    </w:rPr>
  </w:style>
  <w:style w:type="paragraph" w:styleId="4">
    <w:name w:val="heading 3"/>
    <w:basedOn w:val="1"/>
    <w:next w:val="1"/>
    <w:link w:val="24"/>
    <w:unhideWhenUsed/>
    <w:qFormat/>
    <w:uiPriority w:val="0"/>
    <w:pPr>
      <w:keepNext/>
      <w:keepLines/>
      <w:spacing w:beforeLines="0" w:beforeAutospacing="0" w:afterLines="0" w:afterAutospacing="0" w:line="360" w:lineRule="auto"/>
      <w:outlineLvl w:val="2"/>
    </w:pPr>
    <w:rPr>
      <w:b/>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unhideWhenUsed/>
    <w:qFormat/>
    <w:uiPriority w:val="99"/>
    <w:pPr>
      <w:spacing w:after="120"/>
    </w:pPr>
    <w:rPr>
      <w:rFonts w:ascii="Calibri" w:hAnsi="Calibri" w:eastAsia="宋体" w:cs="Times New Roman"/>
    </w:rPr>
  </w:style>
  <w:style w:type="paragraph" w:styleId="7">
    <w:name w:val="Plain Text"/>
    <w:basedOn w:val="1"/>
    <w:qFormat/>
    <w:uiPriority w:val="0"/>
    <w:rPr>
      <w:rFonts w:ascii="宋体" w:hAnsi="Courier New"/>
    </w:rPr>
  </w:style>
  <w:style w:type="paragraph" w:styleId="8">
    <w:name w:val="Date"/>
    <w:basedOn w:val="1"/>
    <w:next w:val="1"/>
    <w:link w:val="22"/>
    <w:qFormat/>
    <w:uiPriority w:val="0"/>
    <w:pPr>
      <w:ind w:left="100" w:leftChars="2500"/>
    </w:pPr>
  </w:style>
  <w:style w:type="paragraph" w:styleId="9">
    <w:name w:val="footer"/>
    <w:basedOn w:val="1"/>
    <w:next w:val="1"/>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itle"/>
    <w:basedOn w:val="1"/>
    <w:next w:val="1"/>
    <w:qFormat/>
    <w:uiPriority w:val="0"/>
    <w:pPr>
      <w:spacing w:before="240" w:after="60"/>
      <w:jc w:val="center"/>
      <w:outlineLvl w:val="0"/>
    </w:pPr>
    <w:rPr>
      <w:rFonts w:ascii="Arial" w:hAnsi="Arial" w:cs="Arial"/>
      <w:b/>
      <w:bCs/>
      <w:sz w:val="32"/>
      <w:szCs w:val="32"/>
    </w:rPr>
  </w:style>
  <w:style w:type="character" w:styleId="14">
    <w:name w:val="page number"/>
    <w:basedOn w:val="13"/>
    <w:qFormat/>
    <w:uiPriority w:val="0"/>
  </w:style>
  <w:style w:type="paragraph" w:customStyle="1" w:styleId="15">
    <w:name w:val="Quote1"/>
    <w:basedOn w:val="1"/>
    <w:next w:val="1"/>
    <w:qFormat/>
    <w:uiPriority w:val="0"/>
    <w:rPr>
      <w:i/>
      <w:iCs/>
      <w:color w:val="000000"/>
    </w:rPr>
  </w:style>
  <w:style w:type="character" w:customStyle="1" w:styleId="16">
    <w:name w:val="NormalCharacter"/>
    <w:semiHidden/>
    <w:qFormat/>
    <w:uiPriority w:val="0"/>
  </w:style>
  <w:style w:type="paragraph" w:styleId="17">
    <w:name w:val="List Paragraph"/>
    <w:basedOn w:val="1"/>
    <w:qFormat/>
    <w:uiPriority w:val="34"/>
    <w:pPr>
      <w:ind w:firstLine="420" w:firstLineChars="200"/>
    </w:pPr>
  </w:style>
  <w:style w:type="paragraph" w:customStyle="1" w:styleId="18">
    <w:name w:val="95-正文"/>
    <w:qFormat/>
    <w:uiPriority w:val="0"/>
    <w:pPr>
      <w:ind w:firstLine="880" w:firstLineChars="200"/>
    </w:pPr>
    <w:rPr>
      <w:rFonts w:ascii="Calibri" w:hAnsi="Calibri" w:eastAsia="仿宋_GB2312" w:cs="Times New Roman"/>
      <w:sz w:val="32"/>
      <w:lang w:val="en-US" w:eastAsia="zh-CN" w:bidi="ar-SA"/>
    </w:rPr>
  </w:style>
  <w:style w:type="paragraph" w:customStyle="1" w:styleId="19">
    <w:name w:val="引用1"/>
    <w:basedOn w:val="1"/>
    <w:next w:val="1"/>
    <w:qFormat/>
    <w:uiPriority w:val="29"/>
    <w:rPr>
      <w:i/>
      <w:iCs/>
      <w:color w:val="000000"/>
    </w:rPr>
  </w:style>
  <w:style w:type="paragraph" w:customStyle="1" w:styleId="20">
    <w:name w:val="Default"/>
    <w:unhideWhenUsed/>
    <w:qFormat/>
    <w:uiPriority w:val="99"/>
    <w:pPr>
      <w:widowControl w:val="0"/>
      <w:autoSpaceDE w:val="0"/>
      <w:autoSpaceDN w:val="0"/>
      <w:adjustRightInd w:val="0"/>
    </w:pPr>
    <w:rPr>
      <w:rFonts w:hint="eastAsia" w:ascii="汉仪中宋简á.." w:hAnsi="汉仪中宋简á.." w:eastAsia="汉仪中宋简á.." w:cs="Times New Roman"/>
      <w:color w:val="000000"/>
      <w:sz w:val="24"/>
      <w:lang w:val="en-US" w:eastAsia="zh-CN" w:bidi="ar-SA"/>
    </w:rPr>
  </w:style>
  <w:style w:type="character" w:customStyle="1" w:styleId="21">
    <w:name w:val="标题 2 Char"/>
    <w:basedOn w:val="13"/>
    <w:link w:val="3"/>
    <w:qFormat/>
    <w:uiPriority w:val="0"/>
    <w:rPr>
      <w:rFonts w:ascii="Arial" w:hAnsi="Arial" w:eastAsia="黑体" w:cs="Arial"/>
      <w:b/>
      <w:bCs/>
      <w:kern w:val="2"/>
      <w:sz w:val="30"/>
      <w:szCs w:val="30"/>
    </w:rPr>
  </w:style>
  <w:style w:type="character" w:customStyle="1" w:styleId="22">
    <w:name w:val="日期 Char"/>
    <w:basedOn w:val="13"/>
    <w:link w:val="8"/>
    <w:qFormat/>
    <w:uiPriority w:val="0"/>
    <w:rPr>
      <w:rFonts w:asciiTheme="minorHAnsi" w:hAnsiTheme="minorHAnsi" w:eastAsiaTheme="minorEastAsia" w:cstheme="minorBidi"/>
      <w:kern w:val="2"/>
      <w:sz w:val="21"/>
      <w:szCs w:val="24"/>
    </w:rPr>
  </w:style>
  <w:style w:type="paragraph" w:customStyle="1" w:styleId="23">
    <w:name w:val="引用11"/>
    <w:basedOn w:val="1"/>
    <w:next w:val="1"/>
    <w:qFormat/>
    <w:uiPriority w:val="29"/>
    <w:rPr>
      <w:rFonts w:ascii="Calibri" w:hAnsi="Calibri" w:eastAsia="宋体" w:cs="Times New Roman"/>
      <w:i/>
      <w:iCs/>
      <w:color w:val="000000"/>
    </w:rPr>
  </w:style>
  <w:style w:type="character" w:customStyle="1" w:styleId="24">
    <w:name w:val="标题 3 Char"/>
    <w:link w:val="4"/>
    <w:qFormat/>
    <w:uiPriority w:val="0"/>
    <w:rPr>
      <w:b/>
    </w:rPr>
  </w:style>
  <w:style w:type="character" w:customStyle="1" w:styleId="25">
    <w:name w:val="font71"/>
    <w:basedOn w:val="13"/>
    <w:qFormat/>
    <w:uiPriority w:val="0"/>
    <w:rPr>
      <w:rFonts w:ascii="Dialog . plain" w:hAnsi="Dialog . plain" w:eastAsia="Dialog . plain" w:cs="Dialog . plain"/>
      <w:color w:val="000000"/>
      <w:sz w:val="22"/>
      <w:szCs w:val="22"/>
      <w:u w:val="none"/>
    </w:rPr>
  </w:style>
  <w:style w:type="character" w:customStyle="1" w:styleId="26">
    <w:name w:val="font81"/>
    <w:basedOn w:val="13"/>
    <w:qFormat/>
    <w:uiPriority w:val="0"/>
    <w:rPr>
      <w:rFonts w:ascii="Dialog . bold" w:hAnsi="Dialog . bold" w:eastAsia="Dialog . bold" w:cs="Dialog . bold"/>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4113</Words>
  <Characters>4471</Characters>
  <Lines>1</Lines>
  <Paragraphs>1</Paragraphs>
  <TotalTime>7</TotalTime>
  <ScaleCrop>false</ScaleCrop>
  <LinksUpToDate>false</LinksUpToDate>
  <CharactersWithSpaces>4482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2024-05-21T02:47:00Z</dcterms:created>
  <dc:creator>admin</dc:creator>
  <cp:lastModifiedBy>碧云天</cp:lastModifiedBy>
  <cp:lastPrinted>2025-05-12T05:25:00Z</cp:lastPrinted>
  <dcterms:modified xsi:type="dcterms:W3CDTF">2025-05-13T07:48:44Z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eyJoZGlkIjoiNzI2ZGI0OGUzMDAzMzk0YmE1OTYyMDVlZGMwMmYyODYiLCJ1c2VySWQiOiIzNjIzMDEzMzQifQ==</vt:lpwstr>
  </property>
  <property fmtid="{D5CDD505-2E9C-101B-9397-08002B2CF9AE}" pid="4" name="ICV">
    <vt:lpwstr>0B262BD7B44A4D0BBE7578A0230850FF_13</vt:lpwstr>
  </property>
</Properties>
</file>