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DFC9">
      <w:pPr>
        <w:jc w:val="center"/>
        <w:rPr>
          <w:rFonts w:ascii="隶书" w:hAnsi="Times New Roman" w:eastAsia="隶书" w:cs="Times New Roman"/>
          <w:sz w:val="44"/>
          <w:szCs w:val="44"/>
        </w:rPr>
      </w:pPr>
      <w:r>
        <w:rPr>
          <w:rFonts w:hint="eastAsia" w:ascii="隶书" w:hAnsi="Times New Roman" w:eastAsia="隶书" w:cs="Times New Roman"/>
          <w:sz w:val="44"/>
          <w:szCs w:val="44"/>
        </w:rPr>
        <w:t>峨边彝族自治县</w:t>
      </w:r>
    </w:p>
    <w:p w14:paraId="686C8A18">
      <w:pPr>
        <w:jc w:val="center"/>
        <w:rPr>
          <w:rFonts w:ascii="隶书" w:hAnsi="Times New Roman" w:eastAsia="隶书" w:cs="Times New Roman"/>
          <w:sz w:val="44"/>
          <w:szCs w:val="44"/>
        </w:rPr>
      </w:pPr>
      <w:r>
        <w:rPr>
          <w:rFonts w:hint="eastAsia" w:ascii="隶书" w:hAnsi="Times New Roman" w:eastAsia="隶书" w:cs="Times New Roman"/>
          <w:sz w:val="44"/>
          <w:szCs w:val="44"/>
        </w:rPr>
        <w:t>2024年国民经济和社会发展</w:t>
      </w:r>
    </w:p>
    <w:p w14:paraId="34069505">
      <w:pPr>
        <w:jc w:val="center"/>
        <w:rPr>
          <w:rFonts w:ascii="隶书" w:hAnsi="Times New Roman" w:eastAsia="隶书" w:cs="Times New Roman"/>
          <w:sz w:val="44"/>
          <w:szCs w:val="44"/>
        </w:rPr>
      </w:pPr>
      <w:r>
        <w:rPr>
          <w:rFonts w:hint="eastAsia" w:ascii="隶书" w:hAnsi="Times New Roman" w:eastAsia="隶书" w:cs="Times New Roman"/>
          <w:sz w:val="44"/>
          <w:szCs w:val="44"/>
        </w:rPr>
        <w:t>统计公报</w:t>
      </w:r>
    </w:p>
    <w:p w14:paraId="6E64A226">
      <w:pPr>
        <w:spacing w:line="300" w:lineRule="auto"/>
        <w:jc w:val="center"/>
        <w:rPr>
          <w:rFonts w:ascii="楷体_GB2312" w:hAnsi="Times New Roman" w:eastAsia="楷体_GB2312" w:cs="Times New Roman"/>
          <w:b/>
          <w:bCs/>
          <w:sz w:val="28"/>
        </w:rPr>
      </w:pPr>
      <w:r>
        <w:rPr>
          <w:rFonts w:hint="eastAsia" w:ascii="楷体_GB2312" w:hAnsi="Times New Roman" w:eastAsia="楷体_GB2312" w:cs="Times New Roman"/>
          <w:b/>
          <w:bCs/>
          <w:sz w:val="28"/>
        </w:rPr>
        <w:t>峨边彝族自治县统计局</w:t>
      </w:r>
    </w:p>
    <w:p w14:paraId="64513746">
      <w:pPr>
        <w:spacing w:line="300" w:lineRule="auto"/>
        <w:jc w:val="center"/>
        <w:rPr>
          <w:rFonts w:ascii="楷体_GB2312" w:hAnsi="Times New Roman" w:eastAsia="楷体_GB2312" w:cs="Times New Roman"/>
          <w:b/>
          <w:bCs/>
          <w:sz w:val="28"/>
        </w:rPr>
      </w:pPr>
      <w:r>
        <w:rPr>
          <w:rFonts w:hint="eastAsia" w:ascii="楷体_GB2312" w:hAnsi="Times New Roman" w:eastAsia="楷体_GB2312" w:cs="Times New Roman"/>
          <w:b/>
          <w:bCs/>
          <w:sz w:val="28"/>
        </w:rPr>
        <w:t>2025年3月31日</w:t>
      </w:r>
    </w:p>
    <w:p w14:paraId="18E02B01">
      <w:pPr>
        <w:autoSpaceDE w:val="0"/>
        <w:autoSpaceDN w:val="0"/>
        <w:adjustRightInd w:val="0"/>
        <w:snapToGrid w:val="0"/>
        <w:spacing w:line="480" w:lineRule="exact"/>
        <w:ind w:firstLine="560" w:firstLineChars="200"/>
        <w:rPr>
          <w:rFonts w:hint="eastAsia" w:ascii="方正仿宋简体" w:hAnsi="方正小标宋简体" w:eastAsia="方正仿宋简体" w:cs="方正小标宋简体"/>
          <w:bCs/>
          <w:color w:val="000000"/>
          <w:spacing w:val="20"/>
          <w:kern w:val="0"/>
          <w:sz w:val="24"/>
        </w:rPr>
      </w:pPr>
    </w:p>
    <w:p w14:paraId="23C495C0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2024年，面对复杂严峻形势和多重困难挑战，全县坚持以习近平新时代中国特色社会主义思想为指导，深入学习贯彻党的二十大、二十届二中、三中全会精神和习近平总书记对四川工作系列重要指示精神，按照市委“节奏更快、效率更高、质量更优”工作要求，围绕县委“党建引领、三区联动、城乡融合、全面振兴”发展思路，全力以赴拼经济搞建设抓发展，全县经济社会发展取得新成效。</w:t>
      </w:r>
    </w:p>
    <w:p w14:paraId="265FD332">
      <w:pPr>
        <w:spacing w:beforeLines="100" w:afterLines="100"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GulimChe" w:eastAsia="黑体" w:cs="Times New Roman"/>
          <w:sz w:val="24"/>
        </w:rPr>
        <w:t>一、综   合</w:t>
      </w:r>
    </w:p>
    <w:p w14:paraId="5FB55302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经市统计局审定，2024年全县地区生产总值（GDP）881091万元，按不变价格计算，比上年增长5.8%。其中，第一产业增加值82471万元，增长2.1%；第二产业增加值397935万元，增长5.4%；第三产业增加值400685万元，增长7.2%。</w:t>
      </w:r>
    </w:p>
    <w:p w14:paraId="7A5A9448">
      <w:pPr>
        <w:spacing w:line="480" w:lineRule="exact"/>
        <w:ind w:firstLine="480" w:firstLineChars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三次产业分别拉动GDP增长0.2、2.4和3.2个百分点，对经济增长的贡献率分别为4%、41%和55%。三次产业结构由上年的9.6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:</w:t>
      </w:r>
      <w:r>
        <w:rPr>
          <w:rFonts w:hint="eastAsia" w:ascii="方正书宋简体" w:hAnsi="方正书宋简体" w:eastAsia="方正书宋简体" w:cs="方正书宋简体"/>
          <w:sz w:val="24"/>
        </w:rPr>
        <w:t>45.9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:</w:t>
      </w:r>
      <w:r>
        <w:rPr>
          <w:rFonts w:hint="eastAsia" w:ascii="方正书宋简体" w:hAnsi="方正书宋简体" w:eastAsia="方正书宋简体" w:cs="方正书宋简体"/>
          <w:sz w:val="24"/>
        </w:rPr>
        <w:t>44.5 调整为9.4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:</w:t>
      </w:r>
      <w:r>
        <w:rPr>
          <w:rFonts w:hint="eastAsia" w:ascii="方正书宋简体" w:hAnsi="方正书宋简体" w:eastAsia="方正书宋简体" w:cs="方正书宋简体"/>
          <w:sz w:val="24"/>
        </w:rPr>
        <w:t>45.1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:</w:t>
      </w:r>
      <w:r>
        <w:rPr>
          <w:rFonts w:hint="eastAsia" w:ascii="方正书宋简体" w:hAnsi="方正书宋简体" w:eastAsia="方正书宋简体" w:cs="方正书宋简体"/>
          <w:sz w:val="24"/>
        </w:rPr>
        <w:t>45.5。2020年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—</w:t>
      </w:r>
      <w:r>
        <w:rPr>
          <w:rFonts w:hint="eastAsia" w:ascii="方正书宋简体" w:hAnsi="方正书宋简体" w:eastAsia="方正书宋简体" w:cs="方正书宋简体"/>
          <w:sz w:val="24"/>
        </w:rPr>
        <w:t>2024年期间，全县地区生产总值年均增长5.6%。</w:t>
      </w:r>
    </w:p>
    <w:p w14:paraId="56EE7ECD">
      <w:pPr>
        <w:spacing w:line="480" w:lineRule="exact"/>
        <w:jc w:val="center"/>
        <w:rPr>
          <w:rFonts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图1  2020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  <w:lang w:eastAsia="zh-CN"/>
        </w:rPr>
        <w:t>—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2024年地区生产总值及其增长速度</w:t>
      </w:r>
    </w:p>
    <w:p w14:paraId="0D8EFDAC">
      <w:pPr>
        <w:jc w:val="center"/>
        <w:rPr>
          <w:rFonts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/>
        </w:rPr>
        <w:drawing>
          <wp:inline distT="0" distB="0" distL="114300" distR="114300">
            <wp:extent cx="3599815" cy="2520315"/>
            <wp:effectExtent l="4445" t="4445" r="15240" b="889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CCA02B7">
      <w:pPr>
        <w:spacing w:line="480" w:lineRule="exact"/>
        <w:jc w:val="center"/>
        <w:rPr>
          <w:rFonts w:ascii="黑体" w:eastAsia="黑体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图2  2020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  <w:lang w:eastAsia="zh-CN"/>
        </w:rPr>
        <w:t>—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2024年地区生产总值结构</w:t>
      </w:r>
    </w:p>
    <w:p w14:paraId="2D5CAB56">
      <w:pPr>
        <w:jc w:val="center"/>
      </w:pPr>
      <w:r>
        <w:rPr>
          <w:rFonts w:hint="eastAsia"/>
        </w:rPr>
        <w:drawing>
          <wp:inline distT="0" distB="0" distL="114300" distR="114300">
            <wp:extent cx="3599815" cy="2520315"/>
            <wp:effectExtent l="4445" t="4445" r="15240" b="889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EA3123">
      <w:pPr>
        <w:overflowPunct w:val="0"/>
        <w:autoSpaceDE w:val="0"/>
        <w:autoSpaceDN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bCs/>
          <w:color w:val="000000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kern w:val="0"/>
          <w:sz w:val="24"/>
        </w:rPr>
        <w:t>2024年全市居民消费价格与上年持平，消费品价格下降0.9%，服务价格上涨1.7%。</w:t>
      </w:r>
    </w:p>
    <w:p w14:paraId="0BFF173F">
      <w:pPr>
        <w:spacing w:line="480" w:lineRule="exact"/>
        <w:jc w:val="center"/>
        <w:rPr>
          <w:b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表1  2024年全市居民消费价格比上年涨跌幅度</w:t>
      </w:r>
    </w:p>
    <w:tbl>
      <w:tblPr>
        <w:tblStyle w:val="6"/>
        <w:tblW w:w="5754" w:type="dxa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8"/>
        <w:gridCol w:w="2180"/>
        <w:gridCol w:w="426"/>
      </w:tblGrid>
      <w:tr w14:paraId="0433CD76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73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1985B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指        标</w:t>
            </w:r>
          </w:p>
        </w:tc>
        <w:tc>
          <w:tcPr>
            <w:tcW w:w="226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58DB0B2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涨   跌（%）</w:t>
            </w:r>
          </w:p>
        </w:tc>
      </w:tr>
      <w:tr w14:paraId="14F4C72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exact"/>
          <w:jc w:val="center"/>
        </w:trPr>
        <w:tc>
          <w:tcPr>
            <w:tcW w:w="2736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95D98">
            <w:pPr>
              <w:widowControl/>
              <w:spacing w:line="320" w:lineRule="exact"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2264" w:type="pct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77EA603">
            <w:pPr>
              <w:widowControl/>
              <w:spacing w:line="320" w:lineRule="exact"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</w:tr>
      <w:tr w14:paraId="170452F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82AFC3C">
            <w:pPr>
              <w:spacing w:line="32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居民消费价格</w:t>
            </w:r>
          </w:p>
        </w:tc>
        <w:tc>
          <w:tcPr>
            <w:tcW w:w="189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67FC40C6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0.0</w:t>
            </w:r>
          </w:p>
          <w:p w14:paraId="3B890C93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  <w:highlight w:val="red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75922ED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  <w:highlight w:val="red"/>
              </w:rPr>
            </w:pPr>
          </w:p>
        </w:tc>
      </w:tr>
      <w:tr w14:paraId="2D2781D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65B7747">
            <w:pPr>
              <w:widowControl/>
              <w:spacing w:line="320" w:lineRule="exact"/>
              <w:ind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食品烟酒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C4BE0B2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-0.5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8B84B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93F2B0D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432CC81">
            <w:pPr>
              <w:widowControl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衣  着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0C2894DB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-0.8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0E1B5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67D1F6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B039D7E">
            <w:pPr>
              <w:widowControl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居  住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80C00B6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-0.6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ABBFF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3826A5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29758FA">
            <w:pPr>
              <w:widowControl/>
              <w:spacing w:line="320" w:lineRule="exact"/>
              <w:ind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生活用品及服务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F786326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0.4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5E72B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4C67DF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C40EDF4">
            <w:pPr>
              <w:widowControl/>
              <w:spacing w:line="320" w:lineRule="exact"/>
              <w:ind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交通和通信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1C05BE7D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-3.1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C508E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0101C5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EBB8B7D">
            <w:pPr>
              <w:widowControl/>
              <w:spacing w:line="320" w:lineRule="exact"/>
              <w:ind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教育文化和娱乐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7F771D5D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4.5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FE23E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EA789A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6E3ED335">
            <w:pPr>
              <w:widowControl/>
              <w:spacing w:line="320" w:lineRule="exact"/>
              <w:ind w:right="-437" w:rightChars="-208"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医疗保健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7B26110D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1.4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036E2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2E92C7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AD23C">
            <w:pPr>
              <w:widowControl/>
              <w:spacing w:line="320" w:lineRule="exact"/>
              <w:ind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其他用品和服务</w:t>
            </w:r>
          </w:p>
        </w:tc>
        <w:tc>
          <w:tcPr>
            <w:tcW w:w="189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4872F79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3.0</w:t>
            </w:r>
          </w:p>
        </w:tc>
        <w:tc>
          <w:tcPr>
            <w:tcW w:w="36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71D045">
            <w:pPr>
              <w:widowControl/>
              <w:spacing w:line="320" w:lineRule="exact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14:paraId="3B063004">
      <w:pPr>
        <w:spacing w:line="480" w:lineRule="exact"/>
        <w:jc w:val="center"/>
        <w:rPr>
          <w:rFonts w:ascii="黑体" w:eastAsia="黑体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图3  2020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  <w:lang w:eastAsia="zh-CN"/>
        </w:rPr>
        <w:t>—</w:t>
      </w: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2024年居民消费价格涨跌幅度</w:t>
      </w:r>
    </w:p>
    <w:p w14:paraId="2C2718D3">
      <w:pPr>
        <w:jc w:val="center"/>
      </w:pPr>
      <w:r>
        <w:rPr>
          <w:rFonts w:hint="eastAsia"/>
        </w:rPr>
        <w:drawing>
          <wp:inline distT="0" distB="0" distL="114300" distR="114300">
            <wp:extent cx="3599815" cy="2520315"/>
            <wp:effectExtent l="4445" t="4445" r="15240" b="889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F48CD0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</w:p>
    <w:p w14:paraId="7E3C68C4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  <w:r>
        <w:rPr>
          <w:rFonts w:hint="eastAsia" w:ascii="黑体" w:hAnsi="GulimChe" w:eastAsia="黑体" w:cs="Times New Roman"/>
          <w:sz w:val="24"/>
        </w:rPr>
        <w:t>二、民营经济</w:t>
      </w:r>
    </w:p>
    <w:p w14:paraId="538F7751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</w:p>
    <w:p w14:paraId="583253F7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全年民营经济增加值489836万元，比上年增长5.9%。其中，第一产业增加值80959万元，增长2.0%；第二产业增加值227343万元，增长3.9%；第三产业增加值181534万元，增长10.5%。民营经济总量占地区生产总值的55.6%，拉动地区生产总值增长3.3个百分点，对地区生产总值增长的贡献率为56.6%。</w:t>
      </w:r>
    </w:p>
    <w:p w14:paraId="6D367CE5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年末全县民营经济主体达到8047户，比上年增长1.3%，占市场主体总量的96.7%，其中私营企业实有数量达到1561户，增长2.63%。</w:t>
      </w:r>
    </w:p>
    <w:p w14:paraId="08ABC0FD">
      <w:pPr>
        <w:overflowPunct w:val="0"/>
        <w:spacing w:line="480" w:lineRule="exact"/>
        <w:ind w:firstLine="480" w:firstLineChars="200"/>
        <w:rPr>
          <w:rFonts w:hint="eastAsia" w:ascii="方正仿宋简体" w:eastAsia="方正仿宋简体"/>
          <w:bCs/>
          <w:color w:val="000000"/>
          <w:kern w:val="0"/>
          <w:sz w:val="24"/>
        </w:rPr>
      </w:pPr>
    </w:p>
    <w:p w14:paraId="0C2C506B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  <w:r>
        <w:rPr>
          <w:rFonts w:hint="eastAsia" w:ascii="黑体" w:hAnsi="GulimChe" w:eastAsia="黑体" w:cs="Times New Roman"/>
          <w:sz w:val="24"/>
        </w:rPr>
        <w:t>三、农   业</w:t>
      </w:r>
    </w:p>
    <w:p w14:paraId="634E37C9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4AE9DD77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全年</w:t>
      </w:r>
      <w:bookmarkStart w:id="0" w:name="OLE_LINK6"/>
      <w:bookmarkStart w:id="1" w:name="OLE_LINK4"/>
      <w:r>
        <w:rPr>
          <w:rFonts w:hint="eastAsia" w:ascii="方正书宋简体" w:hAnsi="方正书宋简体" w:eastAsia="方正书宋简体" w:cs="方正书宋简体"/>
          <w:sz w:val="24"/>
        </w:rPr>
        <w:t>农作物播种面积</w:t>
      </w:r>
      <w:bookmarkEnd w:id="0"/>
      <w:bookmarkEnd w:id="1"/>
      <w:r>
        <w:rPr>
          <w:rFonts w:hint="eastAsia" w:ascii="方正书宋简体" w:hAnsi="方正书宋简体" w:eastAsia="方正书宋简体" w:cs="方正书宋简体"/>
          <w:sz w:val="24"/>
        </w:rPr>
        <w:t>19177公顷，比上年减少4公顷。粮食种植面积12837公顷，比上年增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加</w:t>
      </w:r>
      <w:r>
        <w:rPr>
          <w:rFonts w:hint="eastAsia" w:ascii="方正书宋简体" w:hAnsi="方正书宋简体" w:eastAsia="方正书宋简体" w:cs="方正书宋简体"/>
          <w:sz w:val="24"/>
        </w:rPr>
        <w:t>104公顷；油料种植面积2936公顷，比上年增加154公顷；糖料种植面积1.6公顷，比上年减少0.1公顷；蔬菜种植面积2740公顷，比上年增加9公顷。</w:t>
      </w:r>
    </w:p>
    <w:p w14:paraId="175A9959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全年粮食产量51684.8吨，比上年增长1.34%；油料产量3785吨，增长6.0%；糖料产量71吨，减少8%；蔬菜及食用菌产量36967吨，增长3%；茶叶产量337吨，增长3.1%；水果产量1130吨，增长9.1%。</w:t>
      </w:r>
    </w:p>
    <w:p w14:paraId="305D0B08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全年肉类总产量15706.56吨，比上年下降1.9%。其中，猪肉产量11890吨，下降2.5%，占肉类总产量的75.7%；牛肉产量961.9吨，下降10.95%；羊肉产量338.3吨，下降15.4%；禽肉产量1505.8吨，下降8.9%。禽蛋产量2997吨，下降5.1%。全年出栏肉猪154098头，比上年下降7.37%；年末生猪存栏97446头，下降5.4%；出售和自宰的肉用兔504287只，下降0.9%。兔肉产量1010吨，增长50.3%。马肉产量0.562吨。</w:t>
      </w:r>
    </w:p>
    <w:p w14:paraId="5BDBD428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bookmarkStart w:id="2" w:name="OLE_LINK7"/>
      <w:bookmarkStart w:id="3" w:name="OLE_LINK12"/>
      <w:r>
        <w:rPr>
          <w:rFonts w:hint="eastAsia" w:ascii="方正书宋简体" w:hAnsi="方正书宋简体" w:eastAsia="方正书宋简体" w:cs="方正书宋简体"/>
          <w:sz w:val="24"/>
        </w:rPr>
        <w:t>全年水产品产量155吨，比上年增长5.4%。水产养殖面积46公顷。</w:t>
      </w:r>
    </w:p>
    <w:p w14:paraId="0E193E16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森林面积188858公顷，森林覆盖率79.27%，比上年提高0.38个百分点。</w:t>
      </w:r>
    </w:p>
    <w:bookmarkEnd w:id="2"/>
    <w:bookmarkEnd w:id="3"/>
    <w:p w14:paraId="27C0F4C9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bCs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年末农业机械总动力12.64万千瓦，机收面积1762.09公顷，农作物机械化率39.14%。</w:t>
      </w:r>
    </w:p>
    <w:p w14:paraId="4B1100FA">
      <w:pPr>
        <w:spacing w:line="480" w:lineRule="exact"/>
        <w:jc w:val="center"/>
        <w:rPr>
          <w:rFonts w:hint="eastAsia" w:ascii="黑体" w:hAnsi="Times New Roman" w:eastAsia="黑体" w:cs="Times New Roman"/>
          <w:bCs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kern w:val="0"/>
          <w:sz w:val="24"/>
        </w:rPr>
        <w:t>表2  2024年主要农产品产量及其增长速度</w:t>
      </w:r>
    </w:p>
    <w:p w14:paraId="60E3F52C">
      <w:pPr>
        <w:widowControl/>
        <w:tabs>
          <w:tab w:val="left" w:pos="7110"/>
        </w:tabs>
        <w:spacing w:line="480" w:lineRule="exact"/>
        <w:ind w:firstLine="512" w:firstLineChars="200"/>
        <w:rPr>
          <w:rFonts w:hint="eastAsia" w:ascii="方正书宋简体" w:hAnsi="方正书宋简体" w:eastAsia="方正书宋简体" w:cs="方正书宋简体"/>
          <w:spacing w:val="8"/>
          <w:kern w:val="0"/>
          <w:sz w:val="24"/>
        </w:rPr>
      </w:pPr>
      <w:r>
        <w:rPr>
          <w:rFonts w:hint="eastAsia" w:ascii="方正仿宋简体" w:eastAsia="方正仿宋简体"/>
          <w:spacing w:val="8"/>
          <w:kern w:val="0"/>
          <w:sz w:val="24"/>
        </w:rPr>
        <w:t xml:space="preserve">                               </w:t>
      </w:r>
      <w:r>
        <w:rPr>
          <w:rFonts w:hint="eastAsia" w:ascii="方正书宋简体" w:hAnsi="方正书宋简体" w:eastAsia="方正书宋简体" w:cs="方正书宋简体"/>
          <w:spacing w:val="8"/>
          <w:kern w:val="0"/>
          <w:sz w:val="24"/>
        </w:rPr>
        <w:t xml:space="preserve"> 单位：吨</w:t>
      </w:r>
    </w:p>
    <w:tbl>
      <w:tblPr>
        <w:tblStyle w:val="6"/>
        <w:tblW w:w="603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1170"/>
        <w:gridCol w:w="530"/>
        <w:gridCol w:w="1758"/>
        <w:gridCol w:w="312"/>
      </w:tblGrid>
      <w:tr w14:paraId="01018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5A6068">
            <w:pPr>
              <w:widowControl/>
              <w:spacing w:line="320" w:lineRule="exact"/>
              <w:ind w:firstLine="512" w:firstLineChars="200"/>
              <w:rPr>
                <w:rFonts w:ascii="仿宋_GB2312" w:hAnsi="仿宋_GB2312" w:eastAsia="仿宋_GB2312" w:cs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4"/>
              </w:rPr>
              <w:t>产品名称</w:t>
            </w: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3B607F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4"/>
              </w:rPr>
              <w:t>产  量</w:t>
            </w:r>
          </w:p>
        </w:tc>
        <w:tc>
          <w:tcPr>
            <w:tcW w:w="171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noWrap/>
            <w:vAlign w:val="center"/>
          </w:tcPr>
          <w:p w14:paraId="4F53785A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kern w:val="0"/>
                <w:sz w:val="24"/>
              </w:rPr>
              <w:t>比上年增长（%）</w:t>
            </w:r>
          </w:p>
        </w:tc>
      </w:tr>
      <w:tr w14:paraId="0ACDD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single" w:color="auto" w:sz="4" w:space="0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776020EC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粮   食</w:t>
            </w:r>
          </w:p>
        </w:tc>
        <w:tc>
          <w:tcPr>
            <w:tcW w:w="969" w:type="pct"/>
            <w:tcBorders>
              <w:top w:val="single" w:color="auto" w:sz="4" w:space="0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4B222DE1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51684.8</w:t>
            </w:r>
          </w:p>
        </w:tc>
        <w:tc>
          <w:tcPr>
            <w:tcW w:w="439" w:type="pct"/>
            <w:tcBorders>
              <w:top w:val="single" w:color="auto" w:sz="4" w:space="0"/>
              <w:right w:val="single" w:color="auto" w:sz="6" w:space="0"/>
            </w:tcBorders>
            <w:noWrap/>
            <w:vAlign w:val="center"/>
          </w:tcPr>
          <w:p w14:paraId="1DC68D20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single" w:color="auto" w:sz="4" w:space="0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5B069ACB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1.34</w:t>
            </w:r>
          </w:p>
        </w:tc>
        <w:tc>
          <w:tcPr>
            <w:tcW w:w="258" w:type="pct"/>
            <w:tcBorders>
              <w:top w:val="single" w:color="auto" w:sz="4" w:space="0"/>
            </w:tcBorders>
            <w:noWrap/>
            <w:vAlign w:val="bottom"/>
          </w:tcPr>
          <w:p w14:paraId="2E1CA7EE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14:paraId="0F86D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1F1E65E9">
            <w:pPr>
              <w:spacing w:line="320" w:lineRule="exact"/>
              <w:ind w:firstLine="256" w:firstLineChars="100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其中：稻谷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7B16CD14">
            <w:pPr>
              <w:spacing w:line="320" w:lineRule="exact"/>
              <w:jc w:val="right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4531.2</w:t>
            </w:r>
          </w:p>
        </w:tc>
        <w:tc>
          <w:tcPr>
            <w:tcW w:w="439" w:type="pct"/>
            <w:tcBorders>
              <w:right w:val="single" w:color="auto" w:sz="6" w:space="0"/>
            </w:tcBorders>
            <w:noWrap/>
            <w:vAlign w:val="center"/>
          </w:tcPr>
          <w:p w14:paraId="6802A0D8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0AF91200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0.27</w:t>
            </w:r>
          </w:p>
        </w:tc>
        <w:tc>
          <w:tcPr>
            <w:tcW w:w="258" w:type="pct"/>
            <w:noWrap/>
            <w:vAlign w:val="bottom"/>
          </w:tcPr>
          <w:p w14:paraId="212C822A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14:paraId="55309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512AD6AC">
            <w:pPr>
              <w:spacing w:line="320" w:lineRule="exact"/>
              <w:ind w:firstLine="1024" w:firstLineChars="400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小麦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02FA331A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153.9</w:t>
            </w:r>
          </w:p>
        </w:tc>
        <w:tc>
          <w:tcPr>
            <w:tcW w:w="439" w:type="pct"/>
            <w:tcBorders>
              <w:right w:val="single" w:color="auto" w:sz="6" w:space="0"/>
            </w:tcBorders>
            <w:noWrap/>
            <w:vAlign w:val="center"/>
          </w:tcPr>
          <w:p w14:paraId="0B9792E8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43E2F03B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103.13</w:t>
            </w:r>
          </w:p>
        </w:tc>
        <w:tc>
          <w:tcPr>
            <w:tcW w:w="258" w:type="pct"/>
            <w:noWrap/>
            <w:vAlign w:val="bottom"/>
          </w:tcPr>
          <w:p w14:paraId="41DA0842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14:paraId="79E73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7C31D1C5">
            <w:pPr>
              <w:spacing w:line="320" w:lineRule="exact"/>
              <w:ind w:firstLine="1024" w:firstLineChars="400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玉米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35CD2BDB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27190.8</w:t>
            </w:r>
          </w:p>
        </w:tc>
        <w:tc>
          <w:tcPr>
            <w:tcW w:w="439" w:type="pct"/>
            <w:tcBorders>
              <w:bottom w:val="nil"/>
              <w:right w:val="single" w:color="auto" w:sz="6" w:space="0"/>
            </w:tcBorders>
            <w:noWrap/>
            <w:vAlign w:val="center"/>
          </w:tcPr>
          <w:p w14:paraId="32066598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47D4F8BA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2.03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bottom"/>
          </w:tcPr>
          <w:p w14:paraId="0D3B9F95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14:paraId="7EC07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45A2FE7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油   料</w:t>
            </w:r>
          </w:p>
        </w:tc>
        <w:tc>
          <w:tcPr>
            <w:tcW w:w="969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5583BBA6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3785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BD554F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0653B608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16811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  <w:highlight w:val="yellow"/>
              </w:rPr>
            </w:pPr>
          </w:p>
        </w:tc>
      </w:tr>
      <w:tr w14:paraId="05F4B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A773726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糖   料</w:t>
            </w:r>
          </w:p>
        </w:tc>
        <w:tc>
          <w:tcPr>
            <w:tcW w:w="969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1843D687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728191AD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4C1079C9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8C2D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  <w:highlight w:val="yellow"/>
              </w:rPr>
            </w:pPr>
          </w:p>
        </w:tc>
      </w:tr>
      <w:tr w14:paraId="53FEF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61A4C191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茶   叶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2AA1F557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337</w:t>
            </w:r>
          </w:p>
        </w:tc>
        <w:tc>
          <w:tcPr>
            <w:tcW w:w="439" w:type="pct"/>
            <w:tcBorders>
              <w:top w:val="nil"/>
              <w:right w:val="single" w:color="auto" w:sz="6" w:space="0"/>
            </w:tcBorders>
            <w:noWrap/>
            <w:vAlign w:val="center"/>
          </w:tcPr>
          <w:p w14:paraId="17FA4341">
            <w:pPr>
              <w:spacing w:line="320" w:lineRule="exact"/>
              <w:ind w:right="160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bottom w:val="nil"/>
              <w:right w:val="nil"/>
            </w:tcBorders>
            <w:noWrap/>
            <w:vAlign w:val="center"/>
          </w:tcPr>
          <w:p w14:paraId="5F36CF5B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3.1</w:t>
            </w:r>
          </w:p>
        </w:tc>
        <w:tc>
          <w:tcPr>
            <w:tcW w:w="258" w:type="pct"/>
            <w:tcBorders>
              <w:top w:val="nil"/>
            </w:tcBorders>
            <w:noWrap/>
            <w:vAlign w:val="bottom"/>
          </w:tcPr>
          <w:p w14:paraId="6AE13F9E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  <w:highlight w:val="yellow"/>
              </w:rPr>
            </w:pPr>
          </w:p>
        </w:tc>
      </w:tr>
      <w:tr w14:paraId="0BCE5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right w:val="single" w:color="auto" w:sz="6" w:space="0"/>
            </w:tcBorders>
            <w:noWrap/>
            <w:vAlign w:val="center"/>
          </w:tcPr>
          <w:p w14:paraId="3BAB6386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水   果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right w:val="nil"/>
            </w:tcBorders>
            <w:noWrap/>
            <w:vAlign w:val="center"/>
          </w:tcPr>
          <w:p w14:paraId="02AB54BE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1130</w:t>
            </w:r>
          </w:p>
        </w:tc>
        <w:tc>
          <w:tcPr>
            <w:tcW w:w="439" w:type="pct"/>
            <w:tcBorders>
              <w:right w:val="single" w:color="auto" w:sz="6" w:space="0"/>
            </w:tcBorders>
            <w:noWrap/>
            <w:vAlign w:val="center"/>
          </w:tcPr>
          <w:p w14:paraId="7F3563A0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right w:val="nil"/>
            </w:tcBorders>
            <w:noWrap/>
            <w:vAlign w:val="center"/>
          </w:tcPr>
          <w:p w14:paraId="30AB29FB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9.1</w:t>
            </w:r>
          </w:p>
        </w:tc>
        <w:tc>
          <w:tcPr>
            <w:tcW w:w="258" w:type="pct"/>
            <w:noWrap/>
            <w:vAlign w:val="bottom"/>
          </w:tcPr>
          <w:p w14:paraId="2F5320BC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  <w:highlight w:val="yellow"/>
              </w:rPr>
            </w:pPr>
          </w:p>
        </w:tc>
      </w:tr>
      <w:tr w14:paraId="40607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878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147B4B">
            <w:pPr>
              <w:spacing w:line="320" w:lineRule="exact"/>
              <w:jc w:val="left"/>
              <w:rPr>
                <w:rFonts w:ascii="仿宋_GB2312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蔬菜及食用菌</w:t>
            </w:r>
          </w:p>
        </w:tc>
        <w:tc>
          <w:tcPr>
            <w:tcW w:w="969" w:type="pct"/>
            <w:tcBorders>
              <w:top w:val="nil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02C9BF18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36967</w:t>
            </w:r>
          </w:p>
        </w:tc>
        <w:tc>
          <w:tcPr>
            <w:tcW w:w="439" w:type="pct"/>
            <w:tcBorders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370595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56" w:type="pct"/>
            <w:tcBorders>
              <w:top w:val="nil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2D5F425F">
            <w:pPr>
              <w:spacing w:line="32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3.0</w:t>
            </w:r>
          </w:p>
        </w:tc>
        <w:tc>
          <w:tcPr>
            <w:tcW w:w="258" w:type="pct"/>
            <w:tcBorders>
              <w:bottom w:val="single" w:color="auto" w:sz="4" w:space="0"/>
            </w:tcBorders>
            <w:noWrap/>
            <w:vAlign w:val="bottom"/>
          </w:tcPr>
          <w:p w14:paraId="32F998EF">
            <w:pPr>
              <w:widowControl/>
              <w:spacing w:line="320" w:lineRule="exact"/>
              <w:jc w:val="center"/>
              <w:rPr>
                <w:rFonts w:ascii="仿宋_GB2312" w:eastAsia="仿宋_GB2312"/>
                <w:spacing w:val="8"/>
                <w:kern w:val="0"/>
                <w:sz w:val="24"/>
                <w:highlight w:val="yellow"/>
              </w:rPr>
            </w:pPr>
          </w:p>
        </w:tc>
      </w:tr>
    </w:tbl>
    <w:p w14:paraId="2344A18B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  <w:r>
        <w:rPr>
          <w:rFonts w:hint="eastAsia" w:ascii="黑体" w:hAnsi="GulimChe" w:eastAsia="黑体" w:cs="Times New Roman"/>
          <w:sz w:val="24"/>
        </w:rPr>
        <w:t>四、工业和建筑业</w:t>
      </w:r>
    </w:p>
    <w:p w14:paraId="1C950C78">
      <w:pPr>
        <w:spacing w:line="480" w:lineRule="exact"/>
        <w:jc w:val="center"/>
        <w:rPr>
          <w:rFonts w:hint="eastAsia" w:ascii="黑体" w:hAnsi="GulimChe" w:eastAsia="黑体" w:cs="Times New Roman"/>
          <w:sz w:val="24"/>
        </w:rPr>
      </w:pPr>
    </w:p>
    <w:p w14:paraId="30E8248A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全年工业增加值337267万元，比上年增长4.6%，占全县地区生产总值的38.3%，拉动经济增长1.7个百分点，对经济增长的贡献率为29.6%。年末纳入月度统计的规模以上工业企业39户，规模以上工业增加值比上年增长3.4%。2020年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—</w:t>
      </w:r>
      <w:r>
        <w:rPr>
          <w:rFonts w:hint="eastAsia" w:ascii="方正书宋简体" w:hAnsi="方正书宋简体" w:eastAsia="方正书宋简体" w:cs="方正书宋简体"/>
          <w:sz w:val="24"/>
        </w:rPr>
        <w:t>2024年期间，规模以上工业增加值年均增长5.4%。</w:t>
      </w:r>
    </w:p>
    <w:p w14:paraId="1AB90776">
      <w:pPr>
        <w:overflowPunct w:val="0"/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bCs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sz w:val="24"/>
        </w:rPr>
        <w:t>全年规模以上工业企业营业收入631193万元，比上年下降20.2%；实现利润总额8096</w:t>
      </w:r>
      <w:r>
        <w:rPr>
          <w:rFonts w:hint="eastAsia" w:ascii="方正书宋简体" w:hAnsi="方正书宋简体" w:eastAsia="方正书宋简体" w:cs="方正书宋简体"/>
          <w:sz w:val="24"/>
          <w:lang w:eastAsia="zh-CN"/>
        </w:rPr>
        <w:t>万</w:t>
      </w:r>
      <w:r>
        <w:rPr>
          <w:rFonts w:hint="eastAsia" w:ascii="方正书宋简体" w:hAnsi="方正书宋简体" w:eastAsia="方正书宋简体" w:cs="方正书宋简体"/>
          <w:sz w:val="24"/>
        </w:rPr>
        <w:t>元，比上年下降89.3%；实现利税总额25380万元，比上年下降74.8%。全年规模以上工业企业总产值774750万元，比上年下降0.5%；产销率73%，比上年下降17个百分点。全年规模以上工业企业用电量154948万千瓦小时，比上年下降21.7%。</w:t>
      </w:r>
    </w:p>
    <w:p w14:paraId="79960F48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全年建筑业增加值60684万元，比上年增长9.8%，</w:t>
      </w: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总量占地区生产总值的6.89%。建筑业拉动地区生产总值增长0.67个百分点，对地区生产总值增长的贡献率为11.41%。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年末统计库内具有资质等级建筑企业9户，实现建筑业产值52657万元，比上年增长17%。</w:t>
      </w:r>
    </w:p>
    <w:p w14:paraId="1EFE900F">
      <w:pPr>
        <w:spacing w:line="480" w:lineRule="exact"/>
        <w:ind w:firstLine="480" w:firstLineChars="200"/>
        <w:rPr>
          <w:rFonts w:hint="eastAsia" w:ascii="方正仿宋简体" w:eastAsia="方正仿宋简体"/>
          <w:bCs/>
          <w:kern w:val="0"/>
          <w:sz w:val="24"/>
        </w:rPr>
      </w:pPr>
    </w:p>
    <w:p w14:paraId="2F555F11">
      <w:pPr>
        <w:spacing w:line="480" w:lineRule="exact"/>
        <w:jc w:val="center"/>
        <w:rPr>
          <w:rFonts w:hint="eastAsia" w:ascii="黑体" w:eastAsia="黑体"/>
          <w:sz w:val="24"/>
        </w:rPr>
      </w:pPr>
      <w:r>
        <w:rPr>
          <w:rFonts w:hint="eastAsia" w:ascii="黑体" w:hAnsi="Times New Roman" w:eastAsia="黑体" w:cs="Times New Roman"/>
          <w:bCs/>
          <w:kern w:val="0"/>
          <w:sz w:val="24"/>
        </w:rPr>
        <w:t>图4  2020</w:t>
      </w:r>
      <w:r>
        <w:rPr>
          <w:rFonts w:hint="eastAsia" w:ascii="黑体" w:hAnsi="Times New Roman" w:eastAsia="黑体" w:cs="Times New Roman"/>
          <w:bCs/>
          <w:kern w:val="0"/>
          <w:sz w:val="24"/>
          <w:lang w:eastAsia="zh-CN"/>
        </w:rPr>
        <w:t>—</w:t>
      </w:r>
      <w:r>
        <w:rPr>
          <w:rFonts w:hint="eastAsia" w:ascii="黑体" w:hAnsi="Times New Roman" w:eastAsia="黑体" w:cs="Times New Roman"/>
          <w:bCs/>
          <w:kern w:val="0"/>
          <w:sz w:val="24"/>
        </w:rPr>
        <w:t>2024年全部工业增加值增长速度</w:t>
      </w:r>
    </w:p>
    <w:p w14:paraId="7BC199CA">
      <w:pPr>
        <w:jc w:val="center"/>
      </w:pPr>
      <w:r>
        <w:rPr>
          <w:rFonts w:hint="eastAsia"/>
        </w:rPr>
        <w:drawing>
          <wp:inline distT="0" distB="0" distL="114300" distR="114300">
            <wp:extent cx="3599815" cy="2520315"/>
            <wp:effectExtent l="19050" t="0" r="19685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E0E496">
      <w:pPr>
        <w:spacing w:line="480" w:lineRule="exact"/>
        <w:jc w:val="center"/>
        <w:rPr>
          <w:rFonts w:hint="eastAsia" w:ascii="黑体" w:hAnsi="Times New Roman" w:eastAsia="黑体" w:cs="Times New Roman"/>
          <w:bCs/>
          <w:spacing w:val="-2"/>
          <w:kern w:val="0"/>
          <w:sz w:val="24"/>
        </w:rPr>
      </w:pPr>
    </w:p>
    <w:p w14:paraId="349C57E0">
      <w:pPr>
        <w:spacing w:line="480" w:lineRule="exact"/>
        <w:jc w:val="center"/>
        <w:rPr>
          <w:rFonts w:ascii="黑体" w:hAnsi="Times New Roman" w:eastAsia="黑体" w:cs="Times New Roman"/>
          <w:bCs/>
          <w:spacing w:val="-2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spacing w:val="-2"/>
          <w:kern w:val="0"/>
          <w:sz w:val="24"/>
        </w:rPr>
        <w:t>表3  2024年规模以上工业企业主要产品产量</w:t>
      </w:r>
    </w:p>
    <w:p w14:paraId="2BCED8B5">
      <w:pPr>
        <w:spacing w:line="480" w:lineRule="exact"/>
        <w:jc w:val="center"/>
        <w:rPr>
          <w:rFonts w:ascii="黑体" w:hAnsi="Times New Roman" w:eastAsia="黑体" w:cs="Times New Roman"/>
          <w:bCs/>
          <w:spacing w:val="-2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spacing w:val="-2"/>
          <w:kern w:val="0"/>
          <w:sz w:val="24"/>
        </w:rPr>
        <w:t>及其增长速度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599"/>
        <w:gridCol w:w="1436"/>
        <w:gridCol w:w="301"/>
        <w:gridCol w:w="1110"/>
        <w:gridCol w:w="301"/>
      </w:tblGrid>
      <w:tr w14:paraId="57E7A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A6D3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产品名称</w:t>
            </w:r>
          </w:p>
        </w:tc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7D5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  位</w:t>
            </w: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954C74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产量</w:t>
            </w:r>
          </w:p>
        </w:tc>
        <w:tc>
          <w:tcPr>
            <w:tcW w:w="11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E2AE1A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比上年</w:t>
            </w:r>
          </w:p>
          <w:p w14:paraId="50CCB23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增长%</w:t>
            </w:r>
          </w:p>
        </w:tc>
      </w:tr>
      <w:tr w14:paraId="1A70F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</w:tcPr>
          <w:p w14:paraId="68968144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发电量</w:t>
            </w:r>
          </w:p>
          <w:p w14:paraId="3EAE32B8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</w:tcPr>
          <w:p w14:paraId="34EDE59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万千瓦时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</w:tcPr>
          <w:p w14:paraId="2847F3A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327689</w:t>
            </w: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04F5D199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</w:tcPr>
          <w:p w14:paraId="3E1F752B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3.0</w:t>
            </w: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6761360B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8DD8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</w:tcPr>
          <w:p w14:paraId="61B7DAB5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供电量</w:t>
            </w:r>
          </w:p>
        </w:tc>
        <w:tc>
          <w:tcPr>
            <w:tcW w:w="125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</w:tcPr>
          <w:p w14:paraId="6FE2E786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万千瓦时</w:t>
            </w:r>
          </w:p>
        </w:tc>
        <w:tc>
          <w:tcPr>
            <w:tcW w:w="1131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575F92E1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199749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81367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1C0BFEB4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-13.8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4E33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6E8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</w:tcPr>
          <w:p w14:paraId="329D47E4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铁合金</w:t>
            </w:r>
          </w:p>
        </w:tc>
        <w:tc>
          <w:tcPr>
            <w:tcW w:w="125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</w:tcPr>
          <w:p w14:paraId="62EAE92C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吨</w:t>
            </w:r>
          </w:p>
        </w:tc>
        <w:tc>
          <w:tcPr>
            <w:tcW w:w="1131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1973EA96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139257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076AE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6E12BD24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8.9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DF8D8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6756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</w:tcPr>
          <w:p w14:paraId="1863B42C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水泥</w:t>
            </w:r>
          </w:p>
        </w:tc>
        <w:tc>
          <w:tcPr>
            <w:tcW w:w="125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</w:tcPr>
          <w:p w14:paraId="6C6B74D7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吨</w:t>
            </w:r>
          </w:p>
        </w:tc>
        <w:tc>
          <w:tcPr>
            <w:tcW w:w="1131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0A082DC5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613755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2D7A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016FACF2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1.7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18B65E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EBA2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</w:tcPr>
          <w:p w14:paraId="432971AC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稀土金属</w:t>
            </w:r>
          </w:p>
        </w:tc>
        <w:tc>
          <w:tcPr>
            <w:tcW w:w="125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</w:tcPr>
          <w:p w14:paraId="3C630074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千克</w:t>
            </w:r>
          </w:p>
        </w:tc>
        <w:tc>
          <w:tcPr>
            <w:tcW w:w="1131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3AB4A480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7739485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0C6C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</w:tcPr>
          <w:p w14:paraId="5B3E79D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3.6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2CF2E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9837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30F43A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工业硅</w:t>
            </w:r>
          </w:p>
        </w:tc>
        <w:tc>
          <w:tcPr>
            <w:tcW w:w="12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FF7C9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吨</w:t>
            </w:r>
          </w:p>
        </w:tc>
        <w:tc>
          <w:tcPr>
            <w:tcW w:w="113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112C70D0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66249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2CF4321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7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686BAD73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-47.0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567CE76">
            <w:pPr>
              <w:widowControl/>
              <w:spacing w:line="320" w:lineRule="exact"/>
              <w:jc w:val="righ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525B963B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五、服务业</w:t>
      </w:r>
    </w:p>
    <w:p w14:paraId="7988041C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3E739D1D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全年批发和零售业增加值66322万元，比上年增长10.9%；交通运输、仓储和邮政业增加值22751万元，增长1.1%；住宿和餐饮业增加值25222万元，增长9.4%；金融业增加值23407万元，增长2.5%；房地产业增加值19577万元，增长4.2%；营利性服务业增加值64715万元，增长11.0%；非营利性服务业增加值170465万元，增长6.3%。</w:t>
      </w:r>
    </w:p>
    <w:p w14:paraId="11B3130E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全年货物运输总量55.44万吨，比上年增长17.2%。货物运输周转量4858.3万吨公里，增长29.1%。年末全县公路总里程1588.32公里。其中，等级公路1556.82公里，高速公路里程23.71公里。全年公路货物运输量45.42万吨，公路货运周转量4768.12万吨公里；公路旅客运输量110.72万人，公路客运周转量7313.28万人公里。</w:t>
      </w:r>
    </w:p>
    <w:p w14:paraId="20CA432A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全年旅客运输总量110.72万人次，比上年增长180.4%。旅客运输周转量7313.28万人公里，增长274.7%。</w:t>
      </w:r>
    </w:p>
    <w:p w14:paraId="4F282701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年末全</w:t>
      </w:r>
      <w:r>
        <w:rPr>
          <w:rFonts w:hint="eastAsia" w:ascii="方正书宋简体" w:hAnsi="方正书宋简体" w:eastAsia="方正书宋简体" w:cs="方正书宋简体"/>
          <w:color w:val="000000"/>
          <w:sz w:val="24"/>
          <w:lang w:eastAsia="zh-CN"/>
        </w:rPr>
        <w:t>县</w:t>
      </w: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民用汽车拥有量14891辆，比上年减少909辆；新能源汽车保有量859辆，增加523辆。</w:t>
      </w:r>
    </w:p>
    <w:p w14:paraId="2D0A17A4">
      <w:pPr>
        <w:autoSpaceDE w:val="0"/>
        <w:autoSpaceDN w:val="0"/>
        <w:spacing w:line="480" w:lineRule="exact"/>
        <w:jc w:val="center"/>
        <w:rPr>
          <w:rFonts w:hint="eastAsia" w:ascii="方正仿宋简体" w:eastAsia="方正仿宋简体"/>
          <w:color w:val="000000"/>
          <w:sz w:val="24"/>
        </w:rPr>
      </w:pPr>
    </w:p>
    <w:p w14:paraId="6A8DA096">
      <w:pPr>
        <w:autoSpaceDE w:val="0"/>
        <w:autoSpaceDN w:val="0"/>
        <w:spacing w:line="480" w:lineRule="exact"/>
        <w:jc w:val="center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表4  2024年全社会营业性水陆货物运输量及增长速度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1"/>
        <w:gridCol w:w="1326"/>
        <w:gridCol w:w="1145"/>
        <w:gridCol w:w="1678"/>
      </w:tblGrid>
      <w:tr w14:paraId="3D5A8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15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A736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     标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0D1A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  位</w:t>
            </w:r>
          </w:p>
        </w:tc>
        <w:tc>
          <w:tcPr>
            <w:tcW w:w="93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672B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绝对数</w:t>
            </w:r>
          </w:p>
        </w:tc>
        <w:tc>
          <w:tcPr>
            <w:tcW w:w="136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56A761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比上年增长%</w:t>
            </w:r>
          </w:p>
        </w:tc>
      </w:tr>
      <w:tr w14:paraId="17864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  <w:jc w:val="center"/>
        </w:trPr>
        <w:tc>
          <w:tcPr>
            <w:tcW w:w="1615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 w14:paraId="66BF567E">
            <w:pPr>
              <w:spacing w:line="440" w:lineRule="exact"/>
              <w:ind w:firstLine="240" w:firstLineChars="100"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货物运输总量</w:t>
            </w:r>
          </w:p>
          <w:p w14:paraId="24B8FA67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公路</w:t>
            </w:r>
          </w:p>
          <w:p w14:paraId="0718D06A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水路</w:t>
            </w:r>
          </w:p>
          <w:p w14:paraId="1BF37C42">
            <w:pPr>
              <w:spacing w:line="440" w:lineRule="exact"/>
              <w:ind w:firstLine="240" w:firstLineChars="100"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货物运输周转量</w:t>
            </w:r>
          </w:p>
          <w:p w14:paraId="28B01B8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公路</w:t>
            </w:r>
          </w:p>
          <w:p w14:paraId="611C2A05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水路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</w:tcPr>
          <w:p w14:paraId="3A11397F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    吨</w:t>
            </w:r>
          </w:p>
          <w:p w14:paraId="0C4BF81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    吨</w:t>
            </w:r>
          </w:p>
          <w:p w14:paraId="4C0360CE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    吨</w:t>
            </w:r>
          </w:p>
          <w:p w14:paraId="51E30C01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万吨公里</w:t>
            </w:r>
          </w:p>
          <w:p w14:paraId="629B96D7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万吨公里</w:t>
            </w:r>
          </w:p>
          <w:p w14:paraId="7EBC413F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万吨公里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</w:tcPr>
          <w:p w14:paraId="17A2741F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55.4</w:t>
            </w:r>
          </w:p>
          <w:p w14:paraId="7D8E33A5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45.4</w:t>
            </w:r>
          </w:p>
          <w:p w14:paraId="27AF89DD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10.0</w:t>
            </w:r>
          </w:p>
          <w:p w14:paraId="1603E3D2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4858.3</w:t>
            </w:r>
          </w:p>
          <w:p w14:paraId="5ABC63F1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4768.1</w:t>
            </w:r>
          </w:p>
          <w:p w14:paraId="6D5CB102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90.2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/>
          </w:tcPr>
          <w:p w14:paraId="4196C819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i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17.2</w:t>
            </w:r>
          </w:p>
          <w:p w14:paraId="57CB5DB8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i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19.5</w:t>
            </w:r>
          </w:p>
          <w:p w14:paraId="3DDDA663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i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7.9</w:t>
            </w:r>
          </w:p>
          <w:p w14:paraId="48EFA008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i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29.1</w:t>
            </w:r>
          </w:p>
          <w:p w14:paraId="2570AB9A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i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29.6</w:t>
            </w:r>
          </w:p>
          <w:p w14:paraId="484E4545">
            <w:pPr>
              <w:spacing w:line="440" w:lineRule="exact"/>
              <w:ind w:right="105" w:rightChars="5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iCs/>
                <w:color w:val="000000"/>
                <w:sz w:val="24"/>
              </w:rPr>
              <w:t>7.9</w:t>
            </w:r>
          </w:p>
        </w:tc>
      </w:tr>
    </w:tbl>
    <w:p w14:paraId="1D1909DE">
      <w:pPr>
        <w:autoSpaceDE w:val="0"/>
        <w:autoSpaceDN w:val="0"/>
        <w:spacing w:line="480" w:lineRule="exact"/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color w:val="000000"/>
          <w:sz w:val="24"/>
        </w:rPr>
        <w:t>图5  2020</w:t>
      </w:r>
      <w:r>
        <w:rPr>
          <w:rFonts w:hint="eastAsia" w:ascii="黑体" w:eastAsia="黑体"/>
          <w:color w:val="000000"/>
          <w:sz w:val="24"/>
          <w:lang w:eastAsia="zh-CN"/>
        </w:rPr>
        <w:t>—</w:t>
      </w:r>
      <w:r>
        <w:rPr>
          <w:rFonts w:hint="eastAsia" w:ascii="黑体" w:eastAsia="黑体"/>
          <w:color w:val="000000"/>
          <w:sz w:val="24"/>
        </w:rPr>
        <w:t>2024年年末电话用户数</w:t>
      </w:r>
    </w:p>
    <w:p w14:paraId="3FE1B0DC">
      <w:pPr>
        <w:jc w:val="center"/>
        <w:rPr>
          <w:rFonts w:ascii="仿宋_GB2312" w:eastAsia="仿宋_GB2312"/>
          <w:color w:val="000000"/>
          <w:sz w:val="24"/>
        </w:rPr>
      </w:pPr>
      <w:r>
        <w:rPr>
          <w:rFonts w:hint="eastAsia"/>
        </w:rPr>
        <w:drawing>
          <wp:inline distT="0" distB="0" distL="114300" distR="114300">
            <wp:extent cx="3602990" cy="2359025"/>
            <wp:effectExtent l="19050" t="0" r="16091" b="3008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AEF548">
      <w:pPr>
        <w:spacing w:line="480" w:lineRule="exact"/>
        <w:ind w:firstLine="472" w:firstLineChars="200"/>
        <w:rPr>
          <w:rFonts w:hint="eastAsia" w:ascii="方正书宋简体" w:hAnsi="方正书宋简体" w:eastAsia="方正书宋简体" w:cs="方正书宋简体"/>
          <w:color w:val="000000"/>
          <w:spacing w:val="-2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pacing w:val="-2"/>
          <w:sz w:val="24"/>
        </w:rPr>
        <w:t>年末全县共有21个邮政局（所），全县有邮路4条，邮路总长689公里，其中乐山至峨边400公里，县下289公里。</w:t>
      </w:r>
    </w:p>
    <w:p w14:paraId="1A9FB8DE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全年邮电业务总量13096万元，比上年增长1.7%。其中：邮政业务总量2357.71万元，增长2.1%。电信业务总量（2020年可比价格）10738万元，增长1.6%。互联网有线宽带用户43105户。</w:t>
      </w:r>
    </w:p>
    <w:p w14:paraId="28D483C8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bCs/>
          <w:color w:val="000000"/>
          <w:kern w:val="0"/>
          <w:sz w:val="24"/>
        </w:rPr>
      </w:pPr>
    </w:p>
    <w:p w14:paraId="1CF580CE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六、固定资产投资</w:t>
      </w:r>
    </w:p>
    <w:p w14:paraId="4545F268">
      <w:pPr>
        <w:spacing w:line="480" w:lineRule="exact"/>
        <w:jc w:val="center"/>
        <w:rPr>
          <w:rFonts w:hint="eastAsia" w:ascii="黑体" w:eastAsia="黑体"/>
          <w:color w:val="000000"/>
          <w:kern w:val="0"/>
          <w:sz w:val="24"/>
        </w:rPr>
      </w:pPr>
    </w:p>
    <w:p w14:paraId="5A37923D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color w:val="000000"/>
          <w:sz w:val="24"/>
        </w:rPr>
      </w:pPr>
      <w:r>
        <w:rPr>
          <w:rFonts w:hint="eastAsia" w:ascii="方正书宋简体" w:hAnsi="方正书宋简体" w:eastAsia="方正书宋简体" w:cs="方正书宋简体"/>
          <w:color w:val="000000"/>
          <w:kern w:val="0"/>
          <w:sz w:val="24"/>
        </w:rPr>
        <w:t>全年固定资产投资比上年增长9.2%。其中，民间投资增长79.9%，总量占固定资产投资的17.3%。</w:t>
      </w: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2020年</w:t>
      </w:r>
      <w:r>
        <w:rPr>
          <w:rFonts w:hint="eastAsia" w:ascii="方正书宋简体" w:hAnsi="方正书宋简体" w:eastAsia="方正书宋简体" w:cs="方正书宋简体"/>
          <w:color w:val="000000"/>
          <w:sz w:val="24"/>
          <w:lang w:eastAsia="zh-CN"/>
        </w:rPr>
        <w:t>—</w:t>
      </w:r>
      <w:r>
        <w:rPr>
          <w:rFonts w:hint="eastAsia" w:ascii="方正书宋简体" w:hAnsi="方正书宋简体" w:eastAsia="方正书宋简体" w:cs="方正书宋简体"/>
          <w:color w:val="000000"/>
          <w:sz w:val="24"/>
        </w:rPr>
        <w:t>2024年期间，全社会固定资产投资年均增长13.6%。</w:t>
      </w:r>
    </w:p>
    <w:p w14:paraId="235559D8">
      <w:pPr>
        <w:spacing w:line="480" w:lineRule="exact"/>
        <w:jc w:val="center"/>
        <w:rPr>
          <w:rFonts w:hint="eastAsia" w:ascii="黑体" w:eastAsia="黑体"/>
          <w:sz w:val="24"/>
        </w:rPr>
      </w:pPr>
      <w:r>
        <w:rPr>
          <w:rFonts w:hint="eastAsia" w:ascii="黑体" w:eastAsia="黑体"/>
          <w:color w:val="000000"/>
          <w:sz w:val="24"/>
        </w:rPr>
        <w:t>图6  2020</w:t>
      </w:r>
      <w:r>
        <w:rPr>
          <w:rFonts w:hint="eastAsia" w:ascii="黑体" w:eastAsia="黑体"/>
          <w:color w:val="000000"/>
          <w:sz w:val="24"/>
          <w:lang w:eastAsia="zh-CN"/>
        </w:rPr>
        <w:t>—</w:t>
      </w:r>
      <w:r>
        <w:rPr>
          <w:rFonts w:hint="eastAsia" w:ascii="黑体" w:eastAsia="黑体"/>
          <w:color w:val="000000"/>
          <w:sz w:val="24"/>
        </w:rPr>
        <w:t>2024年固定资产投资增长速度</w:t>
      </w:r>
    </w:p>
    <w:p w14:paraId="4EC5CD2E">
      <w:pPr>
        <w:jc w:val="center"/>
      </w:pPr>
      <w:r>
        <w:rPr>
          <w:rFonts w:hint="eastAsia"/>
        </w:rPr>
        <w:drawing>
          <wp:inline distT="0" distB="0" distL="114300" distR="114300">
            <wp:extent cx="3602990" cy="2423795"/>
            <wp:effectExtent l="19050" t="0" r="15983" b="0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D875D23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全年房地产开发投资11382万元，比上年增长1.1%。商品房施工面积11.46万平方米，其中住宅面积8.17万平方米。房地产销售面积1.2万平方米，比上年增长78.5%。</w:t>
      </w:r>
    </w:p>
    <w:p w14:paraId="34DE6D9A">
      <w:pPr>
        <w:spacing w:line="480" w:lineRule="exact"/>
        <w:ind w:firstLine="480" w:firstLineChars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327FAC9E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七、国内贸易</w:t>
      </w:r>
    </w:p>
    <w:p w14:paraId="7DA1FB40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30E5F168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全年社会消费品零售总额318456万元，比上年增长5.7%。2020年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—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2024年期间，社会消费品零售总额年均增长6.7%。</w:t>
      </w:r>
    </w:p>
    <w:p w14:paraId="45AEBBDE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按经营地统计，城镇消费品零售额195440万元，增长5.9%；乡村消费品零售额123016万元，增长5.5%。按消费类型统计，商品零售额265571元，增长6.4%；餐饮收入额52885元，增长2.9%。</w:t>
      </w:r>
    </w:p>
    <w:p w14:paraId="614BB76A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年末纳入月报统计的限额以上企业单位15户和个体户24户，全年限上消费品零售额44104万元，比上年增长11.8%。限额以上批发和零售业商品零售额34578万元，比上年增长18.2%。</w:t>
      </w:r>
    </w:p>
    <w:p w14:paraId="6E418E91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全年进出口总额2.19亿元，比上年下降27.7%。其中，进口2.19亿元，下降27.7%。</w:t>
      </w:r>
    </w:p>
    <w:p w14:paraId="72AB4F93">
      <w:pPr>
        <w:autoSpaceDE w:val="0"/>
        <w:autoSpaceDN w:val="0"/>
        <w:spacing w:line="480" w:lineRule="exact"/>
        <w:jc w:val="center"/>
        <w:rPr>
          <w:rFonts w:hint="eastAsia" w:ascii="黑体" w:eastAsia="黑体"/>
          <w:sz w:val="24"/>
        </w:rPr>
      </w:pPr>
      <w:r>
        <w:rPr>
          <w:rFonts w:hint="eastAsia" w:ascii="黑体" w:eastAsia="黑体"/>
          <w:color w:val="000000"/>
          <w:sz w:val="24"/>
        </w:rPr>
        <w:t>图7  2020</w:t>
      </w:r>
      <w:r>
        <w:rPr>
          <w:rFonts w:hint="eastAsia" w:ascii="黑体" w:eastAsia="黑体"/>
          <w:color w:val="000000"/>
          <w:sz w:val="24"/>
          <w:lang w:eastAsia="zh-CN"/>
        </w:rPr>
        <w:t>—</w:t>
      </w:r>
      <w:r>
        <w:rPr>
          <w:rFonts w:hint="eastAsia" w:ascii="黑体" w:eastAsia="黑体"/>
          <w:color w:val="000000"/>
          <w:sz w:val="24"/>
        </w:rPr>
        <w:t>2024年社会消费品零售总额</w:t>
      </w:r>
    </w:p>
    <w:p w14:paraId="697AE4DA">
      <w:pPr>
        <w:jc w:val="center"/>
      </w:pPr>
      <w:r>
        <w:rPr>
          <w:rFonts w:hint="eastAsia"/>
        </w:rPr>
        <w:drawing>
          <wp:inline distT="0" distB="0" distL="114300" distR="114300">
            <wp:extent cx="3599815" cy="2520315"/>
            <wp:effectExtent l="4445" t="4445" r="15240" b="889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025876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59CCE5C1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八、财政、金融和保险</w:t>
      </w:r>
    </w:p>
    <w:p w14:paraId="197648DF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6D3DE9A2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一般公共预算总收入98311万元，比上年下降16.6%，占地区生产总值的11.2%。其中，地方一般公共预算收入71834万元，增长35.8%，占地区生产总值的8.2%，在地方一般公共预算收入中税收收入28218万元，下降6.6%；一般公共预算支出232283万元，增长14.6%。20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val="en-US" w:eastAsia="zh-CN"/>
        </w:rPr>
        <w:t>20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年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—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202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val="en-US" w:eastAsia="zh-CN"/>
        </w:rPr>
        <w:t>4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年期间，地方一般公共预算收入年均增长16.3%。</w:t>
      </w:r>
    </w:p>
    <w:p w14:paraId="5152A8C5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年末全县金融机构本外币各项存款余额为1101323万元，比年初增加110539万元，增长11.2%；各项贷款余额为1065367万元，比年初增加133074万元，增长14.3%。</w:t>
      </w:r>
    </w:p>
    <w:p w14:paraId="79CD391C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5D4E95A0">
      <w:pPr>
        <w:autoSpaceDE w:val="0"/>
        <w:autoSpaceDN w:val="0"/>
        <w:spacing w:line="480" w:lineRule="exact"/>
        <w:jc w:val="center"/>
        <w:rPr>
          <w:rFonts w:hint="eastAsia" w:ascii="黑体" w:eastAsia="黑体"/>
          <w:bCs/>
          <w:color w:val="000000"/>
          <w:kern w:val="0"/>
          <w:sz w:val="24"/>
        </w:rPr>
      </w:pPr>
      <w:r>
        <w:rPr>
          <w:rFonts w:hint="eastAsia" w:ascii="黑体" w:eastAsia="黑体"/>
          <w:bCs/>
          <w:color w:val="000000"/>
          <w:kern w:val="0"/>
          <w:sz w:val="24"/>
        </w:rPr>
        <w:t>表5  2024年全县金融机构存贷款及其增长速度</w:t>
      </w:r>
    </w:p>
    <w:p w14:paraId="4C6C0700">
      <w:pPr>
        <w:spacing w:line="480" w:lineRule="exact"/>
        <w:ind w:firstLine="198"/>
        <w:rPr>
          <w:rFonts w:hint="eastAsia" w:ascii="方正仿宋简体" w:eastAsia="方正仿宋简体"/>
          <w:bCs/>
          <w:color w:val="000000"/>
          <w:kern w:val="0"/>
          <w:sz w:val="24"/>
        </w:rPr>
      </w:pPr>
      <w:r>
        <w:rPr>
          <w:rFonts w:hint="eastAsia" w:ascii="方正仿宋简体" w:eastAsia="方正仿宋简体"/>
          <w:color w:val="000000"/>
          <w:sz w:val="24"/>
        </w:rPr>
        <w:t xml:space="preserve">                                     单位：万元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93"/>
        <w:gridCol w:w="1331"/>
        <w:gridCol w:w="227"/>
        <w:gridCol w:w="1462"/>
        <w:gridCol w:w="318"/>
      </w:tblGrid>
      <w:tr w14:paraId="27F319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22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F1FCE">
            <w:pPr>
              <w:spacing w:line="320" w:lineRule="exact"/>
              <w:ind w:left="57" w:right="57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指        标</w:t>
            </w:r>
          </w:p>
        </w:tc>
        <w:tc>
          <w:tcPr>
            <w:tcW w:w="12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DADF5">
            <w:pPr>
              <w:spacing w:line="320" w:lineRule="exact"/>
              <w:ind w:left="57" w:right="57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年末数</w:t>
            </w:r>
          </w:p>
        </w:tc>
        <w:tc>
          <w:tcPr>
            <w:tcW w:w="14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D83AC0F">
            <w:pPr>
              <w:spacing w:line="320" w:lineRule="exact"/>
              <w:ind w:left="57" w:right="57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比年初增长%</w:t>
            </w:r>
          </w:p>
        </w:tc>
      </w:tr>
      <w:tr w14:paraId="0634E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4049102">
            <w:pPr>
              <w:tabs>
                <w:tab w:val="left" w:pos="2972"/>
              </w:tabs>
              <w:spacing w:line="360" w:lineRule="exact"/>
              <w:ind w:left="57" w:right="57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bookmarkStart w:id="4" w:name="_Hlk507408434"/>
            <w:bookmarkStart w:id="5" w:name="OLE_LINK2" w:colFirst="0" w:colLast="1"/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各项存款余额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ab/>
            </w: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6A6A3851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1101323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9686426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73986466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11.2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00D26A2">
            <w:pPr>
              <w:spacing w:line="320" w:lineRule="exact"/>
              <w:ind w:left="57" w:right="57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7413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A72D0">
            <w:pPr>
              <w:spacing w:line="360" w:lineRule="exact"/>
              <w:ind w:right="57" w:rightChars="0" w:firstLine="240" w:firstLineChars="100"/>
              <w:jc w:val="left"/>
              <w:rPr>
                <w:rFonts w:hint="eastAsia" w:ascii="仿宋_GB2312" w:eastAsia="仿宋_GB2312" w:hAnsiTheme="minorHAnsi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6" w:name="OLE_LINK5" w:colFirst="0" w:colLast="3"/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其中：住户存款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BC85">
            <w:pPr>
              <w:spacing w:line="360" w:lineRule="exact"/>
              <w:jc w:val="right"/>
              <w:rPr>
                <w:rFonts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840249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C3542">
            <w:pPr>
              <w:spacing w:line="360" w:lineRule="exact"/>
              <w:jc w:val="right"/>
              <w:rPr>
                <w:rFonts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3B609">
            <w:pPr>
              <w:spacing w:line="360" w:lineRule="exact"/>
              <w:jc w:val="right"/>
              <w:rPr>
                <w:rFonts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A7C8">
            <w:pPr>
              <w:spacing w:line="320" w:lineRule="exact"/>
              <w:ind w:left="57" w:leftChars="0" w:right="57" w:rightChars="0"/>
              <w:jc w:val="right"/>
              <w:rPr>
                <w:rFonts w:ascii="仿宋_GB2312" w:eastAsia="仿宋_GB2312" w:hAnsiTheme="minorHAnsi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10C22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D67C8">
            <w:pPr>
              <w:spacing w:line="360" w:lineRule="exact"/>
              <w:ind w:right="57" w:rightChars="0" w:firstLine="960" w:firstLineChars="400"/>
              <w:jc w:val="left"/>
              <w:rPr>
                <w:rFonts w:hint="eastAsia" w:ascii="仿宋_GB2312" w:eastAsia="仿宋_GB2312" w:hAnsiTheme="minorHAnsi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非金融企业存款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C97D">
            <w:pPr>
              <w:spacing w:line="360" w:lineRule="exact"/>
              <w:jc w:val="right"/>
              <w:rPr>
                <w:rFonts w:hint="eastAsia"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133998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5EC8C">
            <w:pPr>
              <w:spacing w:line="360" w:lineRule="exact"/>
              <w:jc w:val="right"/>
              <w:rPr>
                <w:rFonts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8598">
            <w:pPr>
              <w:spacing w:line="360" w:lineRule="exact"/>
              <w:jc w:val="right"/>
              <w:rPr>
                <w:rFonts w:hint="eastAsia" w:ascii="仿宋_GB2312" w:eastAsia="仿宋_GB2312" w:hAnsiTheme="minorHAnsi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60.1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16A30">
            <w:pPr>
              <w:spacing w:line="320" w:lineRule="exact"/>
              <w:ind w:left="57" w:right="57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95704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250E706">
            <w:pPr>
              <w:spacing w:line="360" w:lineRule="exact"/>
              <w:ind w:right="57" w:firstLine="960" w:firstLineChars="400"/>
              <w:jc w:val="left"/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广义政府存款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F4FD15D">
            <w:pPr>
              <w:spacing w:line="360" w:lineRule="exact"/>
              <w:jc w:val="right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127077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ABE1B87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3B1E5503">
            <w:pPr>
              <w:spacing w:line="360" w:lineRule="exact"/>
              <w:jc w:val="right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-12.8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99076">
            <w:pPr>
              <w:spacing w:line="320" w:lineRule="exact"/>
              <w:ind w:left="57" w:right="57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bookmarkEnd w:id="6"/>
      <w:tr w14:paraId="5272AD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7C715F7">
            <w:pPr>
              <w:spacing w:line="360" w:lineRule="exact"/>
              <w:ind w:left="57" w:right="57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各项贷款余额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4A2D3DF1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1065367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6C870EC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4A760FBF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14.3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4E977">
            <w:pPr>
              <w:spacing w:line="320" w:lineRule="exact"/>
              <w:ind w:right="537"/>
              <w:rPr>
                <w:rFonts w:ascii="仿宋_GB2312" w:eastAsia="仿宋_GB2312"/>
                <w:color w:val="000000"/>
                <w:kern w:val="0"/>
                <w:sz w:val="24"/>
                <w:highlight w:val="yellow"/>
              </w:rPr>
            </w:pPr>
          </w:p>
        </w:tc>
      </w:tr>
      <w:tr w14:paraId="73100D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386E1A8">
            <w:pPr>
              <w:spacing w:line="360" w:lineRule="exact"/>
              <w:ind w:right="57"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其中：短期贷款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3B0F5DC8">
            <w:pPr>
              <w:spacing w:line="360" w:lineRule="exact"/>
              <w:ind w:firstLine="240" w:firstLineChars="10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171709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0E8A8D9">
            <w:pPr>
              <w:spacing w:line="360" w:lineRule="exact"/>
              <w:ind w:right="64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74654D4D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-7.9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73032">
            <w:pPr>
              <w:spacing w:line="320" w:lineRule="exact"/>
              <w:ind w:left="57" w:right="57"/>
              <w:jc w:val="right"/>
              <w:rPr>
                <w:rFonts w:ascii="仿宋_GB2312" w:eastAsia="仿宋_GB2312"/>
                <w:color w:val="000000"/>
                <w:kern w:val="0"/>
                <w:sz w:val="24"/>
                <w:highlight w:val="yellow"/>
              </w:rPr>
            </w:pPr>
          </w:p>
        </w:tc>
      </w:tr>
      <w:tr w14:paraId="7B0AA3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EB97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中长期贷款</w:t>
            </w:r>
          </w:p>
        </w:tc>
        <w:tc>
          <w:tcPr>
            <w:tcW w:w="108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9BF53FB">
            <w:pPr>
              <w:spacing w:line="360" w:lineRule="exact"/>
              <w:ind w:firstLine="240" w:firstLineChars="10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850858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B376F">
            <w:pPr>
              <w:spacing w:line="360" w:lineRule="exact"/>
              <w:ind w:firstLine="360" w:firstLineChars="15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2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0C72EFB2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17.4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267ED1">
            <w:pPr>
              <w:spacing w:line="320" w:lineRule="exact"/>
              <w:ind w:left="57" w:right="57"/>
              <w:jc w:val="right"/>
              <w:rPr>
                <w:rFonts w:ascii="仿宋_GB2312" w:eastAsia="仿宋_GB2312"/>
                <w:color w:val="000000"/>
                <w:kern w:val="0"/>
                <w:sz w:val="24"/>
                <w:highlight w:val="yellow"/>
              </w:rPr>
            </w:pPr>
          </w:p>
        </w:tc>
      </w:tr>
      <w:bookmarkEnd w:id="4"/>
      <w:bookmarkEnd w:id="5"/>
    </w:tbl>
    <w:p w14:paraId="73AC8CF5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全年实现保费收入11748万元，比上年增长7.9%，其中，财产保险保费收入5398万元，增长16.1%；人寿保险保费收入6386万元，增长1.7%。全年支付各类赔款及给付3868万元，增长3.8%。</w:t>
      </w:r>
    </w:p>
    <w:p w14:paraId="1ED2A8CE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28548B79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九、教育、科学技术、文化旅游和卫生健康</w:t>
      </w:r>
    </w:p>
    <w:p w14:paraId="36A2FF4E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43C1E664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年末全县普通小学17所，招收新生 1589人，在校学生11022人，毕业生2011人；初中10所，招收新生1650人，在校学生4786人，毕业生1679人；高中1所，招收新生331人，在校学生1030人，毕业生350人；幼儿园79所，在园幼儿4252人。中等职业技术学校1所，在校学生1055人。九年义务教育完成率100%。</w:t>
      </w:r>
    </w:p>
    <w:p w14:paraId="5902785E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全年有效发明专利拥有量43件；专利授权59件，其中：发明专利6件；实用新型专利50件。</w:t>
      </w:r>
    </w:p>
    <w:p w14:paraId="1A72F39C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全县有文化馆（活动中心）1个，档案馆1个，公共图书馆1个、藏书4.7万册。</w:t>
      </w:r>
    </w:p>
    <w:p w14:paraId="7E76781A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全年累计接待游客496.36万人次，同比增长55.72%，其中黑竹沟景区累计接待游客64.11万人次，实现门票收入7874.31万元，同比增长51.57%。全县旅游综合收入398508.2万元，同比增长116.82%。</w:t>
      </w:r>
    </w:p>
    <w:p w14:paraId="051E784C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拥有卫生机构124个，其中：医院3个，乡镇卫生院14个，疾病预防控制中心1个，妇幼保健院1个，村卫生室91个，个人诊所14个。卫生机构人员807人，其中，卫生技术人员502人，执业（助理）医师244人，注册护士（师）585人。年末卫生机构床位644张，其中，医院421张，卫生院223张。全年5岁以下儿童死亡率5.9‰，婴儿死亡率5.25‰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产妇住院分娩率99.34%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总和生育率8%。</w:t>
      </w:r>
    </w:p>
    <w:p w14:paraId="0A013721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</w:p>
    <w:p w14:paraId="14D6A7E8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十、环境和安全生产</w:t>
      </w:r>
    </w:p>
    <w:p w14:paraId="38CA2E1B">
      <w:pPr>
        <w:spacing w:line="480" w:lineRule="exact"/>
        <w:ind w:firstLine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3D312474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全县城区拥有污水处理厂1个，污水处理厂日处理能力达0.8万立方米，污水处理率达到95%；农村拥有污水处理厂20个，污水处理厂日处理能力达0.61万立方米。</w:t>
      </w:r>
    </w:p>
    <w:p w14:paraId="5A67E4FB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全年发生各类生产安全事故死亡人数1人，其中建筑施工领域事故死亡1人。</w:t>
      </w:r>
    </w:p>
    <w:p w14:paraId="2B5A45BF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全年道路交通事故发生17件，交通事故死亡人数3人，交通事故损失额为46万元；按简易程序处理交通事故数932件。</w:t>
      </w:r>
    </w:p>
    <w:p w14:paraId="64262EFC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全年火灾事故发生42起，经济损失56.3万元，无人员伤亡。</w:t>
      </w:r>
    </w:p>
    <w:p w14:paraId="3F242941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</w:p>
    <w:p w14:paraId="6F2DA404">
      <w:pPr>
        <w:spacing w:line="480" w:lineRule="exact"/>
        <w:ind w:firstLine="480" w:firstLineChars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64D63A24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十一、人   口</w:t>
      </w:r>
    </w:p>
    <w:p w14:paraId="2C17A542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</w:p>
    <w:p w14:paraId="47D4E7D0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年末全县总户数 47051 户，户籍人口148269人，比上年末减少262人。出生人数1938人，死亡人数1026人，人口出生率13.1‰，死亡率为 6.9‰，自然增长率为 6.2‰。</w:t>
      </w:r>
    </w:p>
    <w:p w14:paraId="70458F6F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在总人口中，非农业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城镇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人口 24715 人，农业（乡村）人口 123554人；男性人口 77011人，女性人口 71258人，人口性别比为 108.1。</w:t>
      </w:r>
    </w:p>
    <w:p w14:paraId="2A8E28B7">
      <w:pPr>
        <w:spacing w:line="480" w:lineRule="exact"/>
        <w:ind w:firstLine="480" w:firstLineChars="200"/>
        <w:rPr>
          <w:rFonts w:hint="eastAsia" w:ascii="方正仿宋简体" w:eastAsia="方正仿宋简体"/>
          <w:bCs/>
          <w:color w:val="000000"/>
          <w:kern w:val="0"/>
          <w:sz w:val="24"/>
        </w:rPr>
      </w:pPr>
    </w:p>
    <w:p w14:paraId="41DCBEBE">
      <w:pPr>
        <w:autoSpaceDE w:val="0"/>
        <w:autoSpaceDN w:val="0"/>
        <w:spacing w:line="480" w:lineRule="exact"/>
        <w:jc w:val="center"/>
        <w:rPr>
          <w:rFonts w:hint="eastAsia" w:ascii="黑体" w:eastAsia="黑体"/>
          <w:bCs/>
          <w:color w:val="000000"/>
          <w:kern w:val="0"/>
          <w:sz w:val="24"/>
        </w:rPr>
      </w:pPr>
      <w:r>
        <w:rPr>
          <w:rFonts w:hint="eastAsia" w:ascii="黑体" w:eastAsia="黑体"/>
          <w:bCs/>
          <w:color w:val="000000"/>
          <w:kern w:val="0"/>
          <w:sz w:val="24"/>
        </w:rPr>
        <w:t>表6  2024年户籍总人口数及其构成</w:t>
      </w:r>
    </w:p>
    <w:p w14:paraId="455B18B5">
      <w:pPr>
        <w:autoSpaceDE w:val="0"/>
        <w:autoSpaceDN w:val="0"/>
        <w:spacing w:line="480" w:lineRule="exact"/>
        <w:rPr>
          <w:rFonts w:hint="eastAsia" w:ascii="方正仿宋简体" w:eastAsia="方正仿宋简体"/>
          <w:color w:val="000000"/>
          <w:sz w:val="24"/>
        </w:rPr>
      </w:pPr>
      <w:r>
        <w:rPr>
          <w:rFonts w:hint="eastAsia" w:ascii="方正仿宋简体" w:eastAsia="方正仿宋简体"/>
          <w:color w:val="000000"/>
          <w:sz w:val="24"/>
        </w:rPr>
        <w:t xml:space="preserve">                                         单位：人</w:t>
      </w:r>
    </w:p>
    <w:tbl>
      <w:tblPr>
        <w:tblStyle w:val="6"/>
        <w:tblW w:w="5990" w:type="dxa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610"/>
        <w:gridCol w:w="1837"/>
        <w:gridCol w:w="274"/>
      </w:tblGrid>
      <w:tr w14:paraId="702BCEF5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94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5CEA130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指   标</w:t>
            </w: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011AAA7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年末数</w:t>
            </w:r>
          </w:p>
        </w:tc>
        <w:tc>
          <w:tcPr>
            <w:tcW w:w="176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36788604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比重（%）</w:t>
            </w:r>
          </w:p>
        </w:tc>
      </w:tr>
      <w:tr w14:paraId="069F569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7CDDFA1">
            <w:pPr>
              <w:spacing w:line="360" w:lineRule="exact"/>
              <w:ind w:right="57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全县总人口</w:t>
            </w: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0A124EB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148269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634A643B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2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608C589E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CB7F55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3483DEE">
            <w:pPr>
              <w:spacing w:line="360" w:lineRule="exact"/>
              <w:ind w:right="57"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其中：男性</w:t>
            </w:r>
          </w:p>
        </w:tc>
        <w:tc>
          <w:tcPr>
            <w:tcW w:w="134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2728C22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77011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3A65B2E4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51.9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22637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97DF6F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6403B8C">
            <w:pPr>
              <w:spacing w:line="360" w:lineRule="exact"/>
              <w:ind w:right="57" w:firstLine="960" w:firstLineChars="4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女性</w:t>
            </w:r>
          </w:p>
        </w:tc>
        <w:tc>
          <w:tcPr>
            <w:tcW w:w="134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E8AAA26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71258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6712F9CC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48.1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EC48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764A28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78FC373">
            <w:pPr>
              <w:spacing w:line="360" w:lineRule="exact"/>
              <w:ind w:right="57" w:firstLine="240" w:firstLineChars="1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其中：0-17岁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39C3F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33921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476FF435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22.9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689F5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DCF983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58C8865">
            <w:pPr>
              <w:spacing w:line="360" w:lineRule="exact"/>
              <w:ind w:right="57" w:firstLine="960" w:firstLineChars="4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18-34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岁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830B6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35758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57381A00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24.1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6555E4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98C960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D3F81E8">
            <w:pPr>
              <w:spacing w:line="360" w:lineRule="exact"/>
              <w:ind w:right="57" w:firstLine="960" w:firstLineChars="4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35-59岁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B374D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52111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0314F28D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35.1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37A90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AD9DC3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0357F">
            <w:pPr>
              <w:spacing w:line="360" w:lineRule="exact"/>
              <w:ind w:right="57" w:firstLine="720" w:firstLineChars="3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60岁及以上</w:t>
            </w:r>
          </w:p>
        </w:tc>
        <w:tc>
          <w:tcPr>
            <w:tcW w:w="13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03045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26479</w:t>
            </w:r>
          </w:p>
        </w:tc>
        <w:tc>
          <w:tcPr>
            <w:tcW w:w="153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924E8C3">
            <w:pPr>
              <w:spacing w:line="360" w:lineRule="exact"/>
              <w:ind w:left="57" w:right="57" w:firstLine="420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17.9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0153178">
            <w:pPr>
              <w:spacing w:line="360" w:lineRule="exact"/>
              <w:ind w:left="57" w:right="57" w:firstLine="42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14:paraId="0ECDF932">
      <w:pPr>
        <w:autoSpaceDE w:val="0"/>
        <w:autoSpaceDN w:val="0"/>
        <w:spacing w:line="460" w:lineRule="exact"/>
        <w:jc w:val="center"/>
        <w:rPr>
          <w:rFonts w:hint="eastAsia" w:ascii="黑体" w:eastAsia="黑体"/>
          <w:color w:val="000000"/>
          <w:sz w:val="24"/>
        </w:rPr>
      </w:pPr>
    </w:p>
    <w:p w14:paraId="7699CDC5">
      <w:pPr>
        <w:autoSpaceDE w:val="0"/>
        <w:autoSpaceDN w:val="0"/>
        <w:spacing w:line="480" w:lineRule="exact"/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color w:val="000000"/>
          <w:sz w:val="24"/>
        </w:rPr>
        <w:t xml:space="preserve">图8  </w:t>
      </w:r>
      <w:r>
        <w:rPr>
          <w:rFonts w:hint="eastAsia" w:ascii="黑体" w:eastAsia="黑体"/>
          <w:color w:val="000000"/>
          <w:spacing w:val="-6"/>
          <w:sz w:val="24"/>
        </w:rPr>
        <w:t>2020</w:t>
      </w:r>
      <w:r>
        <w:rPr>
          <w:rFonts w:hint="eastAsia" w:ascii="黑体" w:eastAsia="黑体"/>
          <w:color w:val="000000"/>
          <w:spacing w:val="-6"/>
          <w:sz w:val="24"/>
          <w:lang w:eastAsia="zh-CN"/>
        </w:rPr>
        <w:t>—</w:t>
      </w:r>
      <w:r>
        <w:rPr>
          <w:rFonts w:hint="eastAsia" w:ascii="黑体" w:eastAsia="黑体"/>
          <w:color w:val="000000"/>
          <w:spacing w:val="-6"/>
          <w:sz w:val="24"/>
        </w:rPr>
        <w:t>2024</w:t>
      </w:r>
      <w:bookmarkStart w:id="9" w:name="_GoBack"/>
      <w:bookmarkEnd w:id="9"/>
      <w:r>
        <w:rPr>
          <w:rFonts w:hint="eastAsia" w:ascii="黑体" w:eastAsia="黑体"/>
          <w:color w:val="000000"/>
          <w:spacing w:val="-6"/>
          <w:sz w:val="24"/>
        </w:rPr>
        <w:t>年末常住人口</w:t>
      </w:r>
    </w:p>
    <w:p w14:paraId="7914361A">
      <w:pPr>
        <w:jc w:val="center"/>
      </w:pPr>
      <w:r>
        <w:rPr>
          <w:rFonts w:hint="eastAsia"/>
        </w:rPr>
        <w:drawing>
          <wp:inline distT="0" distB="0" distL="114300" distR="114300">
            <wp:extent cx="3602990" cy="2445385"/>
            <wp:effectExtent l="19050" t="0" r="16091" b="0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F2376B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年末常住人口12.0万人，其中城镇人口5.0万人，乡村人口7.0万人。常住人口城镇化率41.41%，比上年末提高0.41个百分点。</w:t>
      </w:r>
    </w:p>
    <w:p w14:paraId="12F4CECB">
      <w:pPr>
        <w:spacing w:line="480" w:lineRule="exact"/>
        <w:jc w:val="center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537F51E7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十二、人民生活和社会保障</w:t>
      </w:r>
    </w:p>
    <w:p w14:paraId="3153AF48">
      <w:pPr>
        <w:spacing w:line="480" w:lineRule="exact"/>
        <w:ind w:firstLine="480" w:firstLineChars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354D5A98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全年全体居民人均可支配收入比上年增长5.7%。</w:t>
      </w:r>
    </w:p>
    <w:p w14:paraId="599E2C82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按常住地分，城镇居民人均可支配收入增长4.8%；人均生活消费支出增长3.9%。农村居民人均可支配收入增长7.1%；人均生活消费支出增长6.8%。</w:t>
      </w:r>
      <w:bookmarkStart w:id="7" w:name="OLE_LINK9"/>
      <w:bookmarkStart w:id="8" w:name="OLE_LINK8"/>
      <w:r>
        <w:rPr>
          <w:rFonts w:hint="eastAsia" w:ascii="方正书宋简体" w:hAnsi="方正书宋简体" w:eastAsia="方正书宋简体" w:cs="方正书宋简体"/>
          <w:kern w:val="0"/>
          <w:sz w:val="24"/>
        </w:rPr>
        <w:t>城镇居民家庭恩格尔系数（即居民家庭食品消费支出占家庭消费总支出的比重）为33.0%，农村居民家庭恩格尔系数为43.6%。</w:t>
      </w:r>
      <w:bookmarkEnd w:id="7"/>
      <w:bookmarkEnd w:id="8"/>
    </w:p>
    <w:p w14:paraId="34D05B60">
      <w:pPr>
        <w:autoSpaceDE w:val="0"/>
        <w:autoSpaceDN w:val="0"/>
        <w:spacing w:line="480" w:lineRule="exact"/>
        <w:jc w:val="center"/>
        <w:rPr>
          <w:rFonts w:hint="eastAsia" w:ascii="黑体" w:eastAsia="黑体"/>
          <w:sz w:val="24"/>
        </w:rPr>
      </w:pPr>
      <w:r>
        <w:rPr>
          <w:rFonts w:hint="eastAsia" w:ascii="黑体" w:hAnsi="Times New Roman" w:eastAsia="黑体" w:cs="Times New Roman"/>
          <w:color w:val="000000"/>
          <w:sz w:val="24"/>
        </w:rPr>
        <w:t>图9　2019</w:t>
      </w:r>
      <w:r>
        <w:rPr>
          <w:rFonts w:hint="eastAsia" w:ascii="黑体" w:hAnsi="Times New Roman" w:eastAsia="黑体" w:cs="Times New Roman"/>
          <w:color w:val="000000"/>
          <w:sz w:val="24"/>
          <w:lang w:eastAsia="zh-CN"/>
        </w:rPr>
        <w:t>—</w:t>
      </w:r>
      <w:r>
        <w:rPr>
          <w:rFonts w:hint="eastAsia" w:ascii="黑体" w:hAnsi="Times New Roman" w:eastAsia="黑体" w:cs="Times New Roman"/>
          <w:color w:val="000000"/>
          <w:sz w:val="24"/>
        </w:rPr>
        <w:t>2023年城镇、农村居民可支配收入增速</w:t>
      </w:r>
    </w:p>
    <w:p w14:paraId="16BCC963">
      <w:pPr>
        <w:jc w:val="center"/>
      </w:pPr>
      <w:r>
        <w:rPr>
          <w:rFonts w:hint="eastAsia"/>
        </w:rPr>
        <w:drawing>
          <wp:inline distT="0" distB="0" distL="114300" distR="114300">
            <wp:extent cx="3606800" cy="2259965"/>
            <wp:effectExtent l="19050" t="0" r="12173" b="6829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6BC9BE2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</w:p>
    <w:p w14:paraId="0E03C79F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社会福利院单位数1个，床位200张，养老服务机构单位数3个，床位416张。城镇居民最低生活保障已保人数277人，农村居民最低生活保障人数为9105人，农村特困人员人数394人。</w:t>
      </w:r>
    </w:p>
    <w:p w14:paraId="787D0277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参加企业基本养老保险在职职工人数17696人，参加机关事业养老保险在职职工人数3836人，参加城乡居民基本养老保险人数60951人。参加职工基本医疗保险人数17731人，比去年减少165人。生育保险参保人数10826人，减少332人。参加城乡居民基本医疗保险人数105343人。参加工伤保险人数14313人，参加失业保险人数9991人。领取企业职工基本养老保险养老金人数13419人，领取机关事业养老保险养老金人数2281人，领取城乡居民基本养老保险养老金人数13076人。</w:t>
      </w:r>
    </w:p>
    <w:p w14:paraId="57BE14C5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年末全县住户存款余额840249万元，比年初增加78915万元，增长10.4%。</w:t>
      </w:r>
    </w:p>
    <w:p w14:paraId="19F16857">
      <w:pPr>
        <w:spacing w:line="480" w:lineRule="exact"/>
        <w:ind w:firstLine="480" w:firstLineChars="200"/>
        <w:rPr>
          <w:rFonts w:hint="eastAsia" w:ascii="方正仿宋简体" w:eastAsia="方正仿宋简体"/>
          <w:kern w:val="0"/>
          <w:sz w:val="24"/>
        </w:rPr>
      </w:pPr>
    </w:p>
    <w:p w14:paraId="1A742707">
      <w:pPr>
        <w:autoSpaceDE w:val="0"/>
        <w:autoSpaceDN w:val="0"/>
        <w:spacing w:line="480" w:lineRule="exact"/>
        <w:jc w:val="center"/>
        <w:rPr>
          <w:rFonts w:hint="eastAsia" w:ascii="黑体" w:eastAsia="黑体"/>
          <w:sz w:val="24"/>
        </w:rPr>
      </w:pPr>
      <w:r>
        <w:rPr>
          <w:rFonts w:hint="eastAsia" w:ascii="黑体" w:eastAsia="黑体"/>
          <w:color w:val="000000"/>
          <w:sz w:val="24"/>
        </w:rPr>
        <w:t>图10  2020</w:t>
      </w:r>
      <w:r>
        <w:rPr>
          <w:rFonts w:hint="eastAsia" w:ascii="黑体" w:eastAsia="黑体"/>
          <w:color w:val="000000"/>
          <w:sz w:val="24"/>
          <w:lang w:eastAsia="zh-CN"/>
        </w:rPr>
        <w:t>—</w:t>
      </w:r>
      <w:r>
        <w:rPr>
          <w:rFonts w:hint="eastAsia" w:ascii="黑体" w:eastAsia="黑体"/>
          <w:color w:val="000000"/>
          <w:sz w:val="24"/>
        </w:rPr>
        <w:t>2024年住户存款余额</w:t>
      </w:r>
    </w:p>
    <w:p w14:paraId="7D16810B">
      <w:pPr>
        <w:jc w:val="center"/>
        <w:rPr>
          <w:rFonts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/>
        </w:rPr>
        <w:drawing>
          <wp:inline distT="0" distB="0" distL="114300" distR="114300">
            <wp:extent cx="3611245" cy="2449830"/>
            <wp:effectExtent l="19050" t="0" r="27305" b="7548"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644613">
      <w:pPr>
        <w:spacing w:line="480" w:lineRule="exact"/>
        <w:jc w:val="center"/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</w:pPr>
      <w:r>
        <w:rPr>
          <w:rFonts w:hint="eastAsia" w:ascii="黑体" w:hAnsi="Times New Roman" w:eastAsia="黑体" w:cs="Times New Roman"/>
          <w:bCs/>
          <w:color w:val="000000"/>
          <w:kern w:val="0"/>
          <w:sz w:val="24"/>
        </w:rPr>
        <w:t>十三、气  象</w:t>
      </w:r>
    </w:p>
    <w:p w14:paraId="586E5827">
      <w:pPr>
        <w:spacing w:line="480" w:lineRule="exact"/>
        <w:ind w:firstLine="480" w:firstLineChars="200"/>
        <w:rPr>
          <w:rFonts w:hint="eastAsia" w:ascii="方正仿宋简体" w:hAnsi="Times New Roman" w:eastAsia="方正仿宋简体" w:cs="Times New Roman"/>
          <w:bCs/>
          <w:color w:val="000000"/>
          <w:kern w:val="0"/>
          <w:sz w:val="24"/>
        </w:rPr>
      </w:pPr>
    </w:p>
    <w:p w14:paraId="55717DA0">
      <w:pPr>
        <w:spacing w:line="480" w:lineRule="exact"/>
        <w:ind w:firstLine="480" w:firstLineChars="200"/>
        <w:rPr>
          <w:rFonts w:hint="eastAsia" w:ascii="方正书宋简体" w:hAnsi="方正书宋简体" w:eastAsia="方正书宋简体" w:cs="方正书宋简体"/>
          <w:kern w:val="0"/>
          <w:sz w:val="24"/>
        </w:rPr>
      </w:pPr>
      <w:r>
        <w:rPr>
          <w:rFonts w:hint="eastAsia" w:ascii="方正书宋简体" w:hAnsi="方正书宋简体" w:eastAsia="方正书宋简体" w:cs="方正书宋简体"/>
          <w:kern w:val="0"/>
          <w:sz w:val="24"/>
        </w:rPr>
        <w:t>全县年平均气温18.4℃，比上年上升0.4℃；年极端最高气温38.1℃。降水量809.7毫米</w:t>
      </w:r>
      <w:r>
        <w:rPr>
          <w:rFonts w:hint="eastAsia" w:ascii="方正书宋简体" w:hAnsi="方正书宋简体" w:eastAsia="方正书宋简体" w:cs="方正书宋简体"/>
          <w:kern w:val="0"/>
          <w:sz w:val="24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kern w:val="0"/>
          <w:sz w:val="24"/>
        </w:rPr>
        <w:t>比上年增加219.3毫米；年一日最大降水量64.2毫米。</w:t>
      </w:r>
    </w:p>
    <w:p w14:paraId="54F199BD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1D1A4B0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DD92046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424F9F89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039FF3D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761FCB50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B8367BA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712B3D73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6E75C56C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178DC569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50D3454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629DB2AB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7B405195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3ADCC2C0">
      <w:pPr>
        <w:spacing w:line="480" w:lineRule="exact"/>
        <w:ind w:firstLine="480" w:firstLineChars="200"/>
        <w:rPr>
          <w:rFonts w:hint="eastAsia" w:ascii="方正仿宋简体" w:eastAsia="方正仿宋简体"/>
          <w:color w:val="000000"/>
          <w:sz w:val="24"/>
        </w:rPr>
      </w:pPr>
    </w:p>
    <w:p w14:paraId="2F0B292C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253E7097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注：</w:t>
      </w:r>
    </w:p>
    <w:p w14:paraId="79E04C31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本公报中2024年数据均为初步统计数，最终核实数以《峨边统计年鉴—2025》为准。</w:t>
      </w:r>
    </w:p>
    <w:p w14:paraId="3901042B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根据第五次全国经济普查结果，对国内生产总值、三次产业结构、社会消费品零售总额及相关数据进行了初步修订。</w:t>
      </w:r>
    </w:p>
    <w:p w14:paraId="31BD611A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3、公报中地区生产总值、各产业增加值绝对数按现价计算，增长速度按不变价格计算。地区生产总值核算执行国家统计局新的《国民经济行业分类》和《三次产业划分规定》，即第一产业是指农、林、牧、渔业（不含农、林、牧、渔服务业）；第二产业是指工业（不含开采辅助活动，金属制品、机械和设备修理业）和建筑业；第三产业即服务业，是指除第一产业、第二产业以外的其他行业。</w:t>
      </w:r>
    </w:p>
    <w:p w14:paraId="74332F96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4、由于2020年四川省乡镇行政区划调整和村级建制调整后，全省城乡属性和统计口径发生了较大变化，2024年四川各市县居民收支数据按城乡属性变化后的新口径进行核算，并按可比口径计算与上年同比增幅，居民人均可支配收入等相关指标只公布增速情况。</w:t>
      </w:r>
    </w:p>
    <w:p w14:paraId="14181C17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5、一般公共预算总收入、地方一般公共预算收入、税收收入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，以及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一般公共预算支出等增速均为同口径增长。</w:t>
      </w:r>
    </w:p>
    <w:p w14:paraId="4E5DBA19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6、公报中就业、林业、水利、渔业、对外贸易、交通运输、邮政、电信、旅游、财政、金融、保险、教育、科技、文化、卫生、体育、户籍人口、社会服务、社会保障、环境保护、安全生产、交通事故、消防等数据来源于相关部门。其中，金融数据包含金口河区。</w:t>
      </w:r>
    </w:p>
    <w:p w14:paraId="7C6C4EE4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7、部分数据因四舍五入的原因，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存在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总计与分项合计不等的情况，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未做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机械调整。</w:t>
      </w:r>
    </w:p>
    <w:p w14:paraId="76FADB37">
      <w:pPr>
        <w:widowControl/>
        <w:shd w:val="clear" w:color="auto" w:fill="FFFFFF"/>
        <w:spacing w:line="420" w:lineRule="exact"/>
        <w:ind w:firstLine="480" w:firstLine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8、2024年1月起，沙湾、峨边、峨眉三地的客船划归渡船，由乡镇管理，不再计入“客运量”及“客运周转量”；2024年内河港口货物吞吐量仅统计有运营证港口码头。</w:t>
      </w:r>
    </w:p>
    <w:sectPr>
      <w:footerReference r:id="rId3" w:type="default"/>
      <w:footerReference r:id="rId4" w:type="even"/>
      <w:pgSz w:w="8400" w:h="11900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GulimChe">
    <w:panose1 w:val="020B0609000101010101"/>
    <w:charset w:val="81"/>
    <w:family w:val="moder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98157"/>
    </w:sdtPr>
    <w:sdtEndPr>
      <w:rPr>
        <w:rFonts w:asciiTheme="minorEastAsia" w:hAnsiTheme="minorEastAsia"/>
        <w:sz w:val="21"/>
        <w:szCs w:val="21"/>
      </w:rPr>
    </w:sdtEndPr>
    <w:sdtContent>
      <w:p w14:paraId="4CA04058">
        <w:pPr>
          <w:pStyle w:val="4"/>
          <w:jc w:val="right"/>
          <w:rPr>
            <w:rFonts w:asciiTheme="minorEastAsia" w:hAnsiTheme="minorEastAsia"/>
            <w:sz w:val="21"/>
            <w:szCs w:val="21"/>
          </w:rPr>
        </w:pP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-</w:t>
        </w:r>
        <w:r>
          <w:rPr>
            <w:rFonts w:asciiTheme="minorEastAsia" w:hAnsiTheme="minorEastAsia"/>
            <w:sz w:val="21"/>
            <w:szCs w:val="21"/>
          </w:rPr>
          <w:t xml:space="preserve"> 21 -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</w:p>
    </w:sdtContent>
  </w:sdt>
  <w:p w14:paraId="4CF082E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98158"/>
    </w:sdtPr>
    <w:sdtEndPr>
      <w:rPr>
        <w:rFonts w:asciiTheme="minorEastAsia" w:hAnsiTheme="minorEastAsia"/>
        <w:sz w:val="21"/>
        <w:szCs w:val="21"/>
      </w:rPr>
    </w:sdtEndPr>
    <w:sdtContent>
      <w:p w14:paraId="617239B0">
        <w:pPr>
          <w:pStyle w:val="4"/>
          <w:rPr>
            <w:rFonts w:asciiTheme="minorEastAsia" w:hAnsiTheme="minorEastAsia"/>
            <w:sz w:val="21"/>
            <w:szCs w:val="21"/>
          </w:rPr>
        </w:pP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-</w:t>
        </w:r>
        <w:r>
          <w:rPr>
            <w:rFonts w:asciiTheme="minorEastAsia" w:hAnsiTheme="minorEastAsia"/>
            <w:sz w:val="21"/>
            <w:szCs w:val="21"/>
          </w:rPr>
          <w:t xml:space="preserve"> 20 -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</w:p>
    </w:sdtContent>
  </w:sdt>
  <w:p w14:paraId="7AB8B6A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363F941"/>
    <w:rsid w:val="00023D98"/>
    <w:rsid w:val="001248EF"/>
    <w:rsid w:val="00135A80"/>
    <w:rsid w:val="00153BAA"/>
    <w:rsid w:val="001674B7"/>
    <w:rsid w:val="001B1A47"/>
    <w:rsid w:val="001C7AD2"/>
    <w:rsid w:val="00274E0E"/>
    <w:rsid w:val="002E60CF"/>
    <w:rsid w:val="00312CD5"/>
    <w:rsid w:val="00316252"/>
    <w:rsid w:val="00543332"/>
    <w:rsid w:val="005C3BCE"/>
    <w:rsid w:val="006808A5"/>
    <w:rsid w:val="007B514F"/>
    <w:rsid w:val="007D42A3"/>
    <w:rsid w:val="008114ED"/>
    <w:rsid w:val="008473F8"/>
    <w:rsid w:val="009A07D0"/>
    <w:rsid w:val="009D43B1"/>
    <w:rsid w:val="00A24699"/>
    <w:rsid w:val="00C605D1"/>
    <w:rsid w:val="00D33E54"/>
    <w:rsid w:val="00DD039A"/>
    <w:rsid w:val="00E45C3F"/>
    <w:rsid w:val="00E96DCA"/>
    <w:rsid w:val="00EA19C7"/>
    <w:rsid w:val="00FC244A"/>
    <w:rsid w:val="00FD5B21"/>
    <w:rsid w:val="04BF2A59"/>
    <w:rsid w:val="09E43BAB"/>
    <w:rsid w:val="0AB361BE"/>
    <w:rsid w:val="1BDF804B"/>
    <w:rsid w:val="1F084252"/>
    <w:rsid w:val="1FAE626A"/>
    <w:rsid w:val="291C4AB8"/>
    <w:rsid w:val="37FEA988"/>
    <w:rsid w:val="391D07F7"/>
    <w:rsid w:val="3FF76B60"/>
    <w:rsid w:val="438F25F7"/>
    <w:rsid w:val="48282B3F"/>
    <w:rsid w:val="4AF5A113"/>
    <w:rsid w:val="52BFC687"/>
    <w:rsid w:val="5776D943"/>
    <w:rsid w:val="58EFD72D"/>
    <w:rsid w:val="5BBB7FF2"/>
    <w:rsid w:val="5CF5319C"/>
    <w:rsid w:val="5E0D00D5"/>
    <w:rsid w:val="681F6333"/>
    <w:rsid w:val="6DBD48C2"/>
    <w:rsid w:val="75AF3CFB"/>
    <w:rsid w:val="76BF7F39"/>
    <w:rsid w:val="76EE465E"/>
    <w:rsid w:val="77F5E558"/>
    <w:rsid w:val="7AFF6046"/>
    <w:rsid w:val="7BDF5B5C"/>
    <w:rsid w:val="7DF9000C"/>
    <w:rsid w:val="7DFF0906"/>
    <w:rsid w:val="7F5D620A"/>
    <w:rsid w:val="7F7FFDFF"/>
    <w:rsid w:val="7FB52AA3"/>
    <w:rsid w:val="7FFFBF29"/>
    <w:rsid w:val="8FED3235"/>
    <w:rsid w:val="9363F941"/>
    <w:rsid w:val="9FEF07E3"/>
    <w:rsid w:val="AFEF9060"/>
    <w:rsid w:val="B9EF0AC8"/>
    <w:rsid w:val="CE7357AD"/>
    <w:rsid w:val="CFBC1142"/>
    <w:rsid w:val="D2BF0226"/>
    <w:rsid w:val="DFFB05EC"/>
    <w:rsid w:val="E7D33A07"/>
    <w:rsid w:val="EBFDD375"/>
    <w:rsid w:val="EFDA30CB"/>
    <w:rsid w:val="EFFBBE08"/>
    <w:rsid w:val="F3DE4AC1"/>
    <w:rsid w:val="FA7D624A"/>
    <w:rsid w:val="FDF6E9C1"/>
    <w:rsid w:val="FE9F36EE"/>
    <w:rsid w:val="FFFD7E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hart" Target="charts/chart10.xml"/><Relationship Id="rId14" Type="http://schemas.openxmlformats.org/officeDocument/2006/relationships/chart" Target="charts/chart9.xml"/><Relationship Id="rId13" Type="http://schemas.openxmlformats.org/officeDocument/2006/relationships/chart" Target="charts/chart8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8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9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0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GDP总量(万元)</c:v>
                </c:pt>
              </c:strCache>
            </c:strRef>
          </c:tx>
          <c:spPr>
            <a:solidFill>
              <a:srgbClr val="4DDB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Sheet1!$B$2:$F$2</c:f>
              <c:numCache>
                <c:formatCode>0_ </c:formatCode>
                <c:ptCount val="5"/>
                <c:pt idx="0">
                  <c:v>673356.624763653</c:v>
                </c:pt>
                <c:pt idx="1">
                  <c:v>743525.696969719</c:v>
                </c:pt>
                <c:pt idx="2">
                  <c:v>784050.383617771</c:v>
                </c:pt>
                <c:pt idx="3">
                  <c:v>835710</c:v>
                </c:pt>
                <c:pt idx="4">
                  <c:v>881091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7"/>
        <c:axId val="379718656"/>
        <c:axId val="272401152"/>
      </c:barChart>
      <c:lineChart>
        <c:grouping val="standard"/>
        <c:varyColors val="0"/>
        <c:ser>
          <c:idx val="1"/>
          <c:order val="1"/>
          <c:tx>
            <c:strRef>
              <c:f>Sheet1!$A$3</c:f>
              <c:strCache>
                <c:ptCount val="1"/>
                <c:pt idx="0">
                  <c:v>增速(%)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Sheet1!$B$3:$F$3</c:f>
              <c:numCache>
                <c:formatCode>0.0_ </c:formatCode>
                <c:ptCount val="5"/>
                <c:pt idx="0">
                  <c:v>4</c:v>
                </c:pt>
                <c:pt idx="1" c:formatCode="General">
                  <c:v>8.2</c:v>
                </c:pt>
                <c:pt idx="2" c:formatCode="General">
                  <c:v>3.4</c:v>
                </c:pt>
                <c:pt idx="3" c:formatCode="General">
                  <c:v>6.9</c:v>
                </c:pt>
                <c:pt idx="4" c:formatCode="General">
                  <c:v>5.8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2402304"/>
        <c:axId val="272403840"/>
      </c:lineChart>
      <c:catAx>
        <c:axId val="37971865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2401152"/>
        <c:crosses val="autoZero"/>
        <c:auto val="1"/>
        <c:lblAlgn val="ctr"/>
        <c:lblOffset val="100"/>
        <c:noMultiLvlLbl val="0"/>
      </c:catAx>
      <c:valAx>
        <c:axId val="272401152"/>
        <c:scaling>
          <c:orientation val="minMax"/>
        </c:scaling>
        <c:delete val="0"/>
        <c:axPos val="l"/>
        <c:numFmt formatCode="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379718656"/>
        <c:crosses val="autoZero"/>
        <c:crossBetween val="between"/>
        <c:majorUnit val="200000"/>
      </c:valAx>
      <c:catAx>
        <c:axId val="272402304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72403840"/>
        <c:crosses val="autoZero"/>
        <c:auto val="1"/>
        <c:lblAlgn val="ctr"/>
        <c:lblOffset val="100"/>
        <c:noMultiLvlLbl val="0"/>
      </c:catAx>
      <c:valAx>
        <c:axId val="272403840"/>
        <c:scaling>
          <c:orientation val="minMax"/>
          <c:max val="15"/>
        </c:scaling>
        <c:delete val="0"/>
        <c:axPos val="r"/>
        <c:numFmt formatCode="0.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2402304"/>
        <c:crosses val="max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c8befff-1289-46f5-b629-ac73045ffae0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71144716019"/>
          <c:y val="0.0570243649559357"/>
          <c:w val="0.818603833304027"/>
          <c:h val="0.7375324002073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住户存款余额（万元）</c:v>
                </c:pt>
              </c:strCache>
            </c:strRef>
          </c:tx>
          <c:spPr>
            <a:solidFill>
              <a:srgbClr val="4DDB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Sheet1!$B$2:$F$2</c:f>
              <c:numCache>
                <c:formatCode>0_ </c:formatCode>
                <c:ptCount val="5"/>
                <c:pt idx="0">
                  <c:v>543425</c:v>
                </c:pt>
                <c:pt idx="1">
                  <c:v>603690</c:v>
                </c:pt>
                <c:pt idx="2">
                  <c:v>689621</c:v>
                </c:pt>
                <c:pt idx="3">
                  <c:v>761334</c:v>
                </c:pt>
                <c:pt idx="4">
                  <c:v>840248.519938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8"/>
        <c:axId val="277631360"/>
        <c:axId val="277632896"/>
      </c:barChart>
      <c:catAx>
        <c:axId val="27763136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632896"/>
        <c:crosses val="autoZero"/>
        <c:auto val="1"/>
        <c:lblAlgn val="ctr"/>
        <c:lblOffset val="100"/>
        <c:noMultiLvlLbl val="0"/>
      </c:catAx>
      <c:valAx>
        <c:axId val="277632896"/>
        <c:scaling>
          <c:orientation val="minMax"/>
        </c:scaling>
        <c:delete val="0"/>
        <c:axPos val="l"/>
        <c:numFmt formatCode="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631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e1c6600-ee85-4651-bc59-77e45c2c463e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第一产业</c:v>
                </c:pt>
              </c:strCache>
            </c:strRef>
          </c:tx>
          <c:spPr>
            <a:solidFill>
              <a:srgbClr val="29CBD5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Sheet1!$B$2:$F$2</c:f>
              <c:numCache>
                <c:formatCode>0.0_ </c:formatCode>
                <c:ptCount val="5"/>
                <c:pt idx="0">
                  <c:v>10.39</c:v>
                </c:pt>
                <c:pt idx="1">
                  <c:v>10.34</c:v>
                </c:pt>
                <c:pt idx="2">
                  <c:v>10.53</c:v>
                </c:pt>
                <c:pt idx="3">
                  <c:v>9.60453414304805</c:v>
                </c:pt>
                <c:pt idx="4">
                  <c:v>9.36010014856581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rgbClr val="F4A76F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Sheet1!$B$3:$F$3</c:f>
              <c:numCache>
                <c:formatCode>0.0_ </c:formatCode>
                <c:ptCount val="5"/>
                <c:pt idx="0">
                  <c:v>46.2</c:v>
                </c:pt>
                <c:pt idx="1">
                  <c:v>46.52</c:v>
                </c:pt>
                <c:pt idx="2">
                  <c:v>45.78</c:v>
                </c:pt>
                <c:pt idx="3">
                  <c:v>45.8937909083294</c:v>
                </c:pt>
                <c:pt idx="4">
                  <c:v>45.1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rgbClr val="FFD685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Sheet1!$B$4:$F$4</c:f>
              <c:numCache>
                <c:formatCode>0.0_ </c:formatCode>
                <c:ptCount val="5"/>
                <c:pt idx="0">
                  <c:v>43.36</c:v>
                </c:pt>
                <c:pt idx="1">
                  <c:v>43.2</c:v>
                </c:pt>
                <c:pt idx="2">
                  <c:v>43.69</c:v>
                </c:pt>
                <c:pt idx="3">
                  <c:v>44.5016749486225</c:v>
                </c:pt>
                <c:pt idx="4">
                  <c:v>45.4760064510928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73626624"/>
        <c:axId val="273628160"/>
      </c:barChart>
      <c:catAx>
        <c:axId val="27362662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3628160"/>
        <c:crosses val="autoZero"/>
        <c:auto val="1"/>
        <c:lblAlgn val="ctr"/>
        <c:lblOffset val="100"/>
        <c:noMultiLvlLbl val="0"/>
      </c:catAx>
      <c:valAx>
        <c:axId val="273628160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3626624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b44d2fd-566b-4538-b566-1886f523efde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涨幅（%）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0.4</c:v>
                </c:pt>
                <c:pt idx="2">
                  <c:v>1.6</c:v>
                </c:pt>
                <c:pt idx="3">
                  <c:v>0.4</c:v>
                </c:pt>
                <c:pt idx="4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3930880"/>
        <c:axId val="274342272"/>
      </c:lineChart>
      <c:catAx>
        <c:axId val="27393088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4342272"/>
        <c:crosses val="autoZero"/>
        <c:auto val="1"/>
        <c:lblAlgn val="ctr"/>
        <c:lblOffset val="100"/>
        <c:noMultiLvlLbl val="0"/>
      </c:catAx>
      <c:valAx>
        <c:axId val="274342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393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/>
      <c:overlay val="1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f1a84a6-cbe4-4dec-aa60-9cff2dec2c43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3.4</c:v>
                </c:pt>
                <c:pt idx="1">
                  <c:v>10.8</c:v>
                </c:pt>
                <c:pt idx="2">
                  <c:v>-1.5</c:v>
                </c:pt>
                <c:pt idx="3">
                  <c:v>7.4</c:v>
                </c:pt>
                <c:pt idx="4">
                  <c:v>4.6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4362368"/>
        <c:axId val="274363904"/>
      </c:lineChart>
      <c:catAx>
        <c:axId val="27436236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4363904"/>
        <c:crosses val="autoZero"/>
        <c:auto val="1"/>
        <c:lblAlgn val="ctr"/>
        <c:lblOffset val="100"/>
        <c:noMultiLvlLbl val="0"/>
      </c:catAx>
      <c:valAx>
        <c:axId val="274363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436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/>
      <c:overlay val="1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4654711-8d2b-427f-9751-215adc1b87b0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869933027846"/>
          <c:y val="0.0592193808882907"/>
          <c:w val="0.837398660556926"/>
          <c:h val="0.7349663526244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固定电话年末用户（户）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13575</c:v>
                </c:pt>
                <c:pt idx="1">
                  <c:v>14168</c:v>
                </c:pt>
                <c:pt idx="2">
                  <c:v>14365</c:v>
                </c:pt>
                <c:pt idx="3">
                  <c:v>14594</c:v>
                </c:pt>
                <c:pt idx="4">
                  <c:v>14664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移动电话年末用户（户）</c:v>
                </c:pt>
              </c:strCache>
            </c:strRef>
          </c:tx>
          <c:spPr>
            <a:solidFill>
              <a:srgbClr val="4DDB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113838</c:v>
                </c:pt>
                <c:pt idx="1">
                  <c:v>113845</c:v>
                </c:pt>
                <c:pt idx="2">
                  <c:v>121592</c:v>
                </c:pt>
                <c:pt idx="3">
                  <c:v>125521</c:v>
                </c:pt>
                <c:pt idx="4">
                  <c:v>124705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74376960"/>
        <c:axId val="274522112"/>
      </c:barChart>
      <c:catAx>
        <c:axId val="27437696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4522112"/>
        <c:crosses val="autoZero"/>
        <c:auto val="1"/>
        <c:lblAlgn val="ctr"/>
        <c:lblOffset val="100"/>
        <c:noMultiLvlLbl val="0"/>
      </c:catAx>
      <c:valAx>
        <c:axId val="274522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4376960"/>
        <c:crosses val="autoZero"/>
        <c:crossBetween val="between"/>
        <c:majorUnit val="4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1002817504336"/>
          <c:y val="0.882461503615412"/>
          <c:w val="0.88470567976045"/>
          <c:h val="0.10608621875103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a2467f5-4e39-4477-851b-8403aad55ee1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11.2</c:v>
                </c:pt>
                <c:pt idx="1">
                  <c:v>13.1</c:v>
                </c:pt>
                <c:pt idx="2">
                  <c:v>11.8</c:v>
                </c:pt>
                <c:pt idx="3">
                  <c:v>23.1</c:v>
                </c:pt>
                <c:pt idx="4">
                  <c:v>9.2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6996096"/>
        <c:axId val="276997248"/>
      </c:lineChart>
      <c:catAx>
        <c:axId val="27699609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6997248"/>
        <c:crosses val="autoZero"/>
        <c:auto val="1"/>
        <c:lblAlgn val="ctr"/>
        <c:lblOffset val="100"/>
        <c:noMultiLvlLbl val="0"/>
      </c:catAx>
      <c:valAx>
        <c:axId val="276997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699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layout/>
      <c:overlay val="1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b2246ef-736a-4cca-8580-5faf265efac0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639089786558"/>
          <c:y val="0.055429579239103"/>
          <c:w val="0.787405186099841"/>
          <c:h val="0.7481481481481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社会消费品零售总额（万元）</c:v>
                </c:pt>
              </c:strCache>
            </c:strRef>
          </c:tx>
          <c:spPr>
            <a:solidFill>
              <a:srgbClr val="4DDB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0_ </c:formatCode>
                <c:ptCount val="5"/>
                <c:pt idx="0">
                  <c:v>224815</c:v>
                </c:pt>
                <c:pt idx="1">
                  <c:v>267676</c:v>
                </c:pt>
                <c:pt idx="2">
                  <c:v>271424</c:v>
                </c:pt>
                <c:pt idx="3">
                  <c:v>301145</c:v>
                </c:pt>
                <c:pt idx="4">
                  <c:v>318456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8"/>
        <c:axId val="277277696"/>
        <c:axId val="277381888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增速(%)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-2.4</c:v>
                </c:pt>
                <c:pt idx="1">
                  <c:v>19.1</c:v>
                </c:pt>
                <c:pt idx="2">
                  <c:v>1.4</c:v>
                </c:pt>
                <c:pt idx="3">
                  <c:v>11</c:v>
                </c:pt>
                <c:pt idx="4">
                  <c:v>5.7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7383424"/>
        <c:axId val="277385216"/>
      </c:lineChart>
      <c:catAx>
        <c:axId val="27727769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381888"/>
        <c:crosses val="autoZero"/>
        <c:auto val="1"/>
        <c:lblAlgn val="ctr"/>
        <c:lblOffset val="100"/>
        <c:noMultiLvlLbl val="0"/>
      </c:catAx>
      <c:valAx>
        <c:axId val="277381888"/>
        <c:scaling>
          <c:orientation val="minMax"/>
        </c:scaling>
        <c:delete val="0"/>
        <c:axPos val="l"/>
        <c:numFmt formatCode="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277696"/>
        <c:crosses val="autoZero"/>
        <c:crossBetween val="between"/>
      </c:valAx>
      <c:catAx>
        <c:axId val="277383424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77385216"/>
        <c:crosses val="autoZero"/>
        <c:auto val="1"/>
        <c:lblAlgn val="ctr"/>
        <c:lblOffset val="100"/>
        <c:noMultiLvlLbl val="0"/>
      </c:catAx>
      <c:valAx>
        <c:axId val="277385216"/>
        <c:scaling>
          <c:orientation val="minMax"/>
          <c:max val="35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383424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e2e5e7f-6700-42c1-bb69-1503e9b68fd3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740218540712"/>
          <c:y val="0.0571280186964425"/>
          <c:w val="0.860486429326754"/>
          <c:h val="0.7292651259413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乡村人口（万人）</c:v>
                </c:pt>
              </c:strCache>
            </c:strRef>
          </c:tx>
          <c:spPr>
            <a:solidFill>
              <a:srgbClr val="FF9B9B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0.0_ </c:formatCode>
                <c:ptCount val="5"/>
                <c:pt idx="0">
                  <c:v>7.6</c:v>
                </c:pt>
                <c:pt idx="1">
                  <c:v>7.4</c:v>
                </c:pt>
                <c:pt idx="2">
                  <c:v>7.3</c:v>
                </c:pt>
                <c:pt idx="3">
                  <c:v>7.1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城镇人口（万人）</c:v>
                </c:pt>
              </c:strCache>
            </c:strRef>
          </c:tx>
          <c:spPr>
            <a:solidFill>
              <a:srgbClr val="29CBD5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Sheet1!$C$2:$C$6</c:f>
              <c:numCache>
                <c:formatCode>0.0_ </c:formatCode>
                <c:ptCount val="5"/>
                <c:pt idx="0">
                  <c:v>4.6</c:v>
                </c:pt>
                <c:pt idx="1">
                  <c:v>4.7</c:v>
                </c:pt>
                <c:pt idx="2">
                  <c:v>4.8</c:v>
                </c:pt>
                <c:pt idx="3">
                  <c:v>4.9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77414656"/>
        <c:axId val="277416192"/>
      </c:barChart>
      <c:catAx>
        <c:axId val="27741465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416192"/>
        <c:crosses val="autoZero"/>
        <c:auto val="1"/>
        <c:lblAlgn val="ctr"/>
        <c:lblOffset val="100"/>
        <c:noMultiLvlLbl val="0"/>
      </c:catAx>
      <c:valAx>
        <c:axId val="277416192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41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2c04d95-13d5-43e5-b20a-2980261e6a95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39084507042254"/>
          <c:y val="0.0618151166057881"/>
          <c:w val="0.877359154929577"/>
          <c:h val="0.73065467828041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城镇（%）</c:v>
                </c:pt>
              </c:strCache>
            </c:strRef>
          </c:tx>
          <c:spPr>
            <a:ln w="28575" cap="rnd" cmpd="sng" algn="ctr">
              <a:solidFill>
                <a:srgbClr val="FF9B9B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FF9B9B"/>
              </a:solidFill>
              <a:ln w="9525" cap="flat" cmpd="sng" algn="ctr">
                <a:solidFill>
                  <a:srgbClr val="FF9B9B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</c:v>
                </c:pt>
                <c:pt idx="1">
                  <c:v>8.8</c:v>
                </c:pt>
                <c:pt idx="2">
                  <c:v>4.8</c:v>
                </c:pt>
                <c:pt idx="3">
                  <c:v>5</c:v>
                </c:pt>
                <c:pt idx="4">
                  <c:v>4.8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农村（%）</c:v>
                </c:pt>
              </c:strCache>
            </c:strRef>
          </c:tx>
          <c:spPr>
            <a:ln w="28575" cap="rnd" cmpd="sng" algn="ctr">
              <a:solidFill>
                <a:srgbClr val="4DDBE4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rgbClr val="4DDBE4"/>
              </a:solidFill>
              <a:ln w="9525" cap="flat" cmpd="sng" algn="ctr">
                <a:solidFill>
                  <a:srgbClr val="4DDBE4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9.9</c:v>
                </c:pt>
                <c:pt idx="1">
                  <c:v>10.6</c:v>
                </c:pt>
                <c:pt idx="2">
                  <c:v>6.9</c:v>
                </c:pt>
                <c:pt idx="3">
                  <c:v>8</c:v>
                </c:pt>
                <c:pt idx="4">
                  <c:v>7.1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7449728"/>
        <c:axId val="277627648"/>
      </c:lineChart>
      <c:catAx>
        <c:axId val="27744972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627648"/>
        <c:crosses val="autoZero"/>
        <c:auto val="1"/>
        <c:lblAlgn val="ctr"/>
        <c:lblOffset val="100"/>
        <c:noMultiLvlLbl val="0"/>
      </c:catAx>
      <c:valAx>
        <c:axId val="277627648"/>
        <c:scaling>
          <c:orientation val="minMax"/>
          <c:max val="15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277449728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1355633802817"/>
          <c:y val="0.891261590334364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3c549e9-9eba-4102-9100-265576b641f2}"/>
      </c:ext>
    </c:extLst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23</Pages>
  <Words>1121</Words>
  <Characters>1500</Characters>
  <Lines>51</Lines>
  <Paragraphs>14</Paragraphs>
  <TotalTime>84</TotalTime>
  <ScaleCrop>false</ScaleCrop>
  <LinksUpToDate>false</LinksUpToDate>
  <CharactersWithSpaces>1534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2025-04-09T09:46:00Z</dcterms:created>
  <dc:creator>thtf</dc:creator>
  <cp:lastModifiedBy>碧云天</cp:lastModifiedBy>
  <cp:lastPrinted>2025-04-09T09:45:00Z</cp:lastPrinted>
  <dcterms:modified xsi:type="dcterms:W3CDTF">2025-07-24T07:24:24Z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F701F01E937348C1915E83B498932D8B_13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