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3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</w:p>
    <w:p>
      <w:pPr>
        <w:pStyle w:val="7"/>
        <w:rPr>
          <w:rFonts w:eastAsia="方正小标宋简体"/>
          <w:b w:val="0"/>
          <w:w w:val="48"/>
          <w:sz w:val="32"/>
          <w:szCs w:val="32"/>
          <w:u w:val="none"/>
        </w:rPr>
      </w:pPr>
    </w:p>
    <w:p>
      <w:pPr>
        <w:pStyle w:val="7"/>
        <w:rPr>
          <w:rFonts w:eastAsia="方正小标宋简体"/>
          <w:b w:val="0"/>
          <w:w w:val="48"/>
          <w:sz w:val="32"/>
          <w:szCs w:val="32"/>
          <w:u w:val="none"/>
        </w:rPr>
      </w:pPr>
    </w:p>
    <w:p>
      <w:pPr>
        <w:pStyle w:val="7"/>
        <w:rPr>
          <w:rFonts w:eastAsia="方正小标宋简体"/>
          <w:b w:val="0"/>
          <w:w w:val="48"/>
          <w:sz w:val="32"/>
          <w:szCs w:val="32"/>
          <w:u w:val="none"/>
        </w:rPr>
      </w:pPr>
    </w:p>
    <w:p>
      <w:pPr>
        <w:pStyle w:val="7"/>
        <w:rPr>
          <w:rFonts w:eastAsia="方正小标宋简体"/>
          <w:b w:val="0"/>
          <w:w w:val="48"/>
          <w:sz w:val="32"/>
          <w:szCs w:val="32"/>
          <w:u w:val="none"/>
        </w:rPr>
      </w:pPr>
    </w:p>
    <w:p>
      <w:pPr>
        <w:pStyle w:val="7"/>
        <w:spacing w:line="400" w:lineRule="exact"/>
        <w:rPr>
          <w:rFonts w:eastAsia="方正小标宋简体"/>
          <w:b w:val="0"/>
          <w:w w:val="48"/>
          <w:sz w:val="32"/>
          <w:szCs w:val="32"/>
          <w:u w:val="none"/>
        </w:rPr>
      </w:pPr>
    </w:p>
    <w:p>
      <w:pPr>
        <w:spacing w:line="400" w:lineRule="exact"/>
        <w:rPr>
          <w:u w:val="none"/>
        </w:rPr>
      </w:pPr>
    </w:p>
    <w:p>
      <w:pPr>
        <w:jc w:val="both"/>
        <w:rPr>
          <w:u w:val="none"/>
        </w:rPr>
      </w:pPr>
    </w:p>
    <w:p>
      <w:pPr>
        <w:spacing w:line="560" w:lineRule="exact"/>
        <w:jc w:val="center"/>
        <w:rPr>
          <w:u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pacing w:val="4"/>
          <w:sz w:val="44"/>
          <w:szCs w:val="44"/>
          <w:u w:val="none"/>
          <w:lang w:eastAsia="zh-CN"/>
        </w:rPr>
      </w:pPr>
      <w:r>
        <w:rPr>
          <w:rFonts w:hint="eastAsia" w:ascii="Times New Roman" w:hAnsi="Times New Roman" w:eastAsia="方正小标宋简体" w:cs="Times New Roman"/>
          <w:color w:val="000000"/>
          <w:spacing w:val="4"/>
          <w:sz w:val="44"/>
          <w:szCs w:val="44"/>
          <w:u w:val="none"/>
          <w:lang w:eastAsia="zh-CN"/>
        </w:rPr>
        <w:t>峨边彝族自治县</w:t>
      </w:r>
      <w:r>
        <w:rPr>
          <w:rFonts w:hint="default" w:ascii="Times New Roman" w:hAnsi="Times New Roman" w:eastAsia="方正小标宋简体" w:cs="Times New Roman"/>
          <w:color w:val="000000"/>
          <w:spacing w:val="4"/>
          <w:sz w:val="44"/>
          <w:szCs w:val="44"/>
          <w:u w:val="none"/>
          <w:lang w:eastAsia="zh-CN"/>
        </w:rPr>
        <w:t>食品安全委员会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pacing w:val="4"/>
          <w:sz w:val="44"/>
          <w:szCs w:val="44"/>
          <w:u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000000"/>
          <w:spacing w:val="4"/>
          <w:sz w:val="44"/>
          <w:szCs w:val="44"/>
          <w:u w:val="none"/>
          <w:lang w:eastAsia="zh-CN"/>
        </w:rPr>
        <w:t>关于印发</w:t>
      </w:r>
      <w:r>
        <w:rPr>
          <w:rFonts w:hint="eastAsia" w:ascii="Times New Roman" w:hAnsi="Times New Roman" w:eastAsia="方正小标宋简体" w:cs="Times New Roman"/>
          <w:color w:val="000000"/>
          <w:spacing w:val="4"/>
          <w:sz w:val="44"/>
          <w:szCs w:val="44"/>
          <w:u w:val="none"/>
          <w:lang w:eastAsia="zh-CN"/>
        </w:rPr>
        <w:t>峨边彝族自治县</w:t>
      </w:r>
      <w:r>
        <w:rPr>
          <w:rFonts w:hint="default" w:ascii="Times New Roman" w:hAnsi="Times New Roman" w:eastAsia="方正小标宋简体" w:cs="Times New Roman"/>
          <w:color w:val="000000"/>
          <w:spacing w:val="4"/>
          <w:sz w:val="44"/>
          <w:szCs w:val="44"/>
          <w:u w:val="none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color w:val="000000"/>
          <w:spacing w:val="4"/>
          <w:sz w:val="44"/>
          <w:szCs w:val="44"/>
          <w:u w:val="none"/>
          <w:lang w:val="en-US" w:eastAsia="zh-CN"/>
        </w:rPr>
        <w:t>3</w:t>
      </w:r>
      <w:r>
        <w:rPr>
          <w:rFonts w:hint="default" w:ascii="Times New Roman" w:hAnsi="Times New Roman" w:eastAsia="方正小标宋简体" w:cs="Times New Roman"/>
          <w:color w:val="000000"/>
          <w:spacing w:val="4"/>
          <w:sz w:val="44"/>
          <w:szCs w:val="44"/>
          <w:u w:val="none"/>
          <w:lang w:val="en-US" w:eastAsia="zh-CN"/>
        </w:rPr>
        <w:t>年食品安全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pacing w:val="4"/>
          <w:sz w:val="44"/>
          <w:szCs w:val="44"/>
          <w:u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000000"/>
          <w:spacing w:val="4"/>
          <w:sz w:val="44"/>
          <w:szCs w:val="44"/>
          <w:u w:val="none"/>
          <w:lang w:val="en-US" w:eastAsia="zh-CN"/>
        </w:rPr>
        <w:t>重点工作安排的通知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u w:val="no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0" w:lineRule="exact"/>
        <w:ind w:right="0" w:rightChars="0"/>
        <w:jc w:val="both"/>
        <w:textAlignment w:val="auto"/>
        <w:rPr>
          <w:rStyle w:val="20"/>
          <w:rFonts w:hint="default" w:ascii="Times New Roman" w:hAnsi="Times New Roman" w:eastAsia="仿宋_GB2312" w:cs="Times New Roman"/>
          <w:b w:val="0"/>
          <w:i w:val="0"/>
          <w:caps w:val="0"/>
          <w:spacing w:val="0"/>
          <w:kern w:val="2"/>
          <w:sz w:val="32"/>
          <w:szCs w:val="32"/>
          <w:highlight w:val="none"/>
          <w:u w:val="none"/>
          <w:lang w:val="en-US" w:eastAsia="zh-CN"/>
        </w:rPr>
      </w:pPr>
      <w:r>
        <w:rPr>
          <w:rStyle w:val="20"/>
          <w:rFonts w:hint="eastAsia" w:ascii="Times New Roman" w:hAnsi="Times New Roman" w:cs="Times New Roman"/>
          <w:b w:val="0"/>
          <w:i w:val="0"/>
          <w:caps w:val="0"/>
          <w:spacing w:val="0"/>
          <w:kern w:val="2"/>
          <w:sz w:val="32"/>
          <w:szCs w:val="32"/>
          <w:highlight w:val="none"/>
          <w:u w:val="none"/>
          <w:lang w:val="en-US" w:eastAsia="zh-CN"/>
        </w:rPr>
        <w:t>各乡镇人民政府、县级各相关部门</w:t>
      </w:r>
      <w:r>
        <w:rPr>
          <w:rStyle w:val="20"/>
          <w:rFonts w:hint="default" w:ascii="Times New Roman" w:hAnsi="Times New Roman" w:eastAsia="仿宋_GB2312" w:cs="Times New Roman"/>
          <w:b w:val="0"/>
          <w:i w:val="0"/>
          <w:caps w:val="0"/>
          <w:spacing w:val="0"/>
          <w:kern w:val="2"/>
          <w:sz w:val="32"/>
          <w:szCs w:val="32"/>
          <w:highlight w:val="none"/>
          <w:u w:val="none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0" w:lineRule="exact"/>
        <w:ind w:right="0" w:rightChars="0" w:firstLine="640" w:firstLineChars="200"/>
        <w:jc w:val="both"/>
        <w:textAlignment w:val="auto"/>
        <w:rPr>
          <w:rStyle w:val="20"/>
          <w:rFonts w:hint="default" w:ascii="Times New Roman" w:hAnsi="Times New Roman" w:eastAsia="仿宋_GB2312" w:cs="Times New Roman"/>
          <w:b w:val="0"/>
          <w:i w:val="0"/>
          <w:caps w:val="0"/>
          <w:spacing w:val="0"/>
          <w:kern w:val="2"/>
          <w:sz w:val="32"/>
          <w:szCs w:val="32"/>
          <w:highlight w:val="none"/>
          <w:u w:val="none"/>
          <w:lang w:val="en-US" w:eastAsia="zh-CN"/>
        </w:rPr>
      </w:pPr>
      <w:r>
        <w:rPr>
          <w:rStyle w:val="20"/>
          <w:rFonts w:hint="default" w:ascii="Times New Roman" w:hAnsi="Times New Roman" w:eastAsia="仿宋_GB2312" w:cs="Times New Roman"/>
          <w:b w:val="0"/>
          <w:i w:val="0"/>
          <w:caps w:val="0"/>
          <w:spacing w:val="0"/>
          <w:kern w:val="2"/>
          <w:sz w:val="32"/>
          <w:szCs w:val="32"/>
          <w:highlight w:val="none"/>
          <w:u w:val="none"/>
          <w:lang w:val="en-US" w:eastAsia="zh-CN"/>
        </w:rPr>
        <w:t>《</w:t>
      </w:r>
      <w:r>
        <w:rPr>
          <w:rStyle w:val="20"/>
          <w:rFonts w:hint="eastAsia" w:ascii="Times New Roman" w:hAnsi="Times New Roman" w:cs="Times New Roman"/>
          <w:b w:val="0"/>
          <w:i w:val="0"/>
          <w:caps w:val="0"/>
          <w:spacing w:val="0"/>
          <w:kern w:val="2"/>
          <w:sz w:val="32"/>
          <w:szCs w:val="32"/>
          <w:highlight w:val="none"/>
          <w:u w:val="none"/>
          <w:lang w:val="en-US" w:eastAsia="zh-CN"/>
        </w:rPr>
        <w:t>峨边彝族自治县</w:t>
      </w:r>
      <w:r>
        <w:rPr>
          <w:rStyle w:val="20"/>
          <w:rFonts w:hint="default" w:ascii="Times New Roman" w:hAnsi="Times New Roman" w:eastAsia="仿宋_GB2312" w:cs="Times New Roman"/>
          <w:b w:val="0"/>
          <w:i w:val="0"/>
          <w:caps w:val="0"/>
          <w:spacing w:val="0"/>
          <w:kern w:val="2"/>
          <w:sz w:val="32"/>
          <w:szCs w:val="32"/>
          <w:highlight w:val="none"/>
          <w:u w:val="none"/>
          <w:lang w:val="en-US" w:eastAsia="zh-CN"/>
        </w:rPr>
        <w:t>202</w:t>
      </w:r>
      <w:r>
        <w:rPr>
          <w:rStyle w:val="20"/>
          <w:rFonts w:hint="eastAsia" w:ascii="Times New Roman" w:hAnsi="Times New Roman" w:eastAsia="仿宋_GB2312" w:cs="Times New Roman"/>
          <w:b w:val="0"/>
          <w:i w:val="0"/>
          <w:caps w:val="0"/>
          <w:spacing w:val="0"/>
          <w:kern w:val="2"/>
          <w:sz w:val="32"/>
          <w:szCs w:val="32"/>
          <w:highlight w:val="none"/>
          <w:u w:val="none"/>
          <w:lang w:val="en-US" w:eastAsia="zh-CN"/>
        </w:rPr>
        <w:t>3</w:t>
      </w:r>
      <w:r>
        <w:rPr>
          <w:rStyle w:val="20"/>
          <w:rFonts w:hint="default" w:ascii="Times New Roman" w:hAnsi="Times New Roman" w:eastAsia="仿宋_GB2312" w:cs="Times New Roman"/>
          <w:b w:val="0"/>
          <w:i w:val="0"/>
          <w:caps w:val="0"/>
          <w:spacing w:val="0"/>
          <w:kern w:val="2"/>
          <w:sz w:val="32"/>
          <w:szCs w:val="32"/>
          <w:highlight w:val="none"/>
          <w:u w:val="none"/>
          <w:lang w:val="en-US" w:eastAsia="zh-CN"/>
        </w:rPr>
        <w:t>年食品安全重点工作安排》已经</w:t>
      </w:r>
      <w:r>
        <w:rPr>
          <w:rStyle w:val="20"/>
          <w:rFonts w:hint="eastAsia" w:ascii="Times New Roman" w:hAnsi="Times New Roman" w:cs="Times New Roman"/>
          <w:b w:val="0"/>
          <w:i w:val="0"/>
          <w:caps w:val="0"/>
          <w:spacing w:val="0"/>
          <w:kern w:val="2"/>
          <w:sz w:val="32"/>
          <w:szCs w:val="32"/>
          <w:highlight w:val="none"/>
          <w:u w:val="none"/>
          <w:lang w:val="en-US" w:eastAsia="zh-CN"/>
        </w:rPr>
        <w:t>县</w:t>
      </w:r>
      <w:r>
        <w:rPr>
          <w:rStyle w:val="20"/>
          <w:rFonts w:hint="eastAsia" w:ascii="Times New Roman" w:hAnsi="Times New Roman" w:eastAsia="仿宋_GB2312" w:cs="Times New Roman"/>
          <w:b w:val="0"/>
          <w:i w:val="0"/>
          <w:caps w:val="0"/>
          <w:spacing w:val="0"/>
          <w:kern w:val="2"/>
          <w:sz w:val="32"/>
          <w:szCs w:val="32"/>
          <w:highlight w:val="none"/>
          <w:u w:val="none"/>
          <w:lang w:val="en-US" w:eastAsia="zh-CN"/>
        </w:rPr>
        <w:t>食安委领导同意，</w:t>
      </w:r>
      <w:r>
        <w:rPr>
          <w:rStyle w:val="20"/>
          <w:rFonts w:hint="default" w:ascii="Times New Roman" w:hAnsi="Times New Roman" w:eastAsia="仿宋_GB2312" w:cs="Times New Roman"/>
          <w:b w:val="0"/>
          <w:i w:val="0"/>
          <w:caps w:val="0"/>
          <w:spacing w:val="0"/>
          <w:kern w:val="2"/>
          <w:sz w:val="32"/>
          <w:szCs w:val="32"/>
          <w:highlight w:val="none"/>
          <w:u w:val="none"/>
          <w:lang w:val="en-US" w:eastAsia="zh-CN"/>
        </w:rPr>
        <w:t>现印发给你们，请结合实际认真贯彻执行。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0" w:lineRule="exact"/>
        <w:ind w:right="0" w:rightChars="0" w:firstLine="640" w:firstLineChars="200"/>
        <w:jc w:val="both"/>
        <w:textAlignment w:val="auto"/>
        <w:rPr>
          <w:rStyle w:val="20"/>
          <w:rFonts w:hint="default" w:ascii="Times New Roman" w:hAnsi="Times New Roman" w:eastAsia="仿宋_GB2312" w:cs="Times New Roman"/>
          <w:b w:val="0"/>
          <w:i w:val="0"/>
          <w:caps w:val="0"/>
          <w:spacing w:val="0"/>
          <w:kern w:val="2"/>
          <w:sz w:val="32"/>
          <w:szCs w:val="32"/>
          <w:highlight w:val="none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0" w:lineRule="exact"/>
        <w:ind w:right="0" w:rightChars="0" w:firstLine="640" w:firstLineChars="200"/>
        <w:jc w:val="both"/>
        <w:textAlignment w:val="auto"/>
        <w:rPr>
          <w:rStyle w:val="20"/>
          <w:rFonts w:hint="default" w:ascii="Times New Roman" w:hAnsi="Times New Roman" w:eastAsia="仿宋_GB2312" w:cs="Times New Roman"/>
          <w:b w:val="0"/>
          <w:i w:val="0"/>
          <w:caps w:val="0"/>
          <w:spacing w:val="0"/>
          <w:kern w:val="2"/>
          <w:sz w:val="32"/>
          <w:szCs w:val="32"/>
          <w:highlight w:val="none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0" w:lineRule="exact"/>
        <w:ind w:right="0" w:rightChars="0" w:firstLine="640" w:firstLineChars="200"/>
        <w:jc w:val="both"/>
        <w:textAlignment w:val="auto"/>
        <w:rPr>
          <w:rStyle w:val="20"/>
          <w:rFonts w:hint="default" w:ascii="Times New Roman" w:hAnsi="Times New Roman" w:eastAsia="仿宋_GB2312" w:cs="Times New Roman"/>
          <w:b w:val="0"/>
          <w:i w:val="0"/>
          <w:caps w:val="0"/>
          <w:spacing w:val="0"/>
          <w:kern w:val="2"/>
          <w:sz w:val="32"/>
          <w:szCs w:val="32"/>
          <w:highlight w:val="none"/>
          <w:u w:val="none"/>
          <w:lang w:val="en-US" w:eastAsia="zh-CN"/>
        </w:rPr>
      </w:pPr>
      <w:r>
        <w:rPr>
          <w:rStyle w:val="20"/>
          <w:rFonts w:hint="default" w:ascii="Times New Roman" w:hAnsi="Times New Roman" w:eastAsia="仿宋_GB2312" w:cs="Times New Roman"/>
          <w:b w:val="0"/>
          <w:i w:val="0"/>
          <w:caps w:val="0"/>
          <w:spacing w:val="0"/>
          <w:kern w:val="2"/>
          <w:sz w:val="32"/>
          <w:szCs w:val="32"/>
          <w:highlight w:val="none"/>
          <w:u w:val="none"/>
          <w:lang w:val="en-US" w:eastAsia="zh-CN"/>
        </w:rPr>
        <w:t xml:space="preserve">  </w:t>
      </w:r>
      <w:r>
        <w:rPr>
          <w:rStyle w:val="20"/>
          <w:rFonts w:hint="eastAsia" w:ascii="Times New Roman" w:hAnsi="Times New Roman" w:cs="Times New Roman"/>
          <w:b w:val="0"/>
          <w:i w:val="0"/>
          <w:caps w:val="0"/>
          <w:spacing w:val="0"/>
          <w:kern w:val="2"/>
          <w:sz w:val="32"/>
          <w:szCs w:val="32"/>
          <w:highlight w:val="none"/>
          <w:u w:val="none"/>
          <w:lang w:val="en-US" w:eastAsia="zh-CN"/>
        </w:rPr>
        <w:t xml:space="preserve">                     峨边彝族自治县</w:t>
      </w:r>
      <w:r>
        <w:rPr>
          <w:rStyle w:val="20"/>
          <w:rFonts w:hint="default" w:ascii="Times New Roman" w:hAnsi="Times New Roman" w:eastAsia="仿宋_GB2312" w:cs="Times New Roman"/>
          <w:b w:val="0"/>
          <w:i w:val="0"/>
          <w:caps w:val="0"/>
          <w:spacing w:val="0"/>
          <w:kern w:val="2"/>
          <w:sz w:val="32"/>
          <w:szCs w:val="32"/>
          <w:highlight w:val="none"/>
          <w:u w:val="none"/>
          <w:lang w:val="en-US" w:eastAsia="zh-CN"/>
        </w:rPr>
        <w:t xml:space="preserve">食品安全委员会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u w:val="none"/>
        </w:rPr>
      </w:pPr>
      <w:r>
        <w:rPr>
          <w:rStyle w:val="20"/>
          <w:rFonts w:hint="default" w:ascii="Times New Roman" w:hAnsi="Times New Roman" w:eastAsia="仿宋_GB2312" w:cs="Times New Roman"/>
          <w:b w:val="0"/>
          <w:i w:val="0"/>
          <w:caps w:val="0"/>
          <w:spacing w:val="0"/>
          <w:kern w:val="2"/>
          <w:sz w:val="32"/>
          <w:szCs w:val="32"/>
          <w:highlight w:val="none"/>
          <w:u w:val="none"/>
          <w:lang w:val="en-US" w:eastAsia="zh-CN"/>
        </w:rPr>
        <w:t xml:space="preserve">                       </w:t>
      </w:r>
      <w:r>
        <w:rPr>
          <w:rStyle w:val="20"/>
          <w:rFonts w:hint="eastAsia" w:ascii="Times New Roman" w:hAnsi="Times New Roman" w:eastAsia="仿宋_GB2312" w:cs="Times New Roman"/>
          <w:b w:val="0"/>
          <w:i w:val="0"/>
          <w:caps w:val="0"/>
          <w:spacing w:val="0"/>
          <w:kern w:val="2"/>
          <w:sz w:val="32"/>
          <w:szCs w:val="32"/>
          <w:highlight w:val="none"/>
          <w:u w:val="none"/>
          <w:lang w:val="en-US" w:eastAsia="zh-CN"/>
        </w:rPr>
        <w:t xml:space="preserve">   </w:t>
      </w:r>
      <w:r>
        <w:rPr>
          <w:rStyle w:val="20"/>
          <w:rFonts w:hint="default" w:ascii="Times New Roman" w:hAnsi="Times New Roman" w:eastAsia="仿宋_GB2312" w:cs="Times New Roman"/>
          <w:b w:val="0"/>
          <w:i w:val="0"/>
          <w:caps w:val="0"/>
          <w:spacing w:val="0"/>
          <w:kern w:val="2"/>
          <w:sz w:val="32"/>
          <w:szCs w:val="32"/>
          <w:highlight w:val="none"/>
          <w:u w:val="none"/>
          <w:lang w:val="en-US" w:eastAsia="zh-CN"/>
        </w:rPr>
        <w:t xml:space="preserve">   202</w:t>
      </w:r>
      <w:r>
        <w:rPr>
          <w:rStyle w:val="20"/>
          <w:rFonts w:hint="eastAsia" w:ascii="Times New Roman" w:hAnsi="Times New Roman" w:cs="Times New Roman"/>
          <w:b w:val="0"/>
          <w:i w:val="0"/>
          <w:caps w:val="0"/>
          <w:spacing w:val="0"/>
          <w:kern w:val="2"/>
          <w:sz w:val="32"/>
          <w:szCs w:val="32"/>
          <w:highlight w:val="none"/>
          <w:u w:val="none"/>
          <w:lang w:val="en-US" w:eastAsia="zh-CN"/>
        </w:rPr>
        <w:t>3</w:t>
      </w:r>
      <w:r>
        <w:rPr>
          <w:rStyle w:val="20"/>
          <w:rFonts w:hint="default" w:ascii="Times New Roman" w:hAnsi="Times New Roman" w:eastAsia="仿宋_GB2312" w:cs="Times New Roman"/>
          <w:b w:val="0"/>
          <w:i w:val="0"/>
          <w:caps w:val="0"/>
          <w:spacing w:val="0"/>
          <w:kern w:val="2"/>
          <w:sz w:val="32"/>
          <w:szCs w:val="32"/>
          <w:highlight w:val="none"/>
          <w:u w:val="none"/>
          <w:lang w:val="en-US" w:eastAsia="zh-CN"/>
        </w:rPr>
        <w:t>年</w:t>
      </w:r>
      <w:r>
        <w:rPr>
          <w:rStyle w:val="20"/>
          <w:rFonts w:hint="eastAsia" w:ascii="Times New Roman" w:hAnsi="Times New Roman" w:cs="Times New Roman"/>
          <w:b w:val="0"/>
          <w:i w:val="0"/>
          <w:caps w:val="0"/>
          <w:spacing w:val="0"/>
          <w:kern w:val="2"/>
          <w:sz w:val="32"/>
          <w:szCs w:val="32"/>
          <w:highlight w:val="none"/>
          <w:u w:val="none"/>
          <w:lang w:val="en-US" w:eastAsia="zh-CN"/>
        </w:rPr>
        <w:t>6</w:t>
      </w:r>
      <w:r>
        <w:rPr>
          <w:rStyle w:val="20"/>
          <w:rFonts w:hint="default" w:ascii="Times New Roman" w:hAnsi="Times New Roman" w:eastAsia="仿宋_GB2312" w:cs="Times New Roman"/>
          <w:b w:val="0"/>
          <w:i w:val="0"/>
          <w:caps w:val="0"/>
          <w:spacing w:val="0"/>
          <w:kern w:val="2"/>
          <w:sz w:val="32"/>
          <w:szCs w:val="32"/>
          <w:highlight w:val="none"/>
          <w:u w:val="none"/>
          <w:lang w:val="en-US" w:eastAsia="zh-CN"/>
        </w:rPr>
        <w:t>月</w:t>
      </w:r>
      <w:r>
        <w:rPr>
          <w:rStyle w:val="20"/>
          <w:rFonts w:hint="eastAsia" w:ascii="Times New Roman" w:hAnsi="Times New Roman" w:cs="Times New Roman"/>
          <w:b w:val="0"/>
          <w:i w:val="0"/>
          <w:caps w:val="0"/>
          <w:spacing w:val="0"/>
          <w:kern w:val="2"/>
          <w:sz w:val="32"/>
          <w:szCs w:val="32"/>
          <w:highlight w:val="none"/>
          <w:u w:val="none"/>
          <w:lang w:val="en-US" w:eastAsia="zh-CN"/>
        </w:rPr>
        <w:t>21</w:t>
      </w:r>
      <w:r>
        <w:rPr>
          <w:rStyle w:val="20"/>
          <w:rFonts w:hint="default" w:ascii="Times New Roman" w:hAnsi="Times New Roman" w:eastAsia="仿宋_GB2312" w:cs="Times New Roman"/>
          <w:b w:val="0"/>
          <w:i w:val="0"/>
          <w:caps w:val="0"/>
          <w:spacing w:val="0"/>
          <w:kern w:val="2"/>
          <w:sz w:val="32"/>
          <w:szCs w:val="32"/>
          <w:highlight w:val="none"/>
          <w:u w:val="none"/>
          <w:lang w:val="en-US" w:eastAsia="zh-CN"/>
        </w:rPr>
        <w:t xml:space="preserve">日 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u w:val="none"/>
        </w:rPr>
        <w:t xml:space="preserve"> </w:t>
      </w:r>
    </w:p>
    <w:p>
      <w:pPr>
        <w:pStyle w:val="2"/>
        <w:rPr>
          <w:rFonts w:hint="default" w:ascii="Times New Roman" w:hAnsi="Times New Roman" w:eastAsia="方正仿宋简体" w:cs="Times New Roman"/>
          <w:color w:val="000000"/>
          <w:sz w:val="32"/>
          <w:szCs w:val="32"/>
          <w:u w:val="none"/>
        </w:rPr>
      </w:pPr>
    </w:p>
    <w:p>
      <w:pPr>
        <w:rPr>
          <w:rFonts w:hint="default" w:ascii="Times New Roman" w:hAnsi="Times New Roman" w:eastAsia="方正仿宋简体" w:cs="Times New Roman"/>
          <w:color w:val="000000"/>
          <w:sz w:val="32"/>
          <w:szCs w:val="32"/>
          <w:u w:val="none"/>
        </w:rPr>
      </w:pPr>
    </w:p>
    <w:p>
      <w:pPr>
        <w:pStyle w:val="2"/>
        <w:rPr>
          <w:rFonts w:hint="eastAsia"/>
          <w:u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u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pacing w:val="4"/>
          <w:sz w:val="44"/>
          <w:szCs w:val="44"/>
          <w:u w:val="none"/>
          <w:lang w:eastAsia="zh-CN"/>
        </w:rPr>
      </w:pPr>
      <w:r>
        <w:rPr>
          <w:rFonts w:hint="eastAsia" w:ascii="Times New Roman" w:hAnsi="Times New Roman" w:eastAsia="方正小标宋简体" w:cs="Times New Roman"/>
          <w:color w:val="000000"/>
          <w:spacing w:val="4"/>
          <w:sz w:val="44"/>
          <w:szCs w:val="44"/>
          <w:u w:val="none"/>
          <w:lang w:eastAsia="zh-CN"/>
        </w:rPr>
        <w:t>峨边彝族自治县</w:t>
      </w:r>
      <w:r>
        <w:rPr>
          <w:rFonts w:hint="default" w:ascii="Times New Roman" w:hAnsi="Times New Roman" w:eastAsia="方正小标宋简体" w:cs="Times New Roman"/>
          <w:color w:val="000000"/>
          <w:spacing w:val="4"/>
          <w:sz w:val="44"/>
          <w:szCs w:val="44"/>
          <w:u w:val="none"/>
          <w:lang w:eastAsia="zh-CN"/>
        </w:rPr>
        <w:t>202</w:t>
      </w:r>
      <w:r>
        <w:rPr>
          <w:rFonts w:hint="default" w:ascii="Times New Roman" w:hAnsi="Times New Roman" w:eastAsia="方正小标宋简体" w:cs="Times New Roman"/>
          <w:color w:val="000000"/>
          <w:spacing w:val="4"/>
          <w:sz w:val="44"/>
          <w:szCs w:val="44"/>
          <w:u w:val="none"/>
          <w:lang w:val="en-US" w:eastAsia="zh-CN"/>
        </w:rPr>
        <w:t>3</w:t>
      </w:r>
      <w:r>
        <w:rPr>
          <w:rFonts w:hint="default" w:ascii="Times New Roman" w:hAnsi="Times New Roman" w:eastAsia="方正小标宋简体" w:cs="Times New Roman"/>
          <w:color w:val="000000"/>
          <w:spacing w:val="4"/>
          <w:sz w:val="44"/>
          <w:szCs w:val="44"/>
          <w:u w:val="none"/>
          <w:lang w:eastAsia="zh-CN"/>
        </w:rPr>
        <w:t>年食品安全重点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pacing w:val="4"/>
          <w:sz w:val="44"/>
          <w:szCs w:val="44"/>
          <w:u w:val="none"/>
          <w:lang w:eastAsia="zh-CN"/>
        </w:rPr>
      </w:pPr>
      <w:r>
        <w:rPr>
          <w:rFonts w:hint="default" w:ascii="Times New Roman" w:hAnsi="Times New Roman" w:eastAsia="方正小标宋简体" w:cs="Times New Roman"/>
          <w:color w:val="000000"/>
          <w:spacing w:val="4"/>
          <w:sz w:val="44"/>
          <w:szCs w:val="44"/>
          <w:u w:val="none"/>
          <w:lang w:eastAsia="zh-CN"/>
        </w:rPr>
        <w:t>工作安排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/>
          <w:lang w:val="en-US" w:eastAsia="zh-CN"/>
        </w:rPr>
      </w:pPr>
      <w:r>
        <w:rPr>
          <w:rStyle w:val="20"/>
          <w:rFonts w:hint="default" w:ascii="Times New Roman" w:hAnsi="Times New Roman" w:eastAsia="仿宋_GB2312" w:cs="Times New Roman"/>
          <w:b w:val="0"/>
          <w:i w:val="0"/>
          <w:caps w:val="0"/>
          <w:spacing w:val="0"/>
          <w:kern w:val="2"/>
          <w:sz w:val="32"/>
          <w:szCs w:val="32"/>
          <w:highlight w:val="none"/>
          <w:u w:val="none"/>
          <w:lang w:val="en-US"/>
        </w:rPr>
        <w:t>202</w:t>
      </w:r>
      <w:r>
        <w:rPr>
          <w:rStyle w:val="20"/>
          <w:rFonts w:hint="default" w:ascii="Times New Roman" w:hAnsi="Times New Roman" w:eastAsia="仿宋_GB2312" w:cs="Times New Roman"/>
          <w:b w:val="0"/>
          <w:i w:val="0"/>
          <w:caps w:val="0"/>
          <w:spacing w:val="0"/>
          <w:kern w:val="2"/>
          <w:sz w:val="32"/>
          <w:szCs w:val="32"/>
          <w:highlight w:val="none"/>
          <w:u w:val="none"/>
          <w:lang w:val="en-US" w:eastAsia="zh-CN"/>
        </w:rPr>
        <w:t>3</w:t>
      </w:r>
      <w:r>
        <w:rPr>
          <w:rStyle w:val="20"/>
          <w:rFonts w:hint="default" w:ascii="Times New Roman" w:hAnsi="Times New Roman" w:eastAsia="仿宋_GB2312" w:cs="Times New Roman"/>
          <w:b w:val="0"/>
          <w:i w:val="0"/>
          <w:caps w:val="0"/>
          <w:spacing w:val="0"/>
          <w:kern w:val="2"/>
          <w:sz w:val="32"/>
          <w:szCs w:val="32"/>
          <w:highlight w:val="none"/>
          <w:u w:val="none"/>
          <w:lang w:val="en-US"/>
        </w:rPr>
        <w:t>年</w:t>
      </w:r>
      <w:r>
        <w:rPr>
          <w:rStyle w:val="20"/>
          <w:rFonts w:hint="default" w:ascii="Times New Roman" w:hAnsi="Times New Roman" w:eastAsia="仿宋_GB2312" w:cs="Times New Roman"/>
          <w:b w:val="0"/>
          <w:i w:val="0"/>
          <w:caps w:val="0"/>
          <w:spacing w:val="0"/>
          <w:kern w:val="2"/>
          <w:sz w:val="32"/>
          <w:szCs w:val="32"/>
          <w:highlight w:val="none"/>
          <w:u w:val="none"/>
          <w:lang w:val="en-US" w:eastAsia="zh-CN"/>
        </w:rPr>
        <w:t>是全面贯彻落实党的二十大精神的开局之年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kern w:val="2"/>
          <w:sz w:val="32"/>
          <w:szCs w:val="32"/>
          <w:highlight w:val="none"/>
          <w:u w:val="none"/>
          <w:shd w:val="clear" w:color="auto" w:fill="auto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kern w:val="2"/>
          <w:sz w:val="32"/>
          <w:szCs w:val="32"/>
          <w:highlight w:val="none"/>
          <w:u w:val="none"/>
          <w:shd w:val="clear" w:color="auto" w:fill="auto"/>
          <w:lang w:val="en-US"/>
        </w:rPr>
        <w:t>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/>
          <w:lang w:val="en-US"/>
        </w:rPr>
        <w:t>好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/>
          <w:lang w:eastAsia="zh-CN"/>
        </w:rPr>
        <w:t>年度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/>
          <w:lang w:val="en-US"/>
        </w:rPr>
        <w:t>食品安全工作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/>
          <w:lang w:val="en-US"/>
        </w:rPr>
        <w:t>要以习近平新时代中国特色社会主义思想为指导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/>
          <w:lang w:val="en-US"/>
        </w:rPr>
        <w:t>全面贯彻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/>
          <w:lang w:val="en-US" w:eastAsia="zh-CN"/>
        </w:rPr>
        <w:t>落实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/>
          <w:lang w:val="en-US" w:eastAsia="zh-CN"/>
        </w:rPr>
        <w:t>党的二十大精神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/>
          <w:lang w:val="en-US" w:eastAsia="zh-CN"/>
        </w:rPr>
        <w:t>坚持稳中求进工作总基调，以</w:t>
      </w:r>
      <w:r>
        <w:rPr>
          <w:rStyle w:val="20"/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kern w:val="2"/>
          <w:sz w:val="32"/>
          <w:szCs w:val="32"/>
          <w:highlight w:val="none"/>
          <w:u w:val="none"/>
          <w:lang w:val="en-US" w:bidi="ar-SA"/>
        </w:rPr>
        <w:t>“四个最严”</w:t>
      </w:r>
      <w:r>
        <w:rPr>
          <w:rStyle w:val="20"/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kern w:val="2"/>
          <w:sz w:val="32"/>
          <w:szCs w:val="32"/>
          <w:highlight w:val="none"/>
          <w:u w:val="none"/>
          <w:lang w:val="en-US" w:eastAsia="zh-CN" w:bidi="ar-SA"/>
        </w:rPr>
        <w:t>为统领</w:t>
      </w:r>
      <w:r>
        <w:rPr>
          <w:rStyle w:val="20"/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kern w:val="2"/>
          <w:sz w:val="32"/>
          <w:szCs w:val="32"/>
          <w:highlight w:val="none"/>
          <w:u w:val="none"/>
          <w:lang w:val="en-US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/>
          <w:lang w:val="en-US" w:eastAsia="zh-CN"/>
        </w:rPr>
        <w:t>推动实施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/>
        </w:rPr>
        <w:t>《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/>
          <w:lang w:val="en-US"/>
        </w:rPr>
        <w:t>中共中央国务院关于深化改革加强食品安全工作的意见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/>
        </w:rPr>
        <w:t>》，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/>
          <w:lang w:val="en-US" w:eastAsia="zh-CN"/>
        </w:rPr>
        <w:t>强化</w:t>
      </w:r>
      <w:r>
        <w:rPr>
          <w:rStyle w:val="20"/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kern w:val="2"/>
          <w:sz w:val="32"/>
          <w:szCs w:val="32"/>
          <w:highlight w:val="none"/>
          <w:u w:val="none"/>
          <w:lang w:val="en-US" w:eastAsia="zh-CN" w:bidi="ar-SA"/>
        </w:rPr>
        <w:t>从农田到餐桌全过程监管，严防严管严控食品安全风险，</w:t>
      </w:r>
      <w:r>
        <w:rPr>
          <w:rFonts w:hint="eastAsia" w:hAnsi="宋体" w:cs="Times New Roman"/>
          <w:kern w:val="2"/>
          <w:szCs w:val="30"/>
          <w:u w:val="none"/>
          <w:lang w:eastAsia="zh-CN"/>
        </w:rPr>
        <w:t>全力协同乐山市</w:t>
      </w:r>
      <w:r>
        <w:rPr>
          <w:rFonts w:hint="eastAsia" w:hAnsi="宋体" w:cs="Times New Roman"/>
          <w:kern w:val="2"/>
          <w:szCs w:val="30"/>
          <w:u w:val="none"/>
        </w:rPr>
        <w:t>建设</w:t>
      </w:r>
      <w:r>
        <w:rPr>
          <w:rFonts w:hint="eastAsia" w:hAnsi="宋体" w:cs="Times New Roman"/>
          <w:kern w:val="2"/>
          <w:szCs w:val="30"/>
          <w:u w:val="none"/>
          <w:lang w:eastAsia="zh-CN"/>
        </w:rPr>
        <w:t>国家</w:t>
      </w:r>
      <w:r>
        <w:rPr>
          <w:rFonts w:hint="eastAsia" w:hAnsi="宋体" w:cs="Times New Roman"/>
          <w:kern w:val="2"/>
          <w:szCs w:val="30"/>
          <w:u w:val="none"/>
        </w:rPr>
        <w:t>食品安全</w:t>
      </w:r>
      <w:r>
        <w:rPr>
          <w:rFonts w:hint="eastAsia" w:hAnsi="宋体" w:cs="Times New Roman"/>
          <w:kern w:val="2"/>
          <w:szCs w:val="30"/>
          <w:u w:val="none"/>
          <w:lang w:eastAsia="zh-CN"/>
        </w:rPr>
        <w:t>示范</w:t>
      </w:r>
      <w:r>
        <w:rPr>
          <w:rFonts w:hint="eastAsia" w:hAnsi="宋体" w:cs="Times New Roman"/>
          <w:kern w:val="2"/>
          <w:szCs w:val="30"/>
          <w:u w:val="none"/>
        </w:rPr>
        <w:t>城市，</w:t>
      </w:r>
      <w:r>
        <w:rPr>
          <w:rStyle w:val="20"/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kern w:val="2"/>
          <w:sz w:val="32"/>
          <w:szCs w:val="32"/>
          <w:highlight w:val="none"/>
          <w:u w:val="none"/>
          <w:lang w:val="en-US" w:eastAsia="zh-CN" w:bidi="ar-SA"/>
        </w:rPr>
        <w:t>保障人民群众“舌尖上的安全”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highlight w:val="none"/>
          <w:u w:val="none"/>
          <w:lang w:val="en-US" w:eastAsia="zh-CN"/>
        </w:rPr>
        <w:t>。</w:t>
      </w:r>
    </w:p>
    <w:p>
      <w:pPr>
        <w:pStyle w:val="3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0" w:lineRule="exact"/>
        <w:ind w:firstLine="640"/>
        <w:rPr>
          <w:rFonts w:hint="default" w:ascii="Times New Roman" w:hAnsi="Times New Roman" w:eastAsia="黑体" w:cs="Times New Roman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u w:val="none"/>
          <w:lang w:val="en-US" w:eastAsia="zh-CN"/>
        </w:rPr>
        <w:t>一</w:t>
      </w:r>
      <w:r>
        <w:rPr>
          <w:rFonts w:hint="default" w:ascii="Times New Roman" w:hAnsi="Times New Roman" w:eastAsia="黑体" w:cs="Times New Roman"/>
          <w:sz w:val="32"/>
          <w:szCs w:val="32"/>
          <w:u w:val="none"/>
          <w:lang w:val="en-US" w:eastAsia="zh-CN"/>
        </w:rPr>
        <w:t>、建设</w:t>
      </w:r>
      <w:r>
        <w:rPr>
          <w:rFonts w:hint="eastAsia" w:ascii="Times New Roman" w:hAnsi="Times New Roman" w:eastAsia="黑体" w:cs="Times New Roman"/>
          <w:sz w:val="32"/>
          <w:szCs w:val="32"/>
          <w:u w:val="none"/>
          <w:lang w:val="en-US" w:eastAsia="zh-CN"/>
        </w:rPr>
        <w:t>人民群众</w:t>
      </w:r>
      <w:r>
        <w:rPr>
          <w:rFonts w:hint="default" w:ascii="Times New Roman" w:hAnsi="Times New Roman" w:eastAsia="黑体" w:cs="Times New Roman"/>
          <w:sz w:val="32"/>
          <w:szCs w:val="32"/>
          <w:u w:val="none"/>
          <w:lang w:val="en-US" w:eastAsia="zh-CN"/>
        </w:rPr>
        <w:t>满意的食品安全城市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一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）落实党政同责。</w:t>
      </w:r>
      <w:r>
        <w:rPr>
          <w:rFonts w:hint="eastAsia" w:ascii="Times New Roman" w:hAnsi="Times New Roman" w:cs="Times New Roman"/>
          <w:b w:val="0"/>
          <w:bCs w:val="0"/>
          <w:color w:val="000000"/>
          <w:sz w:val="32"/>
          <w:szCs w:val="32"/>
          <w:highlight w:val="none"/>
          <w:u w:val="none"/>
          <w:lang w:val="en-US" w:eastAsia="zh-CN"/>
        </w:rPr>
        <w:t>县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u w:val="none"/>
          <w:lang w:val="en-US" w:eastAsia="zh-CN"/>
        </w:rPr>
        <w:t>领导按照《</w:t>
      </w:r>
      <w:r>
        <w:rPr>
          <w:rFonts w:hint="eastAsia" w:ascii="Times New Roman" w:hAnsi="Times New Roman" w:cs="Times New Roman"/>
          <w:b w:val="0"/>
          <w:bCs w:val="0"/>
          <w:color w:val="000000"/>
          <w:sz w:val="32"/>
          <w:szCs w:val="32"/>
          <w:highlight w:val="none"/>
          <w:u w:val="none"/>
          <w:lang w:val="en-US" w:eastAsia="zh-CN"/>
        </w:rPr>
        <w:t>峨边彝族自治县县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u w:val="none"/>
          <w:lang w:val="en-US" w:eastAsia="zh-CN"/>
        </w:rPr>
        <w:t>级党政领导干部食品安全工作责任清单》履职，每季度调度相关情况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食安办、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级相关部门按照职责分工负责）。</w:t>
      </w:r>
      <w:r>
        <w:rPr>
          <w:rFonts w:hint="eastAsia" w:ascii="Times New Roman" w:hAnsi="Times New Roman" w:cs="Times New Roman"/>
          <w:b w:val="0"/>
          <w:bCs w:val="0"/>
          <w:color w:val="000000"/>
          <w:sz w:val="32"/>
          <w:szCs w:val="32"/>
          <w:highlight w:val="none"/>
          <w:u w:val="none"/>
          <w:lang w:val="en-US" w:eastAsia="zh-CN"/>
        </w:rPr>
        <w:t>县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highlight w:val="none"/>
          <w:u w:val="none"/>
          <w:shd w:val="clear" w:color="auto" w:fill="FFFFFF"/>
        </w:rPr>
        <w:t>财政统筹做好食品和农产品质量安全工作经费保障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〔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财政局〕。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highlight w:val="none"/>
          <w:u w:val="none"/>
          <w:shd w:val="clear" w:color="auto" w:fill="FFFFFF"/>
        </w:rPr>
        <w:t>将食品安全工作纳入“平安</w:t>
      </w:r>
      <w:r>
        <w:rPr>
          <w:rFonts w:hint="eastAsia" w:ascii="Times New Roman" w:hAnsi="Times New Roman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highlight w:val="none"/>
          <w:u w:val="none"/>
          <w:shd w:val="clear" w:color="auto" w:fill="FFFFFF"/>
          <w:lang w:eastAsia="zh-CN"/>
        </w:rPr>
        <w:t>峨边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highlight w:val="none"/>
          <w:u w:val="none"/>
          <w:shd w:val="clear" w:color="auto" w:fill="FFFFFF"/>
        </w:rPr>
        <w:t>”建设，作为年度“平安建设”工作考评重要指标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委政法委）。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u w:val="none"/>
          <w:lang w:val="en-US" w:eastAsia="zh-CN"/>
        </w:rPr>
        <w:t>完善食品安全党政同责专项考核评价指标体系，开展对地方食品安全工作的综合评价，压紧压实属地责任。推动</w:t>
      </w:r>
      <w:r>
        <w:rPr>
          <w:rFonts w:hint="eastAsia" w:ascii="Times New Roman" w:hAnsi="Times New Roman" w:cs="Times New Roman"/>
          <w:b w:val="0"/>
          <w:bCs w:val="0"/>
          <w:color w:val="000000"/>
          <w:sz w:val="32"/>
          <w:szCs w:val="32"/>
          <w:highlight w:val="none"/>
          <w:u w:val="none"/>
          <w:lang w:val="en-US" w:eastAsia="zh-CN"/>
        </w:rPr>
        <w:t>各乡镇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u w:val="none"/>
          <w:lang w:val="en-US" w:eastAsia="zh-CN"/>
        </w:rPr>
        <w:t>各相关部门建立食品安全重点工作安排落实台账并按季度调度，</w:t>
      </w:r>
      <w:r>
        <w:rPr>
          <w:rFonts w:hint="eastAsia" w:ascii="Times New Roman" w:hAnsi="Times New Roman" w:cs="Times New Roman"/>
          <w:b w:val="0"/>
          <w:bCs w:val="0"/>
          <w:color w:val="000000"/>
          <w:sz w:val="32"/>
          <w:szCs w:val="32"/>
          <w:highlight w:val="none"/>
          <w:u w:val="none"/>
          <w:lang w:val="en-US" w:eastAsia="zh-CN"/>
        </w:rPr>
        <w:t>各乡镇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u w:val="none"/>
          <w:lang w:val="en-US" w:eastAsia="zh-CN"/>
        </w:rPr>
        <w:t>12月20日前向</w:t>
      </w:r>
      <w:r>
        <w:rPr>
          <w:rFonts w:hint="eastAsia" w:ascii="Times New Roman" w:hAnsi="Times New Roman" w:cs="Times New Roman"/>
          <w:b w:val="0"/>
          <w:bCs w:val="0"/>
          <w:color w:val="000000"/>
          <w:sz w:val="32"/>
          <w:szCs w:val="32"/>
          <w:highlight w:val="none"/>
          <w:u w:val="none"/>
          <w:lang w:val="en-US" w:eastAsia="zh-CN"/>
        </w:rPr>
        <w:t>县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u w:val="none"/>
          <w:lang w:val="en-US" w:eastAsia="zh-CN"/>
        </w:rPr>
        <w:t>委、</w:t>
      </w:r>
      <w:r>
        <w:rPr>
          <w:rFonts w:hint="eastAsia" w:ascii="Times New Roman" w:hAnsi="Times New Roman" w:cs="Times New Roman"/>
          <w:b w:val="0"/>
          <w:bCs w:val="0"/>
          <w:color w:val="000000"/>
          <w:sz w:val="32"/>
          <w:szCs w:val="32"/>
          <w:highlight w:val="none"/>
          <w:u w:val="none"/>
          <w:lang w:val="en-US" w:eastAsia="zh-CN"/>
        </w:rPr>
        <w:t>县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u w:val="none"/>
          <w:lang w:val="en-US" w:eastAsia="zh-CN"/>
        </w:rPr>
        <w:t>政府报告年度食品安全工作情况。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食品安全办）。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二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）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深化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“双安双创”示范引领。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u w:val="none"/>
          <w:lang w:val="en-US" w:eastAsia="zh-CN"/>
        </w:rPr>
        <w:t>全力推进国家食品安全示范城市创建工作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与卫生城市、文明城市、质量强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示范城市等同创同建、相互促进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食品安全办）。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u w:val="none"/>
          <w:lang w:val="en-US" w:eastAsia="zh-CN"/>
        </w:rPr>
        <w:t>积极参与国家农安县创建工作；巩固提升省级农产品质量安全监管示范县创建成果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农业农村局）。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highlight w:val="none"/>
          <w:u w:val="none"/>
          <w:lang w:val="en-US" w:eastAsia="zh-CN"/>
        </w:rPr>
        <w:t>二、压紧压实食品安全</w:t>
      </w:r>
      <w:r>
        <w:rPr>
          <w:rFonts w:hint="eastAsia" w:ascii="黑体" w:hAnsi="黑体" w:eastAsia="黑体" w:cs="黑体"/>
          <w:kern w:val="2"/>
          <w:szCs w:val="30"/>
          <w:u w:val="none"/>
        </w:rPr>
        <w:t>“两个责任”</w:t>
      </w:r>
    </w:p>
    <w:p>
      <w:pPr>
        <w:pStyle w:val="31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0" w:lineRule="exact"/>
        <w:ind w:firstLine="640" w:firstLineChars="200"/>
        <w:rPr>
          <w:rFonts w:hint="default" w:ascii="Times New Roman" w:hAnsi="Times New Roman" w:eastAsia="楷体" w:cs="Times New Roman"/>
          <w:color w:val="auto"/>
          <w:kern w:val="2"/>
          <w:sz w:val="32"/>
          <w:szCs w:val="32"/>
          <w:u w:val="none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三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）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落实属地管理责任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按照国务院食安委部署，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建立健全分层分级精准防控、末端发力终端见效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工作机制，落实“三张清单加一项承诺书”制度，开展包保工作督查，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推动食品安全属地管理责任落地落实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。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〔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食品安全办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牵头，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各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乡镇人民政府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负责〕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/>
          <w:lang w:val="en-US" w:eastAsia="zh-CN"/>
        </w:rPr>
        <w:t>健全各级食品安全办实体化运行机制，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u w:val="none"/>
          <w:lang w:val="en-US" w:eastAsia="zh-CN"/>
        </w:rPr>
        <w:t>完善食品安全应急体系，更好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/>
          <w:lang w:val="en-US" w:eastAsia="zh-CN"/>
        </w:rPr>
        <w:t>发挥综合协调作用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食品安全办）。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u w:val="none"/>
          <w:lang w:val="en-US" w:eastAsia="zh-CN"/>
        </w:rPr>
        <w:t>建立部门间食品安全风险信息交流机制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市场监管局）。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0" w:lineRule="exact"/>
        <w:ind w:firstLine="640" w:firstLineChars="200"/>
        <w:jc w:val="left"/>
        <w:textAlignment w:val="auto"/>
        <w:outlineLvl w:val="9"/>
        <w:rPr>
          <w:rFonts w:hint="default" w:ascii="Times New Roman" w:hAnsi="Times New Roman" w:eastAsia="楷体" w:cs="Times New Roman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四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）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落实企业主体责任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u w:val="none"/>
          <w:lang w:val="en-US" w:eastAsia="zh-CN" w:bidi="ar-SA"/>
        </w:rPr>
        <w:t>深入贯彻落实《企业落实食品安全主体责任监督管理规定》，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督促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生产经营者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u w:val="none"/>
          <w:lang w:val="en-US" w:eastAsia="zh-CN"/>
        </w:rPr>
        <w:t>建立主要负责人负总责，食品安全总监、食品安全员分级负责的食品安全责任体系，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建立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风险管控清单，健全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“日管控、周排查、月调度”工作机制，精准防控风险隐患</w:t>
      </w:r>
      <w:r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  <w:t>。积极探索建立“互联网</w:t>
      </w:r>
      <w:r>
        <w:rPr>
          <w:rFonts w:hint="eastAsia" w:ascii="Times New Roman" w:hAnsi="Times New Roman" w:cs="Times New Roman"/>
          <w:sz w:val="32"/>
          <w:szCs w:val="32"/>
          <w:u w:val="none"/>
          <w:lang w:val="en-US" w:eastAsia="zh-CN"/>
        </w:rPr>
        <w:t>+企业主体责任</w:t>
      </w:r>
      <w:r>
        <w:rPr>
          <w:rFonts w:hint="eastAsia" w:ascii="Times New Roman" w:hAnsi="Times New Roman" w:cs="Times New Roman"/>
          <w:sz w:val="32"/>
          <w:szCs w:val="32"/>
          <w:u w:val="none"/>
          <w:lang w:eastAsia="zh-CN"/>
        </w:rPr>
        <w:t>”平台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市场监管局）。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u w:val="none"/>
          <w:lang w:val="en-US" w:eastAsia="zh-CN"/>
        </w:rPr>
        <w:t>对农产品生产主体实施风险分级动态管理。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加强屠宰行业管理，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督促屠宰企业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严格落实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产品质量安全主体责任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农业农村局）。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auto"/>
        </w:rPr>
        <w:t>贯彻落实新修订《农产品质量安全法》，实施食用农产品承诺达标合格证制度，强化农产品产地准出和市场准入有效衔接</w:t>
      </w:r>
      <w:r>
        <w:rPr>
          <w:rFonts w:hint="default" w:ascii="Times New Roman" w:hAnsi="Times New Roman" w:eastAsia="楷体" w:cs="Times New Roman"/>
          <w:bCs/>
          <w:color w:val="auto"/>
          <w:kern w:val="0"/>
          <w:sz w:val="32"/>
          <w:szCs w:val="32"/>
          <w:u w:val="none"/>
          <w:lang w:eastAsia="zh-CN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农业农村局牵头，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市场监管局配合）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u w:val="none"/>
          <w:lang w:val="en-US" w:eastAsia="zh-CN" w:bidi="ar-SA"/>
        </w:rPr>
        <w:t>督促粮食收储企业落实粮食质量安全主体 责任，规范经营行为，严格执行粮食质量安全管理制度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粮食物资储备中心）。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highlight w:val="none"/>
          <w:u w:val="none"/>
          <w:lang w:val="en-US" w:eastAsia="zh-CN"/>
        </w:rPr>
        <w:t>三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u w:val="none"/>
          <w:lang w:val="en-US" w:eastAsia="zh-CN"/>
        </w:rPr>
        <w:t>、加强全过程质量安全控制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五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）强化产地环境治理。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/>
          <w:lang w:val="en-US" w:eastAsia="zh-CN"/>
        </w:rPr>
        <w:t>进一步净化产地环境，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40"/>
          <w:u w:val="none"/>
          <w:lang w:val="en-US" w:eastAsia="zh-CN"/>
        </w:rPr>
        <w:t>加强耕地土壤污染源头防控，深入开展耕地土壤重金属污染成因排查，持续推进农用地土壤镉等重金属污染源头防治行动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生态环境局）。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落实耕地分类管理制度，优化完善轻中度污染耕地安全利用措施，加强技术指导，有效管控耕地土壤污染风险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农业农村局）。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0" w:lineRule="exact"/>
        <w:ind w:left="0" w:leftChars="0"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六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）规范农业投入品使用。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/>
          <w:lang w:eastAsia="zh-CN"/>
        </w:rPr>
        <w:t>持续深入实施食用农产品“ 治违禁、控药残、促提升” 三年行动，聚焦12个重点品种，严打禁限用药物违法使用，严控常规药物残留超标。开展豇豆农药残留突出问题攻坚治理，加密上市期巡查检查和抽检频次。组织实施养殖规范用药专项整治行动。对克百威、灭多威、涕灭威、氧乐果等4种高毒农药采取禁用管理措施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农业农村局牵头，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法院、检察院、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公安局、市场监管局、卫生健康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局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按职责分工负责）。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0" w:lineRule="exact"/>
        <w:ind w:firstLine="640" w:firstLineChars="200"/>
        <w:jc w:val="both"/>
        <w:rPr>
          <w:rFonts w:hint="default" w:ascii="Times New Roman" w:hAnsi="Times New Roman" w:eastAsia="楷体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七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）严把粮食质量安全关。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加大对政策性粮食出入库监督检查力度，严格落实出库质量安全检验制度，严防不符合食品安全标准的粮食用作食用用途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县发改局、县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粮食物资储备中心按职责分工负责）。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加大粮食市场监管力度，严肃查处粮食销售等环节违法行为</w:t>
      </w:r>
      <w:r>
        <w:rPr>
          <w:rFonts w:hint="eastAsia" w:ascii="Times New Roman" w:hAnsi="Times New Roman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县市场监管局</w:t>
      </w:r>
      <w:r>
        <w:rPr>
          <w:rFonts w:hint="eastAsia" w:ascii="Times New Roman" w:hAnsi="Times New Roman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）。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0" w:lineRule="exact"/>
        <w:ind w:firstLine="640" w:firstLineChars="200"/>
        <w:jc w:val="both"/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八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）加大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流通领域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监管力度。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eastAsia="zh-CN"/>
        </w:rPr>
        <w:t>加强食品生产安全风险隐患排查，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u w:val="none"/>
          <w:shd w:val="clear" w:color="auto" w:fill="auto"/>
          <w:lang w:eastAsia="zh-CN"/>
        </w:rPr>
        <w:t>按照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u w:val="none"/>
          <w:shd w:val="clear" w:color="auto" w:fill="auto"/>
        </w:rPr>
        <w:t>“一企一档”“一域一档”“一品一策”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u w:val="none"/>
          <w:shd w:val="clear" w:color="auto" w:fill="auto"/>
          <w:lang w:eastAsia="zh-CN"/>
        </w:rPr>
        <w:t>原则，推动地方建立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u w:val="none"/>
          <w:shd w:val="clear" w:color="auto" w:fill="auto"/>
        </w:rPr>
        <w:t>风险清单、措施清单和责任清单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none"/>
          <w:shd w:val="clear" w:color="auto" w:fill="auto"/>
          <w:lang w:eastAsia="zh-CN"/>
        </w:rPr>
        <w:t>。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u w:val="none"/>
          <w:lang w:val="en-US" w:eastAsia="zh-CN" w:bidi="ar-SA"/>
        </w:rPr>
        <w:t>严格按照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u w:val="none"/>
          <w:lang w:val="en-US" w:eastAsia="zh-CN" w:bidi="ar-SA"/>
        </w:rPr>
        <w:t>大型食品销售企业体系检查指南，深入开展体系检查工作。推动贯彻落实《食品相关产品质量安全监督管理暂行办法》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市场监管局）。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  <w:t>督促冷链运输企业严格执行相关运输管理制度，加强对冷链运输过程监管，提升冷链运输服务品质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交通运输局）。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highlight w:val="none"/>
          <w:u w:val="none"/>
          <w:lang w:val="en-US" w:eastAsia="zh-CN"/>
        </w:rPr>
        <w:t>四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u w:val="none"/>
          <w:lang w:val="en-US" w:eastAsia="zh-CN"/>
        </w:rPr>
        <w:t>、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highlight w:val="none"/>
          <w:u w:val="none"/>
          <w:lang w:val="en-US" w:eastAsia="zh-CN"/>
        </w:rPr>
        <w:t>深化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u w:val="none"/>
          <w:lang w:val="en-US" w:eastAsia="zh-CN"/>
        </w:rPr>
        <w:t>重点领域监管</w:t>
      </w:r>
    </w:p>
    <w:p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7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九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）严格特殊食品监管。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特殊食品经营单位检查覆盖率达到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100%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持续深化母婴用品店特殊食品规范经营行动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市场监管局）。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auto"/>
          <w:vertAlign w:val="baseline"/>
          <w:lang w:eastAsia="zh-CN"/>
        </w:rPr>
        <w:t>巩固保健食品行业专项清理整治成果，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auto"/>
          <w:vertAlign w:val="baseline"/>
          <w:lang w:eastAsia="zh-CN"/>
        </w:rPr>
        <w:t>持续推进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保健食品行业专项清理整治行动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auto"/>
          <w:lang w:val="en-US" w:eastAsia="zh-CN"/>
        </w:rPr>
        <w:t>促进保健食品行业规范、健康发展。强化保健食品会销事前和事中规范，突出惩治会销违法行为，促进保健食品会销行为的规范。积极探索开展保健食品会销沙盒监管试点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auto"/>
          <w:lang w:val="en-US" w:eastAsia="zh-CN"/>
        </w:rPr>
        <w:t>。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市场监管局牵头，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委宣传部、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公安局、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文体旅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局、卫生健康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局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按职责分工负责）。</w:t>
      </w:r>
    </w:p>
    <w:p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0" w:lineRule="exact"/>
        <w:ind w:firstLine="640" w:firstLineChars="200"/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十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）提升餐饮质量安全。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</w:rPr>
        <w:t>支持餐饮服务企业发展连锁经营和中央厨房，提升餐饮行业标准化水平，规范快餐、团餐等大众餐饮服务。鼓励餐饮外卖对配送食品进行封签。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探索推广厨余垃圾处理技术和标准，指导地方提升厨余垃圾无害化处理和资源化利用水平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发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改局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、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文体旅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局、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综合执法局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、市场监管局按职责分工负责）。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十一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）加强校园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、养老机构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食品安全监管。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全面落实学校食品安全校长（园长）责任制</w:t>
      </w:r>
      <w:r>
        <w:rPr>
          <w:rFonts w:hint="eastAsia" w:ascii="Times New Roman" w:hAnsi="Times New Roman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，</w:t>
      </w:r>
      <w:r>
        <w:rPr>
          <w:rFonts w:hint="eastAsia" w:hAnsi="宋体" w:cs="Times New Roman"/>
          <w:kern w:val="2"/>
          <w:szCs w:val="30"/>
          <w:u w:val="none"/>
        </w:rPr>
        <w:t>配备食品安全总监、食品安全员，推进中小学午餐服务能力和治理体系现代化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32"/>
          <w:szCs w:val="32"/>
          <w:u w:val="none"/>
          <w:lang w:val="en-US" w:eastAsia="zh-CN"/>
        </w:rPr>
        <w:t>组织开展开学季</w:t>
      </w:r>
      <w:r>
        <w:rPr>
          <w:rStyle w:val="23"/>
          <w:rFonts w:hint="default" w:ascii="Times New Roman" w:hAnsi="Times New Roman" w:eastAsia="仿宋_GB2312" w:cs="Times New Roman"/>
          <w:i w:val="0"/>
          <w:iCs w:val="0"/>
          <w:kern w:val="0"/>
          <w:sz w:val="32"/>
          <w:szCs w:val="32"/>
          <w:u w:val="none"/>
          <w:lang w:val="en-US" w:eastAsia="zh-CN"/>
        </w:rPr>
        <w:t>校园及周边食品安全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32"/>
          <w:szCs w:val="32"/>
          <w:u w:val="none"/>
          <w:lang w:val="en-US" w:eastAsia="zh-CN"/>
        </w:rPr>
        <w:t>全覆盖</w:t>
      </w:r>
      <w:r>
        <w:rPr>
          <w:rStyle w:val="23"/>
          <w:rFonts w:hint="default" w:ascii="Times New Roman" w:hAnsi="Times New Roman" w:eastAsia="仿宋_GB2312" w:cs="Times New Roman"/>
          <w:i w:val="0"/>
          <w:iCs w:val="0"/>
          <w:kern w:val="0"/>
          <w:sz w:val="32"/>
          <w:szCs w:val="32"/>
          <w:u w:val="none"/>
          <w:lang w:val="en-US" w:eastAsia="zh-CN"/>
        </w:rPr>
        <w:t>风险隐患排查。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推进学校食堂“互联网+明厨亮灶”覆盖率达到100%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市场监管局、教育局、卫生健康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局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按职责分工负责）。</w:t>
      </w:r>
      <w:r>
        <w:rPr>
          <w:rFonts w:hint="eastAsia" w:ascii="仿宋" w:hAnsi="仿宋" w:eastAsia="仿宋" w:cs="仿宋"/>
          <w:sz w:val="32"/>
          <w:szCs w:val="32"/>
          <w:u w:val="none"/>
        </w:rPr>
        <w:t>督促养老机构落实</w:t>
      </w:r>
      <w:r>
        <w:rPr>
          <w:rFonts w:hint="eastAsia" w:eastAsia="仿宋" w:cs="仿宋"/>
          <w:sz w:val="32"/>
          <w:szCs w:val="32"/>
          <w:u w:val="none"/>
          <w:lang w:eastAsia="zh-CN"/>
        </w:rPr>
        <w:t>食品安全</w:t>
      </w:r>
      <w:r>
        <w:rPr>
          <w:rFonts w:hint="eastAsia" w:ascii="仿宋" w:hAnsi="仿宋" w:eastAsia="仿宋" w:cs="仿宋"/>
          <w:sz w:val="32"/>
          <w:szCs w:val="32"/>
          <w:u w:val="none"/>
        </w:rPr>
        <w:t>主体责任，严格规范</w:t>
      </w:r>
      <w:r>
        <w:rPr>
          <w:rFonts w:hint="eastAsia" w:eastAsia="仿宋" w:cs="仿宋"/>
          <w:sz w:val="32"/>
          <w:szCs w:val="32"/>
          <w:u w:val="none"/>
          <w:lang w:eastAsia="zh-CN"/>
        </w:rPr>
        <w:t>人员管理、</w:t>
      </w:r>
      <w:r>
        <w:rPr>
          <w:rFonts w:hint="eastAsia" w:ascii="仿宋" w:hAnsi="仿宋" w:eastAsia="仿宋" w:cs="仿宋"/>
          <w:sz w:val="32"/>
          <w:szCs w:val="32"/>
          <w:u w:val="none"/>
        </w:rPr>
        <w:t>许可资质、流程布局、环境卫生、设施设备等条件</w:t>
      </w:r>
      <w:r>
        <w:rPr>
          <w:rFonts w:hint="eastAsia" w:eastAsia="仿宋" w:cs="仿宋"/>
          <w:sz w:val="32"/>
          <w:szCs w:val="32"/>
          <w:u w:val="none"/>
          <w:lang w:val="en-US" w:eastAsia="zh-CN"/>
        </w:rPr>
        <w:t>(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县民政局、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市场监管局按职责分工负责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）</w:t>
      </w:r>
      <w:r>
        <w:rPr>
          <w:rFonts w:hint="eastAsia" w:ascii="仿宋" w:hAnsi="仿宋" w:eastAsia="仿宋" w:cs="仿宋"/>
          <w:sz w:val="32"/>
          <w:szCs w:val="32"/>
          <w:u w:val="none"/>
        </w:rPr>
        <w:t>。</w:t>
      </w:r>
    </w:p>
    <w:p>
      <w:pPr>
        <w:pStyle w:val="31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70" w:lineRule="exact"/>
        <w:ind w:firstLine="640" w:firstLineChars="200"/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十二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）聚焦重点品种监管。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u w:val="none"/>
          <w:shd w:val="clear" w:color="auto" w:fill="auto"/>
        </w:rPr>
        <w:t>督促食品生产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u w:val="none"/>
          <w:shd w:val="clear" w:color="auto" w:fill="auto"/>
          <w:lang w:eastAsia="zh-CN"/>
        </w:rPr>
        <w:t>经营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u w:val="none"/>
          <w:shd w:val="clear" w:color="auto" w:fill="auto"/>
        </w:rPr>
        <w:t>者严格按照食品安全国家标准生产和使用食品添加剂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u w:val="none"/>
          <w:shd w:val="clear" w:color="auto" w:fill="auto"/>
          <w:lang w:eastAsia="zh-CN"/>
        </w:rPr>
        <w:t>。持续加强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u w:val="none"/>
          <w:shd w:val="clear" w:color="auto" w:fill="auto"/>
        </w:rPr>
        <w:t>超范围和超限量使用食品添加剂问题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u w:val="none"/>
          <w:shd w:val="clear" w:color="auto" w:fill="auto"/>
          <w:lang w:eastAsia="zh-CN"/>
        </w:rPr>
        <w:t>治理，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u w:val="none"/>
          <w:shd w:val="clear" w:color="auto" w:fill="auto"/>
        </w:rPr>
        <w:t>严厉打击非法添加及生产销售假冒食品添加剂等违法行为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u w:val="none"/>
          <w:shd w:val="clear" w:color="auto" w:fill="auto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  <w:t>制定加强食用植物油质量安全监管的指导意见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市场监管局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）。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  <w:t>推进食盐专营管理和食盐定点企业到期换证工作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经信局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）。</w:t>
      </w:r>
    </w:p>
    <w:p>
      <w:pPr>
        <w:pStyle w:val="31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70" w:lineRule="exact"/>
        <w:ind w:firstLine="640" w:firstLineChars="200"/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十三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）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强化集体性聚餐管理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。</w:t>
      </w:r>
      <w:r>
        <w:rPr>
          <w:rFonts w:hint="eastAsia" w:eastAsia="仿宋_GB2312"/>
          <w:kern w:val="0"/>
          <w:sz w:val="32"/>
          <w:szCs w:val="32"/>
          <w:u w:val="none"/>
          <w:lang w:val="en-US" w:eastAsia="zh-CN"/>
        </w:rPr>
        <w:t>各乡镇严格按照《四川省农村集体聚餐食品安全管理办法</w:t>
      </w:r>
      <w:r>
        <w:rPr>
          <w:rFonts w:hint="eastAsia" w:eastAsia="仿宋_GB2312"/>
          <w:kern w:val="0"/>
          <w:sz w:val="32"/>
          <w:szCs w:val="32"/>
          <w:u w:val="none"/>
        </w:rPr>
        <w:t>》</w:t>
      </w:r>
      <w:r>
        <w:rPr>
          <w:rFonts w:hint="eastAsia" w:eastAsia="仿宋_GB2312"/>
          <w:kern w:val="0"/>
          <w:sz w:val="32"/>
          <w:szCs w:val="32"/>
          <w:u w:val="none"/>
          <w:lang w:eastAsia="zh-CN"/>
        </w:rPr>
        <w:t>要求，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 w:bidi="ar"/>
        </w:rPr>
        <w:t>对每餐次就餐人数100人以上的农村集体聚餐实行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 w:bidi="ar"/>
        </w:rPr>
        <w:t>申报备案制度，开展现场监督检查，并全面</w:t>
      </w:r>
      <w:r>
        <w:rPr>
          <w:rFonts w:hint="eastAsia" w:eastAsia="仿宋_GB2312"/>
          <w:kern w:val="0"/>
          <w:sz w:val="32"/>
          <w:szCs w:val="32"/>
          <w:u w:val="none"/>
          <w:lang w:eastAsia="zh-CN"/>
        </w:rPr>
        <w:t>加强</w:t>
      </w:r>
      <w:r>
        <w:rPr>
          <w:rFonts w:hint="eastAsia" w:eastAsia="仿宋_GB2312"/>
          <w:kern w:val="0"/>
          <w:sz w:val="32"/>
          <w:szCs w:val="32"/>
          <w:u w:val="none"/>
        </w:rPr>
        <w:t>协管员、</w:t>
      </w:r>
      <w:r>
        <w:rPr>
          <w:rFonts w:hint="eastAsia" w:eastAsia="仿宋_GB2312"/>
          <w:kern w:val="0"/>
          <w:sz w:val="32"/>
          <w:szCs w:val="32"/>
          <w:u w:val="none"/>
          <w:lang w:eastAsia="zh-CN"/>
        </w:rPr>
        <w:t>乡厨</w:t>
      </w:r>
      <w:r>
        <w:rPr>
          <w:rFonts w:hint="eastAsia" w:eastAsia="仿宋_GB2312"/>
          <w:kern w:val="0"/>
          <w:sz w:val="32"/>
          <w:szCs w:val="32"/>
          <w:u w:val="none"/>
        </w:rPr>
        <w:t>的业务培训</w:t>
      </w:r>
      <w:r>
        <w:rPr>
          <w:rFonts w:hint="eastAsia" w:eastAsia="仿宋_GB2312"/>
          <w:kern w:val="0"/>
          <w:sz w:val="32"/>
          <w:szCs w:val="32"/>
          <w:u w:val="none"/>
          <w:lang w:eastAsia="zh-CN"/>
        </w:rPr>
        <w:t>指导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各乡镇人民政府）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jc w:val="left"/>
        <w:rPr>
          <w:rFonts w:hint="default" w:ascii="Times New Roman" w:hAnsi="Times New Roman" w:cs="Times New Roman"/>
          <w:u w:val="none"/>
        </w:rPr>
      </w:pPr>
      <w:r>
        <w:rPr>
          <w:rFonts w:hint="default" w:ascii="Times New Roman" w:hAnsi="Times New Roman" w:eastAsia="楷体" w:cs="Times New Roman"/>
          <w:color w:val="auto"/>
          <w:sz w:val="32"/>
          <w:szCs w:val="32"/>
          <w:u w:val="none"/>
          <w:shd w:val="clear" w:color="auto" w:fill="auto"/>
          <w:lang w:eastAsia="zh-CN"/>
        </w:rPr>
        <w:t>（</w:t>
      </w:r>
      <w:r>
        <w:rPr>
          <w:rFonts w:hint="eastAsia" w:ascii="Times New Roman" w:hAnsi="Times New Roman" w:eastAsia="楷体" w:cs="Times New Roman"/>
          <w:color w:val="auto"/>
          <w:sz w:val="32"/>
          <w:szCs w:val="32"/>
          <w:u w:val="none"/>
          <w:shd w:val="clear" w:color="auto" w:fill="auto"/>
          <w:lang w:eastAsia="zh-CN"/>
        </w:rPr>
        <w:t>十四</w:t>
      </w:r>
      <w:r>
        <w:rPr>
          <w:rFonts w:hint="default" w:ascii="Times New Roman" w:hAnsi="Times New Roman" w:eastAsia="楷体" w:cs="Times New Roman"/>
          <w:color w:val="auto"/>
          <w:sz w:val="32"/>
          <w:szCs w:val="32"/>
          <w:u w:val="none"/>
          <w:shd w:val="clear" w:color="auto" w:fill="auto"/>
          <w:lang w:eastAsia="zh-CN"/>
        </w:rPr>
        <w:t>）推进反食品浪费工作。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u w:val="none"/>
          <w:shd w:val="clear" w:color="auto" w:fill="auto"/>
        </w:rPr>
        <w:t>发布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u w:val="none"/>
          <w:shd w:val="clear" w:color="auto" w:fill="auto"/>
          <w:lang w:eastAsia="zh-CN"/>
        </w:rPr>
        <w:t>防止和减少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u w:val="none"/>
          <w:shd w:val="clear" w:color="auto" w:fill="auto"/>
        </w:rPr>
        <w:t>餐饮浪费公告</w:t>
      </w:r>
      <w:r>
        <w:rPr>
          <w:rFonts w:hint="eastAsia" w:ascii="Times New Roman" w:hAnsi="Times New Roman" w:cs="Times New Roman"/>
          <w:b w:val="0"/>
          <w:i w:val="0"/>
          <w:caps w:val="0"/>
          <w:color w:val="000000"/>
          <w:spacing w:val="0"/>
          <w:sz w:val="32"/>
          <w:szCs w:val="32"/>
          <w:u w:val="none"/>
          <w:shd w:val="clear" w:color="auto" w:fill="auto"/>
          <w:lang w:eastAsia="zh-CN"/>
        </w:rPr>
        <w:t>，广泛开展制止餐饮浪费宣传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发改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局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、文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体旅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局、市场监管局按职责分工负责）。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u w:val="none"/>
          <w:shd w:val="clear" w:color="auto" w:fill="auto"/>
        </w:rPr>
        <w:t>研究建立餐饮行业反食品浪费制度规范，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u w:val="none"/>
          <w:shd w:val="clear" w:color="auto" w:fill="auto"/>
          <w:lang w:eastAsia="zh-CN"/>
        </w:rPr>
        <w:t>推动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u w:val="none"/>
          <w:shd w:val="clear" w:color="auto" w:fill="auto"/>
        </w:rPr>
        <w:t>将防止食品浪费要求纳入有关国家标准、行业标准和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u w:val="none"/>
          <w:shd w:val="clear" w:color="auto" w:fill="auto"/>
          <w:lang w:eastAsia="zh-CN"/>
        </w:rPr>
        <w:t>地方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u w:val="none"/>
          <w:shd w:val="clear" w:color="auto" w:fill="auto"/>
        </w:rPr>
        <w:t>标准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县文体旅局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牵头，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市场监管局配合）。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u w:val="none"/>
          <w:lang w:val="en-US" w:eastAsia="zh-CN"/>
        </w:rPr>
        <w:t>加强政策性粮食流通过程中的节粮减损指导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粮食物资储备中心）。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u w:val="none"/>
          <w:lang w:val="en-US" w:eastAsia="zh-CN" w:bidi="ar-SA"/>
        </w:rPr>
        <w:t>督促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食品销售企业严格落实临近保质期食品销售要求。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u w:val="none"/>
          <w:shd w:val="clear" w:color="auto" w:fill="auto"/>
          <w:lang w:eastAsia="zh-CN"/>
        </w:rPr>
        <w:t>以婚宴、自助餐为重点加强监管执法。采用捐赠、拍卖、义卖等方式，提升食品抽检合格备份样品再利用效率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市场监管局）。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u w:val="none"/>
          <w:shd w:val="clear" w:color="auto" w:fill="auto"/>
          <w:lang w:eastAsia="zh-CN"/>
        </w:rPr>
        <w:t>加强反食品浪费宣传，倡导节俭风尚，推广典型经验，曝光负面案例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委宣传部、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发改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局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、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文体旅局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、市场监管局按职责分工负责）。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u w:val="none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sz w:val="32"/>
          <w:szCs w:val="32"/>
          <w:u w:val="none"/>
          <w:lang w:val="en-US" w:eastAsia="zh-CN"/>
        </w:rPr>
        <w:t>、保持高压严打态势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（十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五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）严厉打击违法犯罪。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深入开展“铁拳”</w:t>
      </w:r>
      <w:r>
        <w:rPr>
          <w:rFonts w:hint="eastAsia" w:ascii="Times New Roman" w:hAnsi="Times New Roman" w:cs="Times New Roman"/>
          <w:color w:val="auto"/>
          <w:sz w:val="32"/>
          <w:szCs w:val="32"/>
          <w:u w:val="none"/>
          <w:lang w:val="en-US" w:eastAsia="zh-CN"/>
        </w:rPr>
        <w:t>“春雷”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行动，聚焦重点领域查办一批违法案件，严打重处性质恶劣的违法行为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vertAlign w:val="baseli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vertAlign w:val="baseline"/>
          <w:lang w:val="en-US"/>
        </w:rPr>
        <w:t>落实“处罚到人”要求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vertAlign w:val="baseline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vertAlign w:val="baseline"/>
          <w:lang w:eastAsia="zh-CN"/>
        </w:rPr>
        <w:t>依法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vertAlign w:val="baseline"/>
          <w:lang w:val="en-US"/>
        </w:rPr>
        <w:t>实施行业禁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vertAlign w:val="baseline"/>
          <w:lang w:val="en-US" w:eastAsia="zh-CN"/>
        </w:rPr>
        <w:t>入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市场监管局）。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vertAlign w:val="baseline"/>
          <w:lang w:eastAsia="zh-CN"/>
        </w:rPr>
        <w:t>开展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/>
        </w:rPr>
        <w:t>“昆仑”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专项行动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，突出打击食用农产品领域多发性“潜规则”、食品非法添加，以及餐饮环节制售劣质食品、不符合食品安全标准食品违法犯罪活动。组织非法添加新型化学衍生物犯罪集中破案攻坚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公安局）。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开展进口食品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/>
        </w:rPr>
        <w:t>“国门守护”行动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严厉打击冻品、农产品等走私违法犯罪活动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公安局、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文体旅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局按职责分工负责）。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/>
        </w:rPr>
        <w:t>严厉打击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使用禁限用药物、私屠滥宰、屠宰病死畜禽等违法违规行为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农业农村局）。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完善农产品质量安全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、市场监督管理等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领域行刑衔接工作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机制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法院、检察院、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公安局、农业农村局、市场监管局按职责分工负责）。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u w:val="none"/>
          <w:lang w:val="en-US" w:eastAsia="zh-CN" w:bidi="ar-SA"/>
        </w:rPr>
        <w:t>深化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食品安全民事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u w:val="none"/>
          <w:lang w:val="en-US" w:eastAsia="zh-CN" w:bidi="ar-SA"/>
        </w:rPr>
        <w:t>公益诉讼惩罚性赔偿制度研究，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开展实践探索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检察院牵头，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法院、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农业农村局、市场监管局按职责分工负责）。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0" w:lineRule="exact"/>
        <w:ind w:firstLine="640" w:firstLineChars="200"/>
        <w:textAlignment w:val="auto"/>
        <w:rPr>
          <w:rFonts w:hint="default" w:ascii="Times New Roman" w:hAnsi="Times New Roman" w:eastAsia="楷体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（十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六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）强化信用联合惩戒。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建立完善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eastAsia="zh-CN"/>
        </w:rPr>
        <w:t>食品生产经营企业信用档案。实行食品生产经营企业信用分级分类管理。将行政许可、行政处罚等纳入国家企业信用信息公示系统，依法将相关市场主体列入严重违法失信名单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县市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场监管局）。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推动食品工业诚信体系建设，开展食品饮料工业企业诚信体系建设培训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经信局）。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u w:val="none"/>
          <w:lang w:val="en-US" w:eastAsia="zh-CN"/>
        </w:rPr>
        <w:t>六</w:t>
      </w:r>
      <w:r>
        <w:rPr>
          <w:rFonts w:hint="default" w:ascii="Times New Roman" w:hAnsi="Times New Roman" w:eastAsia="黑体" w:cs="Times New Roman"/>
          <w:sz w:val="32"/>
          <w:szCs w:val="32"/>
          <w:u w:val="none"/>
          <w:lang w:val="en-US" w:eastAsia="zh-CN"/>
        </w:rPr>
        <w:t>、提高</w:t>
      </w:r>
      <w:r>
        <w:rPr>
          <w:rFonts w:hint="eastAsia" w:ascii="Times New Roman" w:hAnsi="Times New Roman" w:eastAsia="黑体" w:cs="Times New Roman"/>
          <w:sz w:val="32"/>
          <w:szCs w:val="32"/>
          <w:u w:val="none"/>
          <w:lang w:val="en-US" w:eastAsia="zh-CN"/>
        </w:rPr>
        <w:t>现代化治理</w:t>
      </w:r>
      <w:r>
        <w:rPr>
          <w:rFonts w:hint="default" w:ascii="Times New Roman" w:hAnsi="Times New Roman" w:eastAsia="黑体" w:cs="Times New Roman"/>
          <w:sz w:val="32"/>
          <w:szCs w:val="32"/>
          <w:u w:val="none"/>
          <w:lang w:val="en-US" w:eastAsia="zh-CN"/>
        </w:rPr>
        <w:t>能力</w:t>
      </w:r>
    </w:p>
    <w:p>
      <w:pPr>
        <w:pStyle w:val="3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0" w:lineRule="exact"/>
        <w:ind w:firstLine="675"/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（十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七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）提升风险评估与抽检监测水平。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shd w:val="clear" w:color="auto" w:fill="auto"/>
          <w:lang w:val="en-US" w:eastAsia="zh-CN"/>
        </w:rPr>
        <w:t>加强食品安全风险监测结果部门通报会商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卫生健康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局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）。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auto"/>
          <w:lang w:eastAsia="zh-CN"/>
        </w:rPr>
        <w:t>市场监管部门食品抽检量达到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auto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auto"/>
          <w:lang w:val="en-US" w:eastAsia="zh-CN"/>
        </w:rPr>
        <w:t>批次/千人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auto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选择重点品种项目，探索开展延伸性监测。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u w:val="none"/>
          <w:shd w:val="clear" w:color="auto" w:fill="FFFFFF"/>
          <w:lang w:val="en-US" w:eastAsia="zh-CN" w:bidi="ar-SA"/>
        </w:rPr>
        <w:t>加强食品相关产品监督抽查和风险监测。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u w:val="none"/>
          <w:shd w:val="clear" w:color="auto" w:fill="FFFFFF"/>
          <w:lang w:val="en-US" w:eastAsia="zh-CN" w:bidi="ar-SA"/>
        </w:rPr>
        <w:t>推动“你点我检”常态化、规范化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市场监管局）。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强化农产品质量安全风险监测，将小品种纳入监测和整治范围。种养殖环节农产品质量安全定量检测量达到1.2批次/千人。聚焦粮食和重要农产品有效供给开展专项风险评估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农业农村局）。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强化粮食质量安全检验监测体系建设，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u w:val="none"/>
          <w:lang w:val="en-US" w:eastAsia="zh-CN" w:bidi="ar-SA"/>
        </w:rPr>
        <w:t>提升粮食检验监测能力。按照省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u w:val="none"/>
          <w:lang w:val="en-US" w:eastAsia="zh-CN" w:bidi="ar-SA"/>
        </w:rPr>
        <w:t>统一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u w:val="none"/>
          <w:lang w:val="en-US" w:eastAsia="zh-CN" w:bidi="ar-SA"/>
        </w:rPr>
        <w:t>安排，实施粮食质量安全风险监测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粮食物资储备中心）。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u w:val="none"/>
          <w:shd w:val="clear" w:color="auto" w:fill="FFFFFF"/>
          <w:lang w:val="en-US" w:eastAsia="zh-CN" w:bidi="ar-SA"/>
        </w:rPr>
        <w:t>贯彻落实省级食用林产品质量安全监测指导性意见，推动提升食用林产品检验检测能力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林业局）。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（十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八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）推进智慧监管。</w:t>
      </w:r>
      <w:r>
        <w:rPr>
          <w:rFonts w:hint="eastAsia" w:ascii="Times New Roman" w:hAnsi="Times New Roman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积极推进“三小”备案系统，有效利用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“食安乐山”智慧监管平台，探索推进食品安全智慧监管，推动食品安全监管档案、监督检查、风险分级、培训考核、安全自查信息化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市场监管局）。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加强食源性疾病上报工作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卫生健康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局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）。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继续开展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“阳光农安”试点工作，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推进生产记录便捷化、电子化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农业农村局）。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部署食品安全智慧监管与控制关键技术研究，提升食品安全精细化主动防控水平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县发改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局）。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eastAsia="zh-CN"/>
        </w:rPr>
        <w:t>推进食用农产品全程追溯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农业农村局、经信局、市场监管局按职责分工负责）。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left"/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（十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九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）强化技术支撑。</w:t>
      </w:r>
      <w:r>
        <w:rPr>
          <w:rStyle w:val="23"/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/>
        </w:rPr>
        <w:t>稳定和加强农产品质量安全检验检测体系，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深入实施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县级农产品质量安全检测机构能力提升三年行动。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none"/>
        </w:rPr>
        <w:t>集成推广绿色防控技术，从源头降低农药使用安全风险。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积极推广常规农药快检技术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农业农村局）。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/>
          <w:lang w:val="en-US" w:eastAsia="zh-CN"/>
        </w:rPr>
        <w:t>大力推进食品安全关键技术研发，加强相关科技创新基地平台建设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县发改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局、市场监管局按职责分工负责）。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left"/>
        <w:rPr>
          <w:rFonts w:hint="default" w:ascii="Times New Roman" w:hAnsi="Times New Roman" w:eastAsia="楷体" w:cs="Times New Roman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（二十）推进农贸市场规范提升。</w:t>
      </w:r>
      <w:r>
        <w:rPr>
          <w:rFonts w:hint="eastAsia" w:hAnsi="宋体" w:cs="Times New Roman"/>
          <w:kern w:val="2"/>
          <w:szCs w:val="30"/>
          <w:u w:val="none"/>
        </w:rPr>
        <w:t>加强农贸市场行业管理和食品安全监督管理，强化农贸市场食品安全主体责任和管理能力。督促农贸市场、超市卖场全面建立食品安全检查员和食品安全信息公示制度，加强食用农产品合格证等票证查验和食品安全信息追溯管理。推动</w:t>
      </w:r>
      <w:r>
        <w:rPr>
          <w:rFonts w:hint="eastAsia" w:hAnsi="宋体" w:cs="Times New Roman"/>
          <w:kern w:val="2"/>
          <w:szCs w:val="30"/>
          <w:u w:val="none"/>
          <w:lang w:eastAsia="zh-CN"/>
        </w:rPr>
        <w:t>农贸市场建设食品安全快速监测设施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市场监管局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、文体旅局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按职责分工负责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）。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0" w:lineRule="exact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highlight w:val="none"/>
          <w:u w:val="none"/>
          <w:lang w:val="en-US" w:eastAsia="zh-CN"/>
        </w:rPr>
        <w:t>七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u w:val="none"/>
          <w:lang w:val="en-US" w:eastAsia="zh-CN"/>
        </w:rPr>
        <w:t>、推动食品产业高质量发展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0" w:lineRule="exact"/>
        <w:ind w:firstLine="640" w:firstLineChars="200"/>
        <w:textAlignment w:val="auto"/>
        <w:rPr>
          <w:rFonts w:hint="default" w:ascii="Times New Roman" w:hAnsi="Times New Roman" w:eastAsia="楷体" w:cs="Times New Roman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二十一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）促进产业转型升级。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/>
          <w:lang w:eastAsia="zh-CN"/>
        </w:rPr>
        <w:t>建立优质农产品生产基地目录制度，扩大绿色优质农产品生产。深入开展屠宰企业撤停并转，加快淘汰落后产能和技术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农业农村局）。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围绕川菜预制菜产业、饮料产业，确立</w:t>
      </w:r>
      <w:r>
        <w:rPr>
          <w:rFonts w:hint="eastAsia" w:ascii="Times New Roman" w:hAnsi="Times New Roman" w:cs="Times New Roman"/>
          <w:color w:val="auto"/>
          <w:sz w:val="32"/>
          <w:szCs w:val="32"/>
          <w:u w:val="none"/>
          <w:lang w:val="en-US" w:eastAsia="zh-CN"/>
        </w:rPr>
        <w:t>峨边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特色食品产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  <w:t>业重点培育优势产区、核心产业链。推动食品工业的预制化发展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经信局、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文体旅局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按职责分工负责）。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  <w:t>开展“千企万坊”帮扶行动，促进企业建设高标准食品安全管理体系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市场监管局）。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left"/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二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十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二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）推广食品安全责任保险。</w:t>
      </w:r>
      <w:r>
        <w:rPr>
          <w:rFonts w:hint="default" w:hAnsi="宋体" w:cs="Times New Roman"/>
          <w:kern w:val="2"/>
          <w:szCs w:val="30"/>
          <w:u w:val="none"/>
          <w:lang w:val="en-US" w:eastAsia="zh-CN"/>
        </w:rPr>
        <w:t>优化食品安全责任保险政策环境，鼓励和支持食品企业购买食品安全责任保险，推动地方健全食品安全责任保险工作机制</w:t>
      </w:r>
      <w:r>
        <w:rPr>
          <w:rFonts w:hint="default" w:ascii="Times New Roman" w:hAnsi="Times New Roman" w:eastAsia="楷体" w:cs="Times New Roman"/>
          <w:color w:val="auto"/>
          <w:kern w:val="2"/>
          <w:sz w:val="32"/>
          <w:szCs w:val="32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市场监管局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、县供销社按职责分工负责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）。</w:t>
      </w:r>
    </w:p>
    <w:p>
      <w:pPr>
        <w:pStyle w:val="3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u w:val="none"/>
          <w:lang w:val="en-US" w:eastAsia="zh-CN"/>
        </w:rPr>
        <w:t>八、推进食品安全社会共治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（二十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三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）开展宣传引导。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u w:val="none"/>
          <w:lang w:val="en-US" w:eastAsia="zh-CN"/>
        </w:rPr>
        <w:t>举办“全国食品安全宣传周”“全民营养周”“全国科普日”等活动，</w:t>
      </w:r>
      <w:r>
        <w:rPr>
          <w:rFonts w:hint="eastAsia" w:ascii="Times New Roman" w:hAnsi="Times New Roman" w:cs="Times New Roman"/>
          <w:i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auto"/>
          <w:lang w:val="en-US" w:eastAsia="zh-CN"/>
        </w:rPr>
        <w:t>引导社会各界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auto"/>
          <w:lang w:val="en-US" w:eastAsia="zh-CN"/>
        </w:rPr>
        <w:t>开展食品</w:t>
      </w:r>
      <w:r>
        <w:rPr>
          <w:rFonts w:hint="eastAsia" w:ascii="Times New Roman" w:hAnsi="Times New Roman" w:cs="Times New Roman"/>
          <w:i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auto"/>
          <w:lang w:val="en-US" w:eastAsia="zh-CN"/>
        </w:rPr>
        <w:t>安全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auto"/>
          <w:lang w:val="en-US" w:eastAsia="zh-CN"/>
        </w:rPr>
        <w:t>科普</w:t>
      </w:r>
      <w:r>
        <w:rPr>
          <w:rFonts w:hint="eastAsia" w:ascii="Times New Roman" w:hAnsi="Times New Roman" w:cs="Times New Roman"/>
          <w:i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auto"/>
          <w:lang w:val="en-US" w:eastAsia="zh-CN"/>
        </w:rPr>
        <w:t>创作，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u w:val="none"/>
          <w:lang w:val="en-US" w:eastAsia="zh-CN"/>
        </w:rPr>
        <w:t>用好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/>
          <w:lang w:val="en-US" w:eastAsia="zh-CN"/>
        </w:rPr>
        <w:t>“两微一端”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/>
          <w:lang w:eastAsia="zh-CN"/>
        </w:rPr>
        <w:t>权威发声平台，讲好食品安全故事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食品安全办牵头，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食品安全委员会相关成员单位及有关部门配合）。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组织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/>
          <w:lang w:val="en-US"/>
        </w:rPr>
        <w:t>及时报道食品安全工作成效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/>
          <w:lang w:val="en-US"/>
        </w:rPr>
        <w:t>宣传先进典型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/>
          <w:lang w:val="en-US"/>
        </w:rPr>
        <w:t>开展舆论引导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/>
          <w:lang w:val="en-US"/>
        </w:rPr>
        <w:t>帮助群众提高食品安全风险防范意识和辨别能力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开展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食品安全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主题科普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宣传教育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活动，普及食品安全健康科普知识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。落实“谁执法谁普法”普法责任制，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/>
          <w:lang w:eastAsia="zh-CN"/>
        </w:rPr>
        <w:t>加强食品安全法律法规宣传普及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委宣传部、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教育局、公安局、司法局、农业农村局、卫生健康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局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、市场监管局、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文体旅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局、林业局、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粮食物资储备中心、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科协按职责分工负责）。</w:t>
      </w:r>
    </w:p>
    <w:p>
      <w:pPr>
        <w:pStyle w:val="2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Cs w:val="32"/>
          <w:highlight w:val="none"/>
          <w:u w:val="none"/>
        </w:rPr>
      </w:pP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highlight w:val="none"/>
          <w:u w:val="none"/>
          <w:lang w:val="en-US" w:eastAsia="zh-CN"/>
        </w:rPr>
        <w:t>（二十</w:t>
      </w:r>
      <w:r>
        <w:rPr>
          <w:rFonts w:hint="eastAsia" w:ascii="Times New Roman" w:hAnsi="Times New Roman" w:eastAsia="楷体_GB2312" w:cs="Times New Roman"/>
          <w:b w:val="0"/>
          <w:bCs w:val="0"/>
          <w:sz w:val="32"/>
          <w:szCs w:val="32"/>
          <w:highlight w:val="none"/>
          <w:u w:val="none"/>
          <w:lang w:val="en-US" w:eastAsia="zh-CN"/>
        </w:rPr>
        <w:t>四</w:t>
      </w: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highlight w:val="none"/>
          <w:u w:val="none"/>
          <w:lang w:val="en-US" w:eastAsia="zh-CN"/>
        </w:rPr>
        <w:t>）</w:t>
      </w:r>
      <w:r>
        <w:rPr>
          <w:rFonts w:hint="eastAsia" w:ascii="Times New Roman" w:hAnsi="Times New Roman" w:eastAsia="楷体_GB2312" w:cs="Times New Roman"/>
          <w:b w:val="0"/>
          <w:bCs w:val="0"/>
          <w:sz w:val="32"/>
          <w:szCs w:val="32"/>
          <w:highlight w:val="none"/>
          <w:u w:val="none"/>
          <w:lang w:val="en-US" w:eastAsia="zh-CN"/>
        </w:rPr>
        <w:t>构建社会共治格局</w:t>
      </w: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highlight w:val="none"/>
          <w:u w:val="none"/>
          <w:lang w:val="en-US"/>
        </w:rPr>
        <w:t>。</w:t>
      </w:r>
      <w:r>
        <w:rPr>
          <w:rFonts w:hint="eastAsia" w:hAnsi="宋体" w:cs="Times New Roman"/>
          <w:kern w:val="2"/>
          <w:szCs w:val="30"/>
          <w:u w:val="none"/>
        </w:rPr>
        <w:t>强化食品安全队伍建设，举办多层次的食品安全业务培训。支持行业协会和社会组织创新作为，指导相关行业协会制定和完善行规行约，加强食品行业道德和诚信体系建设</w:t>
      </w:r>
      <w:r>
        <w:rPr>
          <w:rFonts w:hint="eastAsia" w:hAnsi="宋体" w:cs="Times New Roman"/>
          <w:kern w:val="2"/>
          <w:szCs w:val="30"/>
          <w:u w:val="none"/>
          <w:lang w:eastAsia="zh-CN"/>
        </w:rPr>
        <w:t>。</w:t>
      </w:r>
      <w:r>
        <w:rPr>
          <w:rFonts w:hint="eastAsia" w:hAnsi="宋体" w:cs="Times New Roman"/>
          <w:kern w:val="2"/>
          <w:szCs w:val="30"/>
          <w:u w:val="none"/>
        </w:rPr>
        <w:t>广泛调动各类社会组织、新闻媒体、专家学者、消费者等多方力量，构建人人有责、人人尽责、人人享有的新格局</w:t>
      </w:r>
      <w:r>
        <w:rPr>
          <w:rFonts w:hint="eastAsia" w:ascii="Times New Roman" w:hAnsi="Times New Roman" w:eastAsia="方正楷体简体" w:cs="Times New Roman"/>
          <w:b w:val="0"/>
          <w:bCs w:val="0"/>
          <w:color w:val="000000"/>
          <w:sz w:val="32"/>
          <w:szCs w:val="32"/>
          <w:highlight w:val="none"/>
          <w:u w:val="none"/>
          <w:lang w:val="en-US" w:eastAsia="zh-CN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sz w:val="32"/>
          <w:szCs w:val="32"/>
          <w:highlight w:val="none"/>
          <w:u w:val="none"/>
          <w:lang w:val="en-US" w:eastAsia="zh-CN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highlight w:val="none"/>
          <w:u w:val="none"/>
          <w:lang w:val="en-US" w:eastAsia="zh-CN"/>
        </w:rPr>
        <w:t>食品安全办</w:t>
      </w:r>
      <w:r>
        <w:rPr>
          <w:rFonts w:hint="eastAsia" w:ascii="Times New Roman" w:hAnsi="Times New Roman" w:eastAsia="楷体_GB2312" w:cs="Times New Roman"/>
          <w:b w:val="0"/>
          <w:bCs w:val="0"/>
          <w:sz w:val="32"/>
          <w:szCs w:val="32"/>
          <w:highlight w:val="none"/>
          <w:u w:val="none"/>
          <w:lang w:val="en-US" w:eastAsia="zh-CN"/>
        </w:rPr>
        <w:t>、县</w:t>
      </w: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highlight w:val="none"/>
          <w:u w:val="none"/>
          <w:lang w:val="en-US"/>
        </w:rPr>
        <w:t>食品安全委员会相关成员单位及有关部门配合</w:t>
      </w:r>
      <w:r>
        <w:rPr>
          <w:rFonts w:hint="eastAsia" w:ascii="Times New Roman" w:hAnsi="Times New Roman" w:eastAsia="方正楷体简体" w:cs="Times New Roman"/>
          <w:b w:val="0"/>
          <w:bCs w:val="0"/>
          <w:color w:val="000000"/>
          <w:sz w:val="32"/>
          <w:szCs w:val="32"/>
          <w:highlight w:val="none"/>
          <w:u w:val="none"/>
          <w:lang w:val="en-US" w:eastAsia="zh-CN"/>
        </w:rPr>
        <w:t>）</w:t>
      </w:r>
      <w:r>
        <w:rPr>
          <w:rFonts w:hint="eastAsia" w:hAnsi="宋体" w:cs="Times New Roman"/>
          <w:kern w:val="2"/>
          <w:szCs w:val="30"/>
          <w:u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highlight w:val="none"/>
          <w:u w:val="none"/>
          <w:lang w:val="en-US" w:eastAsia="zh-CN" w:bidi="ar-SA"/>
        </w:rPr>
        <w:t>深入实施食品安全满意度提升行动，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32"/>
          <w:szCs w:val="32"/>
          <w:highlight w:val="none"/>
          <w:u w:val="none"/>
          <w:lang w:val="en-US" w:eastAsia="zh-CN" w:bidi="ar-SA"/>
        </w:rPr>
        <w:t>持续开展食品安全各类宣传活动，发送食品安全温馨提示短信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highlight w:val="none"/>
          <w:u w:val="none"/>
          <w:lang w:val="en-US" w:eastAsia="zh-CN" w:bidi="ar-SA"/>
        </w:rPr>
        <w:t>，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32"/>
          <w:szCs w:val="32"/>
          <w:highlight w:val="none"/>
          <w:u w:val="none"/>
          <w:lang w:val="en-US" w:eastAsia="zh-CN" w:bidi="ar-SA"/>
        </w:rPr>
        <w:t>制作食品安全科普作品，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32"/>
          <w:szCs w:val="32"/>
          <w:highlight w:val="none"/>
          <w:u w:val="none"/>
          <w:lang w:val="en-US" w:eastAsia="zh-CN" w:bidi="ar-SA"/>
        </w:rPr>
        <w:t>力争全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highlight w:val="none"/>
          <w:u w:val="none"/>
          <w:lang w:val="en-US" w:eastAsia="zh-CN" w:bidi="ar-SA"/>
        </w:rPr>
        <w:t>群众食品安全满意度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32"/>
          <w:szCs w:val="32"/>
          <w:highlight w:val="none"/>
          <w:u w:val="none"/>
          <w:lang w:val="en-US" w:eastAsia="zh-CN" w:bidi="ar-SA"/>
        </w:rPr>
        <w:t>达80分以上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食品安全办）。</w:t>
      </w:r>
    </w:p>
    <w:p>
      <w:pPr>
        <w:pStyle w:val="1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（二十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五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）及时开展上级部署重点任务。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highlight w:val="none"/>
          <w:u w:val="none"/>
          <w:lang w:val="en-US" w:eastAsia="zh-CN" w:bidi="ar-SA"/>
        </w:rPr>
        <w:t>本重点工作安排未涉及内容，根据实际情况，及时增补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highlight w:val="none"/>
          <w:u w:val="none"/>
          <w:lang w:val="en-US" w:eastAsia="zh-CN" w:bidi="ar-SA"/>
        </w:rPr>
        <w:t>委、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highlight w:val="none"/>
          <w:u w:val="none"/>
          <w:lang w:val="en-US" w:eastAsia="zh-CN" w:bidi="ar-SA"/>
        </w:rPr>
        <w:t>政府及上级相关部门在食品安全监管治理领域的重大任务部署，同步纳入对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highlight w:val="none"/>
          <w:u w:val="none"/>
          <w:lang w:val="en-US" w:eastAsia="zh-CN" w:bidi="ar-SA"/>
        </w:rPr>
        <w:t>各乡镇人民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highlight w:val="none"/>
          <w:u w:val="none"/>
          <w:lang w:val="en-US" w:eastAsia="zh-CN" w:bidi="ar-SA"/>
        </w:rPr>
        <w:t>政府、各部门的年度考核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食品安全办，</w:t>
      </w:r>
      <w:r>
        <w:rPr>
          <w:rFonts w:hint="eastAsia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县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食安委相关成员单位按职责分工负责）。</w:t>
      </w:r>
    </w:p>
    <w:p>
      <w:pPr>
        <w:rPr>
          <w:rFonts w:hint="default" w:ascii="Times New Roman" w:hAnsi="Times New Roman" w:cs="Times New Roman"/>
          <w:u w:val="none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531" w:bottom="1985" w:left="1531" w:header="851" w:footer="124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44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6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22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2ZjEwNzM5MGM3YzE3MjY4ZDQxMjNiNzI3ZGIyMzQifQ=="/>
  </w:docVars>
  <w:rsids>
    <w:rsidRoot w:val="5AA9688B"/>
    <w:rsid w:val="04F5726D"/>
    <w:rsid w:val="05C026BD"/>
    <w:rsid w:val="094D3A5B"/>
    <w:rsid w:val="0A42110F"/>
    <w:rsid w:val="0A5C35F0"/>
    <w:rsid w:val="0BC2040A"/>
    <w:rsid w:val="11043740"/>
    <w:rsid w:val="170540FA"/>
    <w:rsid w:val="17CC4DB1"/>
    <w:rsid w:val="197E4103"/>
    <w:rsid w:val="1CD8B6C5"/>
    <w:rsid w:val="1E6B3BEE"/>
    <w:rsid w:val="251736F9"/>
    <w:rsid w:val="2EE99593"/>
    <w:rsid w:val="2FB99D70"/>
    <w:rsid w:val="2FD14253"/>
    <w:rsid w:val="31136464"/>
    <w:rsid w:val="313750B6"/>
    <w:rsid w:val="319C594F"/>
    <w:rsid w:val="3271492E"/>
    <w:rsid w:val="34FB09A6"/>
    <w:rsid w:val="3777A868"/>
    <w:rsid w:val="3ED96FE2"/>
    <w:rsid w:val="3F3FB8CA"/>
    <w:rsid w:val="3F4DA2F3"/>
    <w:rsid w:val="3F5A6669"/>
    <w:rsid w:val="401426D5"/>
    <w:rsid w:val="45BBCF91"/>
    <w:rsid w:val="45F87F11"/>
    <w:rsid w:val="4D5374F1"/>
    <w:rsid w:val="4D900341"/>
    <w:rsid w:val="4F5E3005"/>
    <w:rsid w:val="524E1356"/>
    <w:rsid w:val="55430F1A"/>
    <w:rsid w:val="5AA9688B"/>
    <w:rsid w:val="5EFDF1F6"/>
    <w:rsid w:val="5FF38072"/>
    <w:rsid w:val="61676544"/>
    <w:rsid w:val="677FEE77"/>
    <w:rsid w:val="67ADD298"/>
    <w:rsid w:val="67C7AB13"/>
    <w:rsid w:val="688479BA"/>
    <w:rsid w:val="68D252A1"/>
    <w:rsid w:val="69423DA8"/>
    <w:rsid w:val="6ACD3DF4"/>
    <w:rsid w:val="6B767173"/>
    <w:rsid w:val="6BCEF81E"/>
    <w:rsid w:val="6BFFC690"/>
    <w:rsid w:val="6DBE8606"/>
    <w:rsid w:val="6F7FF055"/>
    <w:rsid w:val="6FA5A436"/>
    <w:rsid w:val="6FD262AB"/>
    <w:rsid w:val="6FE90220"/>
    <w:rsid w:val="6FF7BC7E"/>
    <w:rsid w:val="6FF7E36F"/>
    <w:rsid w:val="710539B9"/>
    <w:rsid w:val="719357AF"/>
    <w:rsid w:val="71C87F1C"/>
    <w:rsid w:val="735B3170"/>
    <w:rsid w:val="73BB6F5A"/>
    <w:rsid w:val="758E3EE7"/>
    <w:rsid w:val="763A8B8E"/>
    <w:rsid w:val="77FE9781"/>
    <w:rsid w:val="7BBD3BF0"/>
    <w:rsid w:val="7BF74E18"/>
    <w:rsid w:val="7D7D607C"/>
    <w:rsid w:val="7DBB7802"/>
    <w:rsid w:val="7EDB7AEC"/>
    <w:rsid w:val="7EDBDFFE"/>
    <w:rsid w:val="7EFA08E8"/>
    <w:rsid w:val="7F6AE204"/>
    <w:rsid w:val="7F7E2DF2"/>
    <w:rsid w:val="7FF75DEE"/>
    <w:rsid w:val="7FFDA612"/>
    <w:rsid w:val="7FFFF9C9"/>
    <w:rsid w:val="8F7F28FC"/>
    <w:rsid w:val="95E941AF"/>
    <w:rsid w:val="A3DD58FE"/>
    <w:rsid w:val="A7D3CCA4"/>
    <w:rsid w:val="B2D76CA3"/>
    <w:rsid w:val="B6DE7929"/>
    <w:rsid w:val="B9D76588"/>
    <w:rsid w:val="BC3F4038"/>
    <w:rsid w:val="BFDE4B5A"/>
    <w:rsid w:val="BFF731B1"/>
    <w:rsid w:val="CBDF7B59"/>
    <w:rsid w:val="CE5D48B3"/>
    <w:rsid w:val="D37CA48F"/>
    <w:rsid w:val="DB6F8904"/>
    <w:rsid w:val="DBE99D97"/>
    <w:rsid w:val="DCFA02FB"/>
    <w:rsid w:val="DEBF4515"/>
    <w:rsid w:val="E75F325F"/>
    <w:rsid w:val="EBDF2A7B"/>
    <w:rsid w:val="ECFF9C56"/>
    <w:rsid w:val="ED7BB667"/>
    <w:rsid w:val="EDFE71D5"/>
    <w:rsid w:val="EFED3761"/>
    <w:rsid w:val="EFEF138C"/>
    <w:rsid w:val="F2AF4EE0"/>
    <w:rsid w:val="F2FFA1C0"/>
    <w:rsid w:val="F4FDC3BB"/>
    <w:rsid w:val="F51FDE37"/>
    <w:rsid w:val="F6ECF80B"/>
    <w:rsid w:val="F7FE1B7A"/>
    <w:rsid w:val="F9F69F7B"/>
    <w:rsid w:val="FAFF3761"/>
    <w:rsid w:val="FB76DBF9"/>
    <w:rsid w:val="FBFDAFC6"/>
    <w:rsid w:val="FD5F27C1"/>
    <w:rsid w:val="FEF75A1F"/>
    <w:rsid w:val="FF9F3E4D"/>
    <w:rsid w:val="FFF3ECC3"/>
    <w:rsid w:val="FFFFC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" w:hAnsi="仿宋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3"/>
    <w:basedOn w:val="1"/>
    <w:next w:val="1"/>
    <w:qFormat/>
    <w:uiPriority w:val="9"/>
    <w:pPr>
      <w:ind w:left="1000" w:hanging="400"/>
      <w:outlineLvl w:val="2"/>
    </w:pPr>
    <w:rPr>
      <w:rFonts w:ascii="Calibri" w:hAnsi="Calibri" w:eastAsia="宋体" w:cs="Times New Roman"/>
      <w:szCs w:val="21"/>
    </w:rPr>
  </w:style>
  <w:style w:type="character" w:default="1" w:styleId="20">
    <w:name w:val="Default Paragraph Font"/>
    <w:semiHidden/>
    <w:qFormat/>
    <w:uiPriority w:val="0"/>
  </w:style>
  <w:style w:type="table" w:default="1" w:styleId="18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4">
    <w:name w:val="table of authorities"/>
    <w:basedOn w:val="1"/>
    <w:next w:val="1"/>
    <w:qFormat/>
    <w:uiPriority w:val="99"/>
    <w:pPr>
      <w:ind w:left="200" w:leftChars="200"/>
    </w:pPr>
    <w:rPr>
      <w:rFonts w:ascii="Calibri" w:hAnsi="Calibri" w:eastAsia="宋体" w:cs="Times New Roman"/>
    </w:rPr>
  </w:style>
  <w:style w:type="paragraph" w:styleId="5">
    <w:name w:val="index 8"/>
    <w:basedOn w:val="1"/>
    <w:next w:val="1"/>
    <w:qFormat/>
    <w:uiPriority w:val="0"/>
    <w:pPr>
      <w:ind w:left="2940"/>
    </w:pPr>
  </w:style>
  <w:style w:type="paragraph" w:styleId="6">
    <w:name w:val="Normal Indent"/>
    <w:basedOn w:val="1"/>
    <w:qFormat/>
    <w:uiPriority w:val="0"/>
    <w:pPr>
      <w:ind w:firstLine="880" w:firstLineChars="200"/>
    </w:pPr>
    <w:rPr>
      <w:rFonts w:ascii="Calibri" w:hAnsi="Calibri"/>
    </w:rPr>
  </w:style>
  <w:style w:type="paragraph" w:styleId="7">
    <w:name w:val="Body Text 3"/>
    <w:basedOn w:val="1"/>
    <w:qFormat/>
    <w:uiPriority w:val="0"/>
    <w:pPr>
      <w:jc w:val="center"/>
    </w:pPr>
    <w:rPr>
      <w:rFonts w:eastAsia="宋体"/>
      <w:b/>
      <w:bCs/>
      <w:color w:val="FF0000"/>
      <w:w w:val="45"/>
      <w:sz w:val="136"/>
    </w:rPr>
  </w:style>
  <w:style w:type="paragraph" w:styleId="8">
    <w:name w:val="Body Text Indent"/>
    <w:basedOn w:val="1"/>
    <w:qFormat/>
    <w:uiPriority w:val="0"/>
    <w:pPr>
      <w:spacing w:after="120"/>
      <w:ind w:left="420" w:leftChars="200"/>
    </w:pPr>
    <w:rPr>
      <w:rFonts w:ascii="Calibri" w:hAnsi="Calibri" w:eastAsia="宋体" w:cs="Times New Roman"/>
    </w:rPr>
  </w:style>
  <w:style w:type="paragraph" w:styleId="9">
    <w:name w:val="Body Text Indent 2"/>
    <w:basedOn w:val="1"/>
    <w:qFormat/>
    <w:uiPriority w:val="0"/>
    <w:pPr>
      <w:tabs>
        <w:tab w:val="left" w:pos="2250"/>
      </w:tabs>
      <w:spacing w:before="100" w:beforeAutospacing="1" w:line="400" w:lineRule="exact"/>
      <w:ind w:firstLine="629"/>
    </w:pPr>
    <w:rPr>
      <w:rFonts w:ascii="Times New Roman" w:hAnsi="Times New Roman" w:eastAsia="宋体" w:cs="Times New Roman"/>
      <w:sz w:val="32"/>
      <w:szCs w:val="24"/>
    </w:rPr>
  </w:style>
  <w:style w:type="paragraph" w:styleId="10">
    <w:name w:val="footer"/>
    <w:basedOn w:val="1"/>
    <w:next w:val="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able of figures"/>
    <w:basedOn w:val="1"/>
    <w:next w:val="1"/>
    <w:qFormat/>
    <w:uiPriority w:val="0"/>
    <w:pPr>
      <w:ind w:left="200" w:leftChars="200" w:hanging="200" w:hangingChars="200"/>
    </w:pPr>
    <w:rPr>
      <w:rFonts w:ascii="Times New Roman" w:hAnsi="Times New Roman" w:eastAsia="仿宋_GB2312"/>
      <w:sz w:val="32"/>
    </w:rPr>
  </w:style>
  <w:style w:type="paragraph" w:styleId="13">
    <w:name w:val="HTML Preformatted"/>
    <w:basedOn w:val="1"/>
    <w:next w:val="2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/>
      <w:b/>
      <w:bCs/>
      <w:szCs w:val="32"/>
    </w:rPr>
  </w:style>
  <w:style w:type="paragraph" w:styleId="16">
    <w:name w:val="Body Text First Indent"/>
    <w:basedOn w:val="2"/>
    <w:next w:val="2"/>
    <w:qFormat/>
    <w:uiPriority w:val="0"/>
    <w:pPr>
      <w:ind w:firstLine="720"/>
    </w:pPr>
  </w:style>
  <w:style w:type="paragraph" w:styleId="17">
    <w:name w:val="Body Text First Indent 2"/>
    <w:basedOn w:val="8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table" w:styleId="19">
    <w:name w:val="Table Grid"/>
    <w:basedOn w:val="18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21">
    <w:name w:val="Strong"/>
    <w:basedOn w:val="20"/>
    <w:qFormat/>
    <w:uiPriority w:val="0"/>
    <w:rPr>
      <w:b/>
    </w:rPr>
  </w:style>
  <w:style w:type="character" w:styleId="22">
    <w:name w:val="page number"/>
    <w:basedOn w:val="20"/>
    <w:qFormat/>
    <w:uiPriority w:val="0"/>
  </w:style>
  <w:style w:type="character" w:styleId="23">
    <w:name w:val="Emphasis"/>
    <w:basedOn w:val="20"/>
    <w:qFormat/>
    <w:uiPriority w:val="20"/>
    <w:rPr>
      <w:i/>
      <w:iCs/>
    </w:rPr>
  </w:style>
  <w:style w:type="character" w:styleId="24">
    <w:name w:val="Hyperlink"/>
    <w:basedOn w:val="20"/>
    <w:qFormat/>
    <w:uiPriority w:val="0"/>
    <w:rPr>
      <w:color w:val="0000FF"/>
      <w:u w:val="single"/>
    </w:rPr>
  </w:style>
  <w:style w:type="paragraph" w:customStyle="1" w:styleId="25">
    <w:name w:val="图表目录1"/>
    <w:next w:val="1"/>
    <w:qFormat/>
    <w:uiPriority w:val="0"/>
    <w:pPr>
      <w:widowControl w:val="0"/>
      <w:ind w:left="400" w:leftChars="200" w:hanging="200" w:hangingChars="20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26">
    <w:name w:val="BodyText1I2"/>
    <w:basedOn w:val="27"/>
    <w:qFormat/>
    <w:uiPriority w:val="0"/>
    <w:pPr>
      <w:ind w:firstLine="200" w:firstLineChars="200"/>
    </w:pPr>
    <w:rPr>
      <w:rFonts w:ascii="Times New Roman" w:hAnsi="Times New Roman" w:eastAsia="宋体" w:cs="Times New Roman"/>
    </w:rPr>
  </w:style>
  <w:style w:type="paragraph" w:customStyle="1" w:styleId="27">
    <w:name w:val="BodyTextIndent"/>
    <w:basedOn w:val="1"/>
    <w:qFormat/>
    <w:uiPriority w:val="0"/>
    <w:pPr>
      <w:spacing w:after="120"/>
      <w:ind w:left="200" w:leftChars="200"/>
    </w:pPr>
    <w:rPr>
      <w:rFonts w:ascii="Times New Roman" w:hAnsi="Times New Roman" w:eastAsia="宋体" w:cs="Times New Roman"/>
    </w:rPr>
  </w:style>
  <w:style w:type="character" w:customStyle="1" w:styleId="28">
    <w:name w:val="font41"/>
    <w:basedOn w:val="20"/>
    <w:qFormat/>
    <w:uiPriority w:val="0"/>
    <w:rPr>
      <w:rFonts w:hint="eastAsia" w:ascii="方正仿宋简体" w:hAnsi="方正仿宋简体" w:eastAsia="方正仿宋简体" w:cs="方正仿宋简体"/>
      <w:color w:val="000000"/>
      <w:sz w:val="20"/>
      <w:szCs w:val="20"/>
      <w:u w:val="none"/>
    </w:rPr>
  </w:style>
  <w:style w:type="character" w:customStyle="1" w:styleId="29">
    <w:name w:val="NormalCharacter"/>
    <w:link w:val="30"/>
    <w:qFormat/>
    <w:uiPriority w:val="0"/>
    <w:rPr>
      <w:rFonts w:ascii="Calibri" w:hAnsi="Calibri" w:cs="Times New Roman"/>
      <w:kern w:val="0"/>
      <w:sz w:val="24"/>
      <w:szCs w:val="20"/>
    </w:rPr>
  </w:style>
  <w:style w:type="paragraph" w:customStyle="1" w:styleId="30">
    <w:name w:val="UserStyle_0"/>
    <w:basedOn w:val="1"/>
    <w:link w:val="29"/>
    <w:qFormat/>
    <w:uiPriority w:val="0"/>
    <w:pPr>
      <w:widowControl/>
      <w:spacing w:after="160" w:line="240" w:lineRule="exact"/>
      <w:jc w:val="left"/>
      <w:textAlignment w:val="baseline"/>
    </w:pPr>
    <w:rPr>
      <w:rFonts w:ascii="Calibri" w:hAnsi="Calibri" w:cs="Times New Roman"/>
      <w:kern w:val="0"/>
      <w:sz w:val="24"/>
      <w:szCs w:val="20"/>
    </w:rPr>
  </w:style>
  <w:style w:type="paragraph" w:customStyle="1" w:styleId="31">
    <w:name w:val="正文 A"/>
    <w:qFormat/>
    <w:uiPriority w:val="0"/>
    <w:pPr>
      <w:widowControl w:val="0"/>
      <w:jc w:val="both"/>
    </w:pPr>
    <w:rPr>
      <w:rFonts w:ascii="Calibri" w:hAnsi="Calibri" w:eastAsia="Arial Unicode MS" w:cs="Arial Unicode MS"/>
      <w:color w:val="000000"/>
      <w:kern w:val="2"/>
      <w:sz w:val="21"/>
      <w:szCs w:val="21"/>
      <w:lang w:val="en-US" w:eastAsia="zh-CN" w:bidi="ar-SA"/>
    </w:rPr>
  </w:style>
  <w:style w:type="paragraph" w:customStyle="1" w:styleId="32">
    <w:name w:val="Heading3"/>
    <w:basedOn w:val="1"/>
    <w:next w:val="1"/>
    <w:qFormat/>
    <w:uiPriority w:val="0"/>
    <w:pPr>
      <w:spacing w:beforeAutospacing="1" w:afterAutospacing="1"/>
      <w:jc w:val="both"/>
      <w:textAlignment w:val="baseline"/>
    </w:pPr>
    <w:rPr>
      <w:rFonts w:ascii="宋体" w:hAnsi="宋体" w:eastAsia="宋体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5458</Words>
  <Characters>5492</Characters>
  <Lines>0</Lines>
  <Paragraphs>0</Paragraphs>
  <TotalTime>96</TotalTime>
  <ScaleCrop>false</ScaleCrop>
  <LinksUpToDate>false</LinksUpToDate>
  <CharactersWithSpaces>5553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2020-12-07T10:50:00Z</dcterms:created>
  <dc:creator>小只</dc:creator>
  <cp:lastModifiedBy>庞慧</cp:lastModifiedBy>
  <cp:lastPrinted>2023-06-12T01:42:00Z</cp:lastPrinted>
  <dcterms:modified xsi:type="dcterms:W3CDTF">2023-06-25T06:03:44Z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FD2116D20B4D4F16AD897CACD3B037A0_12</vt:lpwstr>
  </property>
</Properties>
</file>