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峨 边 彝 族 自 治 县</w:t>
      </w:r>
    </w:p>
    <w:p>
      <w:pPr>
        <w:widowControl/>
        <w:spacing w:line="720" w:lineRule="exact"/>
        <w:jc w:val="center"/>
        <w:rPr>
          <w:rFonts w:hint="eastAsia" w:eastAsia="方正小标宋简体"/>
          <w:spacing w:val="-6"/>
          <w:w w:val="98"/>
          <w:sz w:val="44"/>
          <w:szCs w:val="44"/>
        </w:rPr>
      </w:pPr>
      <w:bookmarkStart w:id="0" w:name="_GoBack"/>
      <w:r>
        <w:rPr>
          <w:rFonts w:eastAsia="方正小标宋简体"/>
          <w:spacing w:val="-6"/>
          <w:w w:val="98"/>
          <w:sz w:val="44"/>
          <w:szCs w:val="44"/>
        </w:rPr>
        <w:t>2021年中央财政衔接推进乡村振兴补助资金</w:t>
      </w:r>
      <w:bookmarkEnd w:id="0"/>
    </w:p>
    <w:p>
      <w:pPr>
        <w:widowControl/>
        <w:spacing w:line="720" w:lineRule="exact"/>
        <w:jc w:val="center"/>
        <w:rPr>
          <w:rFonts w:eastAsia="方正小标宋简体"/>
          <w:spacing w:val="6"/>
          <w:sz w:val="44"/>
          <w:szCs w:val="44"/>
        </w:rPr>
      </w:pPr>
      <w:r>
        <w:rPr>
          <w:rFonts w:eastAsia="方正小标宋简体"/>
          <w:spacing w:val="6"/>
          <w:sz w:val="44"/>
          <w:szCs w:val="44"/>
        </w:rPr>
        <w:t>使</w:t>
      </w:r>
      <w:r>
        <w:rPr>
          <w:rFonts w:hint="eastAsia" w:eastAsia="方正小标宋简体"/>
          <w:spacing w:val="6"/>
          <w:sz w:val="44"/>
          <w:szCs w:val="44"/>
        </w:rPr>
        <w:t xml:space="preserve"> </w:t>
      </w:r>
      <w:r>
        <w:rPr>
          <w:rFonts w:eastAsia="方正小标宋简体"/>
          <w:spacing w:val="6"/>
          <w:sz w:val="44"/>
          <w:szCs w:val="44"/>
        </w:rPr>
        <w:t>用</w:t>
      </w:r>
      <w:r>
        <w:rPr>
          <w:rFonts w:hint="eastAsia" w:eastAsia="方正小标宋简体"/>
          <w:spacing w:val="6"/>
          <w:sz w:val="44"/>
          <w:szCs w:val="44"/>
        </w:rPr>
        <w:t xml:space="preserve"> </w:t>
      </w:r>
      <w:r>
        <w:rPr>
          <w:rFonts w:eastAsia="方正小标宋简体"/>
          <w:spacing w:val="6"/>
          <w:sz w:val="44"/>
          <w:szCs w:val="44"/>
        </w:rPr>
        <w:t>方</w:t>
      </w:r>
      <w:r>
        <w:rPr>
          <w:rFonts w:hint="eastAsia" w:eastAsia="方正小标宋简体"/>
          <w:spacing w:val="6"/>
          <w:sz w:val="44"/>
          <w:szCs w:val="44"/>
        </w:rPr>
        <w:t xml:space="preserve"> </w:t>
      </w:r>
      <w:r>
        <w:rPr>
          <w:rFonts w:eastAsia="方正小标宋简体"/>
          <w:spacing w:val="6"/>
          <w:sz w:val="44"/>
          <w:szCs w:val="44"/>
        </w:rPr>
        <w:t>案</w:t>
      </w:r>
    </w:p>
    <w:p>
      <w:pPr>
        <w:widowControl/>
        <w:spacing w:line="760" w:lineRule="exact"/>
        <w:jc w:val="center"/>
        <w:rPr>
          <w:rFonts w:hint="eastAsia" w:ascii="仿宋_GB2312" w:eastAsia="仿宋_GB2312"/>
          <w:sz w:val="32"/>
          <w:szCs w:val="32"/>
        </w:rPr>
      </w:pPr>
    </w:p>
    <w:p>
      <w:pPr>
        <w:widowControl/>
        <w:spacing w:line="600" w:lineRule="exact"/>
        <w:ind w:firstLine="640" w:firstLineChars="200"/>
        <w:rPr>
          <w:rFonts w:ascii="黑体" w:hAnsi="黑体" w:eastAsia="黑体" w:cs="黑体"/>
          <w:sz w:val="32"/>
          <w:szCs w:val="32"/>
        </w:rPr>
      </w:pPr>
      <w:r>
        <w:rPr>
          <w:rFonts w:hint="eastAsia" w:ascii="仿宋_GB2312" w:hAnsi="宋体" w:eastAsia="仿宋_GB2312" w:cs="仿宋_GB2312"/>
          <w:color w:val="000000"/>
          <w:sz w:val="32"/>
          <w:szCs w:val="32"/>
        </w:rPr>
        <w:t>为全面贯彻落实《中共中央国务院关于实现巩固拓展脱贫攻坚成果同乡村振兴有效衔接的意见》精神，加强过渡期中央财政衔接推进乡村振兴补助资金管理，进一步改善彝区群众生产生活条件，确保持续增加脱贫群众收入，现</w:t>
      </w:r>
      <w:r>
        <w:rPr>
          <w:rFonts w:hint="eastAsia" w:ascii="仿宋_GB2312" w:hAnsi="仿宋_GB2312" w:eastAsia="仿宋_GB2312" w:cs="仿宋_GB2312"/>
          <w:color w:val="000000"/>
          <w:sz w:val="32"/>
          <w:szCs w:val="32"/>
        </w:rPr>
        <w:t>结合我县实际情况，特制定如下实施方案。</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一、编制依据</w:t>
      </w:r>
    </w:p>
    <w:p>
      <w:pPr>
        <w:spacing w:line="60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hAnsi="仿宋_GB2312" w:eastAsia="仿宋_GB2312" w:cs="仿宋_GB2312"/>
          <w:color w:val="000000"/>
          <w:sz w:val="32"/>
          <w:szCs w:val="32"/>
        </w:rPr>
        <w:t>根据财政部、国家乡村振兴局、国家发展改革委、国家民委、农业农村部、国家林业和草原局关于印发《中央财政衔接乡村振兴补助资金管理办法》（财农〔2021〕19号）</w:t>
      </w:r>
      <w:r>
        <w:rPr>
          <w:rFonts w:hint="eastAsia" w:ascii="仿宋_GB2312" w:eastAsia="仿宋_GB2312"/>
          <w:sz w:val="32"/>
          <w:szCs w:val="32"/>
        </w:rPr>
        <w:t>；</w:t>
      </w:r>
    </w:p>
    <w:p>
      <w:pPr>
        <w:spacing w:line="600" w:lineRule="exact"/>
        <w:ind w:firstLine="640" w:firstLineChars="200"/>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四川省财政厅等7部门关于印发《中央和省级财政衔接推进乡村振兴补助资金管理办法》的通知（川财农〔2021〕36号）；</w:t>
      </w:r>
    </w:p>
    <w:p>
      <w:pPr>
        <w:spacing w:line="600" w:lineRule="exact"/>
        <w:ind w:firstLine="640" w:firstLineChars="200"/>
        <w:rPr>
          <w:rFonts w:ascii="仿宋_GB2312" w:eastAsia="仿宋_GB2312"/>
          <w:sz w:val="32"/>
          <w:szCs w:val="32"/>
        </w:rPr>
      </w:pPr>
      <w:r>
        <w:rPr>
          <w:rFonts w:hint="eastAsia" w:ascii="仿宋_GB2312" w:hAnsi="仿宋_GB2312" w:eastAsia="仿宋_GB2312" w:cs="仿宋_GB2312"/>
          <w:color w:val="000000"/>
          <w:sz w:val="32"/>
          <w:szCs w:val="32"/>
        </w:rPr>
        <w:t>3.四川省财政厅等单位关于下达2021年中央和省级财政衔接推进乡村振兴补助资金的通知》（川财农〔2021〕55号）文件精神</w:t>
      </w:r>
      <w:r>
        <w:rPr>
          <w:rFonts w:hint="eastAsia" w:ascii="仿宋_GB2312" w:eastAsia="仿宋_GB2312"/>
          <w:sz w:val="32"/>
          <w:szCs w:val="32"/>
        </w:rPr>
        <w:t>。</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二、主要目标</w:t>
      </w:r>
      <w:r>
        <w:rPr>
          <w:rFonts w:ascii="黑体" w:hAnsi="黑体" w:eastAsia="黑体" w:cs="黑体"/>
          <w:sz w:val="32"/>
          <w:szCs w:val="32"/>
        </w:rPr>
        <w:t xml:space="preserve"> </w:t>
      </w:r>
    </w:p>
    <w:p>
      <w:pPr>
        <w:spacing w:line="600" w:lineRule="exact"/>
        <w:ind w:firstLine="640" w:firstLineChars="200"/>
        <w:rPr>
          <w:rFonts w:ascii="仿宋_GB2312" w:hAnsi="仿宋_GB2312" w:eastAsia="仿宋_GB2312" w:cs="仿宋_GB2312"/>
          <w:sz w:val="32"/>
          <w:szCs w:val="32"/>
        </w:rPr>
      </w:pPr>
      <w:r>
        <w:rPr>
          <w:rFonts w:hint="eastAsia" w:ascii="仿宋_GB2312" w:eastAsia="仿宋_GB2312"/>
          <w:color w:val="000000"/>
          <w:sz w:val="32"/>
          <w:szCs w:val="32"/>
        </w:rPr>
        <w:t>围绕健全防止返贫动态监测帮扶机制，加强监测预警，强化精准帮扶；支持实施带动“十三五”易地扶贫搬迁后续发展的项目；以园区建设为抓手，按照品种培优、品质提升、品牌打造的要求，培育和壮大特色优势产业；补齐必要的农村人居环境整治和小型公益性基础设施建设短板，</w:t>
      </w:r>
      <w:r>
        <w:rPr>
          <w:rFonts w:hint="eastAsia" w:ascii="仿宋_GB2312" w:eastAsia="仿宋_GB2312"/>
          <w:sz w:val="32"/>
          <w:szCs w:val="32"/>
        </w:rPr>
        <w:t>不断改善</w:t>
      </w:r>
      <w:r>
        <w:rPr>
          <w:rFonts w:hint="eastAsia" w:ascii="仿宋_GB2312" w:hAnsi="仿宋_GB2312" w:eastAsia="仿宋_GB2312" w:cs="仿宋_GB2312"/>
          <w:sz w:val="32"/>
          <w:szCs w:val="32"/>
        </w:rPr>
        <w:t>彝区群众生活生产条件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促进脱贫群众持续稳定</w:t>
      </w:r>
      <w:r>
        <w:rPr>
          <w:rFonts w:hint="eastAsia" w:ascii="仿宋_GB2312" w:hAnsi="仿宋_GB2312" w:eastAsia="仿宋_GB2312" w:cs="仿宋_GB2312"/>
          <w:color w:val="000000"/>
          <w:sz w:val="32"/>
          <w:szCs w:val="32"/>
        </w:rPr>
        <w:t>增收，实现巩固拓展脱贫成果与乡村振兴有效衔接</w:t>
      </w:r>
      <w:r>
        <w:rPr>
          <w:rFonts w:hint="eastAsia" w:ascii="仿宋_GB2312" w:hAnsi="仿宋_GB2312" w:eastAsia="仿宋_GB2312" w:cs="仿宋_GB2312"/>
          <w:sz w:val="32"/>
          <w:szCs w:val="32"/>
        </w:rPr>
        <w:t>。</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三、建设任务及投资计划</w:t>
      </w:r>
    </w:p>
    <w:p>
      <w:pPr>
        <w:spacing w:line="6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（一）资金来源</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四川省财政厅等单位关于下达2021年中央和省级财政衔接推进乡村振兴补助资金的通知》（川财农〔2021〕55号）下达10231万元（其中：支持国家和省级乡村振兴重点帮扶县2528万元、支持脱贫人口跨省就业15万元、支持人口较多的易地扶贫搬迁集中安置区后续扶持487万元、支持遭受洪涝灾害较严重地区700万元、少数民族发展资金267万元、其他资金6234万元）。</w:t>
      </w:r>
    </w:p>
    <w:p>
      <w:pPr>
        <w:spacing w:line="60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sz w:val="32"/>
          <w:szCs w:val="32"/>
        </w:rPr>
        <w:t>（二）项目类别及投资计划</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经过调查摸底和实地规划，按照“补齐短板、巩固提升”原则，</w:t>
      </w:r>
      <w:r>
        <w:rPr>
          <w:rFonts w:hint="eastAsia" w:ascii="仿宋_GB2312" w:eastAsia="仿宋_GB2312"/>
          <w:color w:val="000000"/>
          <w:sz w:val="32"/>
          <w:szCs w:val="32"/>
        </w:rPr>
        <w:t>围绕健全防止返贫监测和帮扶机制，培育和壮大特色优势产业，加大农村人居环境整治和小型公益性基础设施建设</w:t>
      </w:r>
      <w:r>
        <w:rPr>
          <w:rFonts w:hint="eastAsia" w:ascii="仿宋_GB2312" w:eastAsia="仿宋_GB2312"/>
          <w:sz w:val="32"/>
          <w:szCs w:val="32"/>
        </w:rPr>
        <w:t>，确定实施156建</w:t>
      </w:r>
      <w:r>
        <w:rPr>
          <w:rFonts w:hint="eastAsia" w:ascii="仿宋_GB2312" w:eastAsia="仿宋_GB2312"/>
          <w:color w:val="000000"/>
          <w:sz w:val="32"/>
          <w:szCs w:val="32"/>
        </w:rPr>
        <w:t>设项目，其中：“1+6+N”园区建设项目14个、支持重点产业发展项目51个、补齐补强项目24个、脱贫攻坚续建项目61个，项目管理费6个，概算总投资18844.284万元，安排下达资金10231万元。</w:t>
      </w:r>
    </w:p>
    <w:p>
      <w:pPr>
        <w:tabs>
          <w:tab w:val="left" w:pos="621"/>
          <w:tab w:val="right" w:pos="9070"/>
        </w:tabs>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四、进度安排</w:t>
      </w:r>
    </w:p>
    <w:p>
      <w:pPr>
        <w:spacing w:line="60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（一）项目规划。</w:t>
      </w:r>
      <w:r>
        <w:rPr>
          <w:rFonts w:hint="eastAsia" w:ascii="仿宋_GB2312" w:eastAsia="仿宋_GB2312"/>
          <w:sz w:val="32"/>
          <w:szCs w:val="32"/>
        </w:rPr>
        <w:t>按照“规划到村、设计到户”要求，由县乡村振兴局牵头，各行业主管部门配合。指导聘请有相关资质的规划设计单位，在9月上旬前完成规划设计。按照“五个必须公开”要求进行公告公示，项目实施村严格按照“苗木自移、土地自调、矛盾自消、手续自办”落实相关工作。</w:t>
      </w:r>
    </w:p>
    <w:p>
      <w:pPr>
        <w:spacing w:line="60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（二）项目实施。</w:t>
      </w:r>
      <w:r>
        <w:rPr>
          <w:rFonts w:hint="eastAsia" w:ascii="仿宋_GB2312" w:eastAsia="仿宋_GB2312"/>
          <w:sz w:val="32"/>
          <w:szCs w:val="32"/>
        </w:rPr>
        <w:t>项目实施主体和责任主体为各乡镇人民政府及涉及部门，资金和项目管理、绩效评价、监督检查责任主体为县发改局、县农业农村局、县水务局、县交通运输局、县住建局、县林业局、县乡村振兴局、县就业促进中心等部门，资金下达和资金监管单位为县财政局。项目实施阶段为9月</w:t>
      </w:r>
      <w:r>
        <w:rPr>
          <w:rFonts w:hint="eastAsia" w:ascii="宋体" w:hAnsi="宋体"/>
          <w:sz w:val="32"/>
          <w:szCs w:val="32"/>
        </w:rPr>
        <w:t>―</w:t>
      </w:r>
      <w:r>
        <w:rPr>
          <w:rFonts w:ascii="仿宋_GB2312" w:eastAsia="仿宋_GB2312"/>
          <w:sz w:val="32"/>
          <w:szCs w:val="32"/>
        </w:rPr>
        <w:t>1</w:t>
      </w:r>
      <w:r>
        <w:rPr>
          <w:rFonts w:hint="eastAsia" w:ascii="仿宋_GB2312" w:eastAsia="仿宋_GB2312"/>
          <w:sz w:val="32"/>
          <w:szCs w:val="32"/>
        </w:rPr>
        <w:t>2月中旬，各乡镇及涉及部门要按照实施方案规定的进度要求组织实施，确保</w:t>
      </w:r>
      <w:r>
        <w:rPr>
          <w:rFonts w:ascii="仿宋_GB2312" w:eastAsia="仿宋_GB2312"/>
          <w:sz w:val="32"/>
          <w:szCs w:val="32"/>
        </w:rPr>
        <w:t>1</w:t>
      </w:r>
      <w:r>
        <w:rPr>
          <w:rFonts w:hint="eastAsia" w:ascii="仿宋_GB2312" w:eastAsia="仿宋_GB2312"/>
          <w:sz w:val="32"/>
          <w:szCs w:val="32"/>
        </w:rPr>
        <w:t>2月20日完成项目建设和资金拨付任务。</w:t>
      </w:r>
    </w:p>
    <w:p>
      <w:pPr>
        <w:spacing w:line="60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（三）检查验收。</w:t>
      </w:r>
      <w:r>
        <w:rPr>
          <w:rFonts w:hint="eastAsia" w:ascii="仿宋_GB2312" w:eastAsia="仿宋_GB2312"/>
          <w:sz w:val="32"/>
          <w:szCs w:val="32"/>
        </w:rPr>
        <w:t>各建设单位加快项目建设进度，同步完善质量检测、竣工结算、评审等报账资料。各乡镇组织乡镇、村组干部于2021年12月10日前全面完成项目自查验收，各责任单位牵头组织相关行业部门于2021年12月20日前全面完成县级验收，并按程序完成县级报账，确保项目资金报账进度达到</w:t>
      </w:r>
      <w:r>
        <w:rPr>
          <w:rFonts w:ascii="仿宋_GB2312" w:eastAsia="仿宋_GB2312"/>
          <w:sz w:val="32"/>
          <w:szCs w:val="32"/>
        </w:rPr>
        <w:t>95%</w:t>
      </w:r>
      <w:r>
        <w:rPr>
          <w:rFonts w:hint="eastAsia" w:ascii="仿宋_GB2312" w:eastAsia="仿宋_GB2312"/>
          <w:sz w:val="32"/>
          <w:szCs w:val="32"/>
        </w:rPr>
        <w:t>以上。</w:t>
      </w:r>
    </w:p>
    <w:p>
      <w:pPr>
        <w:tabs>
          <w:tab w:val="left" w:pos="621"/>
          <w:tab w:val="right" w:pos="9070"/>
        </w:tabs>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五、保障措施</w:t>
      </w:r>
    </w:p>
    <w:p>
      <w:pPr>
        <w:spacing w:line="60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（一）高度重视，强化领导。</w:t>
      </w:r>
      <w:r>
        <w:rPr>
          <w:rFonts w:hint="eastAsia" w:ascii="仿宋_GB2312" w:eastAsia="仿宋_GB2312"/>
          <w:sz w:val="32"/>
          <w:szCs w:val="32"/>
        </w:rPr>
        <w:t>各乡镇和县级相关部门务必高度重视，一把手负总责亲自抓，分管领导具体抓，安排专人负责，层层压实责任。各行业主管部门要加强技术指导，确保按时完成建设任务。</w:t>
      </w:r>
    </w:p>
    <w:p>
      <w:pPr>
        <w:spacing w:line="60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（二）严格程序，强化管理。</w:t>
      </w:r>
      <w:r>
        <w:rPr>
          <w:rFonts w:hint="eastAsia" w:ascii="仿宋_GB2312" w:eastAsia="仿宋_GB2312"/>
          <w:sz w:val="32"/>
          <w:szCs w:val="32"/>
        </w:rPr>
        <w:t>各有关单位要严格执行四川省《</w:t>
      </w:r>
      <w:r>
        <w:rPr>
          <w:rFonts w:hint="eastAsia" w:ascii="仿宋_GB2312" w:hAnsi="仿宋_GB2312" w:eastAsia="仿宋_GB2312" w:cs="仿宋_GB2312"/>
          <w:color w:val="000000"/>
          <w:sz w:val="32"/>
          <w:szCs w:val="32"/>
        </w:rPr>
        <w:t>中央和省级财政衔接推进乡村振兴补助资金管理办法</w:t>
      </w:r>
      <w:r>
        <w:rPr>
          <w:rFonts w:hint="eastAsia" w:ascii="仿宋_GB2312" w:eastAsia="仿宋_GB2312"/>
          <w:sz w:val="32"/>
          <w:szCs w:val="32"/>
        </w:rPr>
        <w:t>》和相关行业工程基本建设程序，加强资金监管，确保财政衔接资金使用绩效管理。</w:t>
      </w:r>
    </w:p>
    <w:p>
      <w:pPr>
        <w:spacing w:line="600" w:lineRule="exact"/>
        <w:ind w:firstLine="640" w:firstLineChars="200"/>
        <w:rPr>
          <w:rFonts w:hint="eastAsia" w:ascii="仿宋_GB2312" w:eastAsia="仿宋_GB2312"/>
          <w:sz w:val="32"/>
          <w:szCs w:val="32"/>
        </w:rPr>
      </w:pPr>
      <w:r>
        <w:rPr>
          <w:rFonts w:hint="eastAsia" w:ascii="楷体_GB2312" w:hAnsi="楷体_GB2312" w:eastAsia="楷体_GB2312" w:cs="楷体_GB2312"/>
          <w:sz w:val="32"/>
          <w:szCs w:val="32"/>
        </w:rPr>
        <w:t>（三）严格考核，强化督查。</w:t>
      </w:r>
      <w:r>
        <w:rPr>
          <w:rFonts w:hint="eastAsia" w:ascii="仿宋_GB2312" w:eastAsia="仿宋_GB2312"/>
          <w:sz w:val="32"/>
          <w:szCs w:val="32"/>
        </w:rPr>
        <w:t>对因工作不力，影响全县工作进度的单位取消评优资格；对工作出色，成绩显著的单位予以通报表扬或在年终绩效评定中予以加分；对滥用职权、玩忽职守、徇私舞弊等违法违纪行为的，按照国家有关规定追究相应责任；涉嫌犯罪的，移送司法机关处理。</w:t>
      </w:r>
    </w:p>
    <w:p>
      <w:pPr>
        <w:adjustRightIn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p>
    <w:p>
      <w:pPr>
        <w:adjustRightInd w:val="0"/>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eastAsia="仿宋_GB2312"/>
          <w:sz w:val="32"/>
          <w:szCs w:val="32"/>
        </w:rPr>
        <w:t>附件：</w:t>
      </w:r>
      <w:r>
        <w:rPr>
          <w:rFonts w:hint="eastAsia" w:ascii="仿宋_GB2312" w:hAnsi="仿宋_GB2312" w:eastAsia="仿宋_GB2312" w:cs="仿宋_GB2312"/>
          <w:color w:val="000000"/>
          <w:sz w:val="32"/>
          <w:szCs w:val="32"/>
        </w:rPr>
        <w:t>峨边彝族自治县关于2021年中央财政衔接推进乡村</w:t>
      </w:r>
    </w:p>
    <w:p>
      <w:pPr>
        <w:adjustRightInd w:val="0"/>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w:t>
      </w:r>
      <w:r>
        <w:rPr>
          <w:rFonts w:hint="eastAsia" w:ascii="仿宋_GB2312" w:hAnsi="仿宋_GB2312" w:eastAsia="仿宋_GB2312" w:cs="仿宋_GB2312"/>
          <w:color w:val="000000"/>
          <w:sz w:val="32"/>
          <w:szCs w:val="32"/>
        </w:rPr>
        <w:t>振兴补助资金建设项目清单</w:t>
      </w:r>
    </w:p>
    <w:p>
      <w:pPr>
        <w:adjustRightInd w:val="0"/>
        <w:spacing w:line="600" w:lineRule="exact"/>
        <w:ind w:firstLine="640" w:firstLineChars="200"/>
        <w:rPr>
          <w:rFonts w:ascii="仿宋_GB2312" w:eastAsia="仿宋_GB2312"/>
          <w:sz w:val="32"/>
          <w:szCs w:val="32"/>
        </w:rPr>
      </w:pPr>
    </w:p>
    <w:p>
      <w:pPr>
        <w:adjustRightInd w:val="0"/>
        <w:spacing w:line="600" w:lineRule="exact"/>
        <w:ind w:firstLine="640" w:firstLineChars="200"/>
        <w:rPr>
          <w:rFonts w:hint="eastAsia" w:ascii="仿宋_GB2312" w:eastAsia="仿宋_GB2312"/>
          <w:sz w:val="32"/>
          <w:szCs w:val="32"/>
        </w:rPr>
      </w:pPr>
    </w:p>
    <w:p>
      <w:pPr>
        <w:adjustRightInd w:val="0"/>
        <w:spacing w:line="600" w:lineRule="exact"/>
        <w:ind w:firstLine="640" w:firstLineChars="200"/>
        <w:rPr>
          <w:rFonts w:hint="eastAsia" w:ascii="仿宋_GB2312" w:eastAsia="仿宋_GB2312"/>
          <w:sz w:val="32"/>
          <w:szCs w:val="32"/>
        </w:rPr>
      </w:pPr>
    </w:p>
    <w:p>
      <w:pPr>
        <w:adjustRightInd w:val="0"/>
        <w:spacing w:line="600" w:lineRule="exact"/>
        <w:ind w:firstLine="640" w:firstLineChars="200"/>
        <w:rPr>
          <w:rFonts w:hint="eastAsia" w:ascii="仿宋_GB2312" w:eastAsia="仿宋_GB2312"/>
          <w:sz w:val="32"/>
          <w:szCs w:val="32"/>
        </w:rPr>
      </w:pPr>
    </w:p>
    <w:p>
      <w:pPr>
        <w:pStyle w:val="4"/>
        <w:widowControl w:val="0"/>
        <w:shd w:val="clear" w:color="auto" w:fill="FFFFFF"/>
        <w:spacing w:before="0" w:beforeAutospacing="0" w:after="0" w:afterAutospacing="0" w:line="600" w:lineRule="exact"/>
        <w:ind w:firstLine="640" w:firstLineChars="200"/>
        <w:jc w:val="both"/>
        <w:rPr>
          <w:rFonts w:hint="eastAsia" w:ascii="仿宋_GB2312" w:hAnsi="仿宋_GB2312" w:eastAsia="仿宋_GB2312" w:cs="仿宋_GB2312"/>
          <w:color w:val="000000"/>
          <w:kern w:val="2"/>
          <w:sz w:val="32"/>
          <w:szCs w:val="32"/>
        </w:rPr>
      </w:pPr>
    </w:p>
    <w:p>
      <w:pPr>
        <w:pStyle w:val="4"/>
        <w:widowControl w:val="0"/>
        <w:shd w:val="clear" w:color="auto" w:fill="FFFFFF"/>
        <w:spacing w:before="0" w:beforeAutospacing="0" w:after="0" w:afterAutospacing="0" w:line="600" w:lineRule="exact"/>
        <w:ind w:firstLine="640" w:firstLineChars="200"/>
        <w:jc w:val="both"/>
        <w:rPr>
          <w:rFonts w:hint="eastAsia" w:ascii="仿宋_GB2312" w:hAnsi="仿宋_GB2312" w:eastAsia="仿宋_GB2312" w:cs="仿宋_GB2312"/>
          <w:color w:val="000000"/>
          <w:kern w:val="2"/>
          <w:sz w:val="32"/>
          <w:szCs w:val="32"/>
        </w:rPr>
      </w:pPr>
    </w:p>
    <w:p>
      <w:pPr>
        <w:pStyle w:val="4"/>
        <w:widowControl w:val="0"/>
        <w:shd w:val="clear" w:color="auto" w:fill="FFFFFF"/>
        <w:spacing w:before="0" w:beforeAutospacing="0" w:after="0" w:afterAutospacing="0" w:line="600" w:lineRule="exact"/>
        <w:ind w:firstLine="640" w:firstLineChars="200"/>
        <w:jc w:val="both"/>
        <w:rPr>
          <w:rFonts w:hint="eastAsia" w:ascii="仿宋_GB2312" w:hAnsi="仿宋_GB2312" w:eastAsia="仿宋_GB2312" w:cs="仿宋_GB2312"/>
          <w:color w:val="000000"/>
          <w:kern w:val="2"/>
          <w:sz w:val="32"/>
          <w:szCs w:val="32"/>
        </w:rPr>
      </w:pPr>
    </w:p>
    <w:p>
      <w:pPr>
        <w:pStyle w:val="4"/>
        <w:widowControl w:val="0"/>
        <w:shd w:val="clear" w:color="auto" w:fill="FFFFFF"/>
        <w:spacing w:before="0" w:beforeAutospacing="0" w:after="0" w:afterAutospacing="0" w:line="600" w:lineRule="exact"/>
        <w:ind w:firstLine="640" w:firstLineChars="200"/>
        <w:jc w:val="both"/>
        <w:rPr>
          <w:rFonts w:hint="eastAsia" w:ascii="仿宋_GB2312" w:hAnsi="仿宋_GB2312" w:eastAsia="仿宋_GB2312" w:cs="仿宋_GB2312"/>
          <w:color w:val="000000"/>
          <w:kern w:val="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985" w:right="1531" w:bottom="1644" w:left="1531" w:header="567" w:footer="1021" w:gutter="0"/>
          <w:cols w:space="720" w:num="1"/>
          <w:docGrid w:type="lines" w:linePitch="312" w:charSpace="0"/>
        </w:sectPr>
      </w:pPr>
    </w:p>
    <w:p>
      <w:pPr>
        <w:adjustRightInd w:val="0"/>
        <w:spacing w:line="600" w:lineRule="exact"/>
        <w:ind w:left="-1" w:leftChars="-171" w:hanging="358" w:hangingChars="112"/>
        <w:rPr>
          <w:rFonts w:hint="eastAsia" w:ascii="黑体" w:hAnsi="黑体" w:eastAsia="黑体"/>
          <w:sz w:val="32"/>
          <w:szCs w:val="32"/>
        </w:rPr>
      </w:pPr>
      <w:r>
        <w:rPr>
          <w:rFonts w:hint="eastAsia" w:ascii="黑体" w:hAnsi="黑体" w:eastAsia="黑体"/>
          <w:sz w:val="32"/>
          <w:szCs w:val="32"/>
        </w:rPr>
        <w:t>附件</w:t>
      </w:r>
    </w:p>
    <w:p>
      <w:pPr>
        <w:adjustRightInd w:val="0"/>
        <w:spacing w:line="160" w:lineRule="exact"/>
        <w:ind w:left="-1" w:leftChars="-171" w:hanging="358" w:hangingChars="112"/>
        <w:rPr>
          <w:rFonts w:hint="eastAsia" w:ascii="黑体" w:hAnsi="黑体" w:eastAsia="黑体"/>
          <w:sz w:val="32"/>
          <w:szCs w:val="32"/>
        </w:rPr>
      </w:pPr>
    </w:p>
    <w:p>
      <w:pPr>
        <w:adjustRightInd w:val="0"/>
        <w:spacing w:line="560" w:lineRule="exact"/>
        <w:rPr>
          <w:rFonts w:eastAsia="方正小标宋简体"/>
          <w:spacing w:val="-12"/>
          <w:w w:val="93"/>
          <w:sz w:val="44"/>
          <w:szCs w:val="44"/>
        </w:rPr>
      </w:pPr>
      <w:r>
        <w:rPr>
          <w:rFonts w:eastAsia="方正小标宋简体"/>
          <w:color w:val="000000"/>
          <w:spacing w:val="-12"/>
          <w:w w:val="93"/>
          <w:sz w:val="44"/>
          <w:szCs w:val="44"/>
        </w:rPr>
        <w:t>峨边彝族自治县关于2021年中央财政衔接推进乡村振兴补助资金建设项目清单</w:t>
      </w:r>
    </w:p>
    <w:p>
      <w:pPr>
        <w:pStyle w:val="4"/>
        <w:widowControl w:val="0"/>
        <w:shd w:val="clear" w:color="auto" w:fill="FFFFFF"/>
        <w:spacing w:before="0" w:beforeAutospacing="0" w:after="0" w:afterAutospacing="0" w:line="160" w:lineRule="exact"/>
        <w:ind w:firstLine="640" w:firstLineChars="200"/>
        <w:jc w:val="center"/>
        <w:rPr>
          <w:rFonts w:hint="eastAsia" w:ascii="仿宋_GB2312" w:hAnsi="仿宋_GB2312" w:eastAsia="仿宋_GB2312" w:cs="仿宋_GB2312"/>
          <w:color w:val="000000"/>
          <w:kern w:val="2"/>
          <w:sz w:val="32"/>
          <w:szCs w:val="32"/>
        </w:rPr>
      </w:pPr>
    </w:p>
    <w:tbl>
      <w:tblPr>
        <w:tblStyle w:val="5"/>
        <w:tblW w:w="14835" w:type="dxa"/>
        <w:jc w:val="center"/>
        <w:tblLayout w:type="autofit"/>
        <w:tblCellMar>
          <w:top w:w="0" w:type="dxa"/>
          <w:left w:w="108" w:type="dxa"/>
          <w:bottom w:w="0" w:type="dxa"/>
          <w:right w:w="108" w:type="dxa"/>
        </w:tblCellMar>
      </w:tblPr>
      <w:tblGrid>
        <w:gridCol w:w="435"/>
        <w:gridCol w:w="1034"/>
        <w:gridCol w:w="1168"/>
        <w:gridCol w:w="1438"/>
        <w:gridCol w:w="1333"/>
        <w:gridCol w:w="4061"/>
        <w:gridCol w:w="1290"/>
        <w:gridCol w:w="1259"/>
        <w:gridCol w:w="1423"/>
        <w:gridCol w:w="1394"/>
      </w:tblGrid>
      <w:tr>
        <w:tblPrEx>
          <w:tblCellMar>
            <w:top w:w="0" w:type="dxa"/>
            <w:left w:w="108" w:type="dxa"/>
            <w:bottom w:w="0" w:type="dxa"/>
            <w:right w:w="108" w:type="dxa"/>
          </w:tblCellMar>
        </w:tblPrEx>
        <w:trPr>
          <w:trHeight w:val="70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黑体" w:hAnsi="黑体" w:eastAsia="黑体" w:cs="Arial"/>
                <w:color w:val="000000"/>
                <w:kern w:val="0"/>
                <w:szCs w:val="21"/>
              </w:rPr>
            </w:pPr>
            <w:r>
              <w:rPr>
                <w:rFonts w:hint="eastAsia" w:ascii="黑体" w:hAnsi="黑体" w:eastAsia="黑体" w:cs="Arial"/>
                <w:color w:val="000000"/>
                <w:kern w:val="0"/>
                <w:szCs w:val="21"/>
              </w:rPr>
              <w:t>序号</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Arial"/>
                <w:color w:val="000000"/>
                <w:kern w:val="0"/>
                <w:szCs w:val="21"/>
              </w:rPr>
            </w:pPr>
            <w:r>
              <w:rPr>
                <w:rFonts w:hint="eastAsia" w:ascii="黑体" w:hAnsi="黑体" w:eastAsia="黑体" w:cs="Arial"/>
                <w:color w:val="000000"/>
                <w:kern w:val="0"/>
                <w:szCs w:val="21"/>
              </w:rPr>
              <w:t>乡 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Arial"/>
                <w:color w:val="000000"/>
                <w:kern w:val="0"/>
                <w:szCs w:val="21"/>
              </w:rPr>
            </w:pPr>
            <w:r>
              <w:rPr>
                <w:rFonts w:hint="eastAsia" w:ascii="黑体" w:hAnsi="黑体" w:eastAsia="黑体" w:cs="Arial"/>
                <w:color w:val="000000"/>
                <w:kern w:val="0"/>
                <w:szCs w:val="21"/>
              </w:rPr>
              <w:t xml:space="preserve">村 名 </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Arial"/>
                <w:color w:val="000000"/>
                <w:kern w:val="0"/>
                <w:szCs w:val="21"/>
              </w:rPr>
            </w:pPr>
            <w:r>
              <w:rPr>
                <w:rFonts w:hint="eastAsia" w:ascii="黑体" w:hAnsi="黑体" w:eastAsia="黑体" w:cs="Arial"/>
                <w:color w:val="000000"/>
                <w:kern w:val="0"/>
                <w:szCs w:val="21"/>
              </w:rPr>
              <w:t xml:space="preserve">责任单位 </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Arial"/>
                <w:color w:val="000000"/>
                <w:kern w:val="0"/>
                <w:szCs w:val="21"/>
              </w:rPr>
            </w:pPr>
            <w:r>
              <w:rPr>
                <w:rFonts w:hint="eastAsia" w:ascii="黑体" w:hAnsi="黑体" w:eastAsia="黑体" w:cs="Arial"/>
                <w:color w:val="000000"/>
                <w:kern w:val="0"/>
                <w:szCs w:val="21"/>
              </w:rPr>
              <w:t>项目名称</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Arial"/>
                <w:color w:val="000000"/>
                <w:kern w:val="0"/>
                <w:szCs w:val="21"/>
              </w:rPr>
            </w:pPr>
            <w:r>
              <w:rPr>
                <w:rFonts w:hint="eastAsia" w:ascii="黑体" w:hAnsi="黑体" w:eastAsia="黑体" w:cs="Arial"/>
                <w:color w:val="000000"/>
                <w:kern w:val="0"/>
                <w:szCs w:val="21"/>
              </w:rPr>
              <w:t>项目建设内容及规模</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Arial"/>
                <w:color w:val="000000"/>
                <w:kern w:val="0"/>
                <w:szCs w:val="21"/>
              </w:rPr>
            </w:pPr>
            <w:r>
              <w:rPr>
                <w:rFonts w:hint="eastAsia" w:ascii="黑体" w:hAnsi="黑体" w:eastAsia="黑体" w:cs="Arial"/>
                <w:color w:val="000000"/>
                <w:kern w:val="0"/>
                <w:szCs w:val="21"/>
              </w:rPr>
              <w:t>概算总投资（万元）</w:t>
            </w:r>
          </w:p>
        </w:tc>
        <w:tc>
          <w:tcPr>
            <w:tcW w:w="1259" w:type="dxa"/>
            <w:tcBorders>
              <w:top w:val="single" w:color="000000" w:sz="4" w:space="0"/>
              <w:left w:val="single" w:color="000000" w:sz="4" w:space="0"/>
              <w:bottom w:val="nil"/>
              <w:right w:val="single" w:color="000000" w:sz="4" w:space="0"/>
            </w:tcBorders>
            <w:noWrap w:val="0"/>
            <w:vAlign w:val="center"/>
          </w:tcPr>
          <w:p>
            <w:pPr>
              <w:widowControl/>
              <w:jc w:val="center"/>
              <w:rPr>
                <w:rFonts w:ascii="黑体" w:hAnsi="黑体" w:eastAsia="黑体" w:cs="Arial"/>
                <w:color w:val="000000"/>
                <w:kern w:val="0"/>
                <w:szCs w:val="21"/>
              </w:rPr>
            </w:pPr>
            <w:r>
              <w:rPr>
                <w:rFonts w:hint="eastAsia" w:ascii="黑体" w:hAnsi="黑体" w:eastAsia="黑体" w:cs="Arial"/>
                <w:color w:val="000000"/>
                <w:kern w:val="0"/>
                <w:szCs w:val="21"/>
              </w:rPr>
              <w:t>安排资金（万元）</w:t>
            </w:r>
          </w:p>
        </w:tc>
        <w:tc>
          <w:tcPr>
            <w:tcW w:w="1423" w:type="dxa"/>
            <w:tcBorders>
              <w:top w:val="single" w:color="000000" w:sz="4" w:space="0"/>
              <w:left w:val="single" w:color="000000" w:sz="4" w:space="0"/>
              <w:bottom w:val="nil"/>
              <w:right w:val="single" w:color="000000" w:sz="4" w:space="0"/>
            </w:tcBorders>
            <w:noWrap w:val="0"/>
            <w:vAlign w:val="center"/>
          </w:tcPr>
          <w:p>
            <w:pPr>
              <w:widowControl/>
              <w:jc w:val="center"/>
              <w:rPr>
                <w:rFonts w:ascii="黑体" w:hAnsi="黑体" w:eastAsia="黑体" w:cs="Arial"/>
                <w:color w:val="000000"/>
                <w:kern w:val="0"/>
                <w:szCs w:val="21"/>
              </w:rPr>
            </w:pPr>
            <w:r>
              <w:rPr>
                <w:rFonts w:hint="eastAsia" w:ascii="黑体" w:hAnsi="黑体" w:eastAsia="黑体" w:cs="Arial"/>
                <w:color w:val="000000"/>
                <w:kern w:val="0"/>
                <w:szCs w:val="21"/>
              </w:rPr>
              <w:t>实施单位</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Arial"/>
                <w:color w:val="000000"/>
                <w:kern w:val="0"/>
                <w:szCs w:val="21"/>
              </w:rPr>
            </w:pPr>
            <w:r>
              <w:rPr>
                <w:rFonts w:hint="eastAsia" w:ascii="黑体" w:hAnsi="黑体" w:eastAsia="黑体" w:cs="Arial"/>
                <w:color w:val="000000"/>
                <w:kern w:val="0"/>
                <w:szCs w:val="21"/>
              </w:rPr>
              <w:t>完成时限</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p>
        </w:tc>
        <w:tc>
          <w:tcPr>
            <w:tcW w:w="903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Arial" w:eastAsia="仿宋_GB2312" w:cs="Arial"/>
                <w:b/>
                <w:color w:val="000000"/>
                <w:kern w:val="0"/>
                <w:szCs w:val="21"/>
              </w:rPr>
            </w:pPr>
            <w:r>
              <w:rPr>
                <w:rFonts w:hint="eastAsia" w:ascii="仿宋_GB2312" w:hAnsi="Arial" w:eastAsia="仿宋_GB2312" w:cs="Arial"/>
                <w:b/>
                <w:color w:val="000000"/>
                <w:kern w:val="0"/>
                <w:szCs w:val="21"/>
              </w:rPr>
              <w:t>合    计</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 xml:space="preserve">18849.28 </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 xml:space="preserve">10231.00 </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color w:val="000000"/>
                <w:kern w:val="0"/>
                <w:szCs w:val="21"/>
              </w:rPr>
            </w:pPr>
            <w:r>
              <w:rPr>
                <w:rFonts w:hint="eastAsia" w:ascii="仿宋_GB2312" w:hAnsi="Arial" w:eastAsia="仿宋_GB2312" w:cs="Arial"/>
                <w:b/>
                <w:color w:val="000000"/>
                <w:kern w:val="0"/>
                <w:szCs w:val="21"/>
              </w:rPr>
              <w:t xml:space="preserve">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color w:val="000000"/>
                <w:kern w:val="0"/>
                <w:szCs w:val="21"/>
              </w:rPr>
            </w:pPr>
            <w:r>
              <w:rPr>
                <w:rFonts w:hint="eastAsia" w:ascii="仿宋_GB2312" w:hAnsi="Arial" w:eastAsia="仿宋_GB2312" w:cs="Arial"/>
                <w:b/>
                <w:color w:val="000000"/>
                <w:kern w:val="0"/>
                <w:szCs w:val="21"/>
              </w:rPr>
              <w:t xml:space="preserve"> </w:t>
            </w:r>
          </w:p>
        </w:tc>
      </w:tr>
      <w:tr>
        <w:tblPrEx>
          <w:tblCellMar>
            <w:top w:w="0" w:type="dxa"/>
            <w:left w:w="108" w:type="dxa"/>
            <w:bottom w:w="0" w:type="dxa"/>
            <w:right w:w="108" w:type="dxa"/>
          </w:tblCellMar>
        </w:tblPrEx>
        <w:trPr>
          <w:trHeight w:val="540"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Arial" w:eastAsia="楷体_GB2312" w:cs="Arial"/>
                <w:b/>
                <w:color w:val="000000"/>
                <w:kern w:val="0"/>
                <w:szCs w:val="21"/>
              </w:rPr>
            </w:pPr>
            <w:r>
              <w:rPr>
                <w:rFonts w:hint="eastAsia" w:ascii="楷体_GB2312" w:hAnsi="Arial" w:eastAsia="楷体_GB2312" w:cs="Arial"/>
                <w:b/>
                <w:color w:val="000000"/>
                <w:kern w:val="0"/>
                <w:szCs w:val="21"/>
              </w:rPr>
              <w:t>一、“1+6+N”园区建设项目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2111.83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 xml:space="preserve">1527.61 </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r>
      <w:tr>
        <w:tblPrEx>
          <w:tblCellMar>
            <w:top w:w="0" w:type="dxa"/>
            <w:left w:w="108" w:type="dxa"/>
            <w:bottom w:w="0" w:type="dxa"/>
            <w:right w:w="108" w:type="dxa"/>
          </w:tblCellMar>
        </w:tblPrEx>
        <w:trPr>
          <w:trHeight w:val="600"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（一）白沙河流域果药现代农业园区</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黄泥村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新林镇黄泥村至金星村碎石产业路扩建建设项目2.4公里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县农投公司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新林镇等</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新林镇等园区提档升级，建设门头、标识、标牌、策划、宣传等建设。</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2021年9月</w:t>
            </w:r>
          </w:p>
        </w:tc>
      </w:tr>
      <w:tr>
        <w:tblPrEx>
          <w:tblCellMar>
            <w:top w:w="0" w:type="dxa"/>
            <w:left w:w="108" w:type="dxa"/>
            <w:bottom w:w="0" w:type="dxa"/>
            <w:right w:w="108" w:type="dxa"/>
          </w:tblCellMar>
        </w:tblPrEx>
        <w:trPr>
          <w:trHeight w:val="8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黄泥村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园区内建设轨道运输机，共两期，一期1-7号线设计长度约3300米，单轨运输机7台，停机库7个。</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540"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（二）沙（坪）新（场）农文旅文化产业园</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r>
      <w:tr>
        <w:tblPrEx>
          <w:tblCellMar>
            <w:top w:w="0" w:type="dxa"/>
            <w:left w:w="108" w:type="dxa"/>
            <w:bottom w:w="0" w:type="dxa"/>
            <w:right w:w="108" w:type="dxa"/>
          </w:tblCellMar>
        </w:tblPrEx>
        <w:trPr>
          <w:trHeight w:val="9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 </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庞沟村、长虹村、星星村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引进优良品种，推广标准化种植技术，鼓励农户规范种植高山蔬菜750亩。</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新场乡政府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 </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羊子岩村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种植1000亩刺梨</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91.64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新场乡政府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新场乡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星星村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星星村五组新建硬化产业路工程项目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155.86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新场乡政府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540"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（三）大堡农文旅发展园区</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大堡镇 </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化林村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化林村、较场村灌溉堰渠新建及维修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142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桥楼村 </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县住建局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61" w:right="-13" w:rightChars="-6" w:hanging="128" w:hangingChars="65"/>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人居环境整治</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桥楼村、教场村、新火村等沿线人居环境整治</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460"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（四）黑竹沟农文旅融合产业园区</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黑竹沟镇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解放村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解放村新建硬化加宽产业路（3公里，3.5米）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350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460"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（五）勒乌岩蜂现代农业园区</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马井村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扩大300箱养蜂规模</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540"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（六）大渡河移民后扶产村相融示范园</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新华村李子、柑橘基地生产作业道3公里（2米宽）七组1公里；十组1公里、二组1公里。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凡山村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县林业局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凡山村新建油桐基地硬化产业路4.9公里，（二组1.3公里、四组3.6公里）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460"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（七）其它县级园区</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在全县范围内发展马铃薯种薯5000亩</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400.97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400.97</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四坪村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红旗镇四坪村蔬菜大棚土壤改良工程，占地面积254亩，室内面积120亩</w:t>
            </w:r>
          </w:p>
        </w:tc>
        <w:tc>
          <w:tcPr>
            <w:tcW w:w="1290"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259"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423"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94"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480"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Arial" w:eastAsia="楷体_GB2312" w:cs="Arial"/>
                <w:b/>
                <w:color w:val="000000"/>
                <w:kern w:val="0"/>
                <w:szCs w:val="21"/>
              </w:rPr>
            </w:pPr>
            <w:r>
              <w:rPr>
                <w:rFonts w:hint="eastAsia" w:ascii="楷体_GB2312" w:hAnsi="Arial" w:eastAsia="楷体_GB2312" w:cs="Arial"/>
                <w:b/>
                <w:color w:val="000000"/>
                <w:kern w:val="0"/>
                <w:szCs w:val="21"/>
              </w:rPr>
              <w:t>二、支持重点产业发展项目</w:t>
            </w:r>
          </w:p>
        </w:tc>
        <w:tc>
          <w:tcPr>
            <w:tcW w:w="1290"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10910.255</w:t>
            </w:r>
          </w:p>
        </w:tc>
        <w:tc>
          <w:tcPr>
            <w:tcW w:w="1259"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4361.045</w:t>
            </w:r>
          </w:p>
        </w:tc>
        <w:tc>
          <w:tcPr>
            <w:tcW w:w="1423"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Cs/>
                <w:color w:val="000000"/>
                <w:kern w:val="0"/>
                <w:szCs w:val="21"/>
              </w:rPr>
            </w:pPr>
          </w:p>
        </w:tc>
        <w:tc>
          <w:tcPr>
            <w:tcW w:w="1394"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Cs/>
                <w:color w:val="000000"/>
                <w:kern w:val="0"/>
                <w:szCs w:val="21"/>
              </w:rPr>
            </w:pP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桥楼村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县林业局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桥楼村油桐建设项目700亩</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茗新村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县发改局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茗新村乌天麻工厂化种植园项目挡土墙工程项目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楠木村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楠木园区产业路新修泥碎路10公里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115.458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新场乡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星星村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新修硬化星星村5组（原桃花村1组）产业道路建设项目1.8公里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新场乡政府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8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硬化化林坝至大水产业路2.2公里（4.5米宽）</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360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70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县文体旅局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乡村旅游</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毛坪镇小河子旅游基础设施建设项目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432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凡山村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新建泥碎产业路4.4公里。凡山村1组漆木林至鱼洞河桃产业基地。</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云心村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县发改局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毛坪镇云心村产业园水肥药一体化喷灌暨配套设施建设项目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328.93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双九村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双九村桃产业园道路建设项目</w:t>
            </w:r>
            <w:r>
              <w:rPr>
                <w:rFonts w:ascii="仿宋_GB2312" w:hAnsi="Arial" w:eastAsia="仿宋_GB2312" w:cs="Arial"/>
                <w:color w:val="000000"/>
                <w:kern w:val="0"/>
                <w:szCs w:val="21"/>
              </w:rPr>
              <w:t>0.9公里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较场村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鸭场产业路硬化加宽硬化原长600米，宽2米的产业路宽到4.5米宽和新建宽4.5米，长150米产业路。</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110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黄泥村、茗新村、金星村、楠木村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在新林镇黄泥村、茗新村、金星村和楠木村等种植蔬菜，采取先建后补的形式，对验收合格的种植户按设施类300元/亩、其它150元/亩的标准进行补助。</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云心村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原茶云村东西协作养猪场进场公路</w:t>
            </w:r>
            <w:r>
              <w:rPr>
                <w:rFonts w:ascii="仿宋_GB2312" w:hAnsi="Arial" w:eastAsia="仿宋_GB2312" w:cs="Arial"/>
                <w:color w:val="000000"/>
                <w:kern w:val="0"/>
                <w:szCs w:val="21"/>
              </w:rPr>
              <w:t>200米。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宜坪村3组耕地保护排涝工程（渠道880米、涵管60米）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2021年9月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较场村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较场村至新火村产业道路建设项目2公里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1700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新火村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新火村新建涉水至大堡电厂产业道路工程建设项目5.826公里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2751.95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478.862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新场乡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庞沟村、星星村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新场乡庞桃至桃花产业道路加宽改造工程项目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新场乡政府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仲子村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仲子村官家岩处产业道路堡坎维修工程 </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仲子村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仲子村一线天五号桥至大沟地产业道路水毁修复工程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97.3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观慈村、光明村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平等乡观慈村高寨子至光明村二坪产业路工程项目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425.75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新场乡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庞沟村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庞沟至云龙产业联网路建设项目0.7公里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156.93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新场乡政府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雪山村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雪山村至原红旗村产业联网路建设项目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460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大香村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大香村至原江湾村产业联网路建设项目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27"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县经信局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电商发展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提升电商中心服务能力及电商进村建设项目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县农投公司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765"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小额信贷贴息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2016-2020年全县贫困户小额信贷贷款贴息项目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213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213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2021年12月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麻柳村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县发改局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硬化麻柳村七组至613林场检查站产业路3.11km，宽度4.5米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5.01</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双凤村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二组五平路至水凼平牛尾笋、茶叶产业加工基地路1.5公里硬化项目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10.1</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大香村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三、四组新建硬化产业路1.98公里、宽3.5米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36.6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36.6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九龙村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一、二组7公里产业路硬化工程（宽2米、厚3.5米）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122.76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122.76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猕猴桃基地产业路4.948公里建设项目（宽3.5米、厚0.2米）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58.79</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58.79</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毛坪镇新华村峨边康润农业有限公司年出栏20000头商品猪产业路硬化工程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9.594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9.594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教场村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大堡镇较场村八组养鸭场0.6公里加宽硬化项目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7.01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7.01</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教场村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养鸭场专变线配套设施</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3.43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3.43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六丰村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翠冠梨项目产业路新建硬化工程（2.5公里。主线路路基宽甸3.5米，支路线路基宽3米）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112.01 </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112.01 </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五渡镇大村三组养殖130头牛项目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产业发展</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峨边彝族自治县杨河乡茶叶扶贫种植项目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集广村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大堡镇集广村上油房产业道路延伸段硬化项目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29.43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29.43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Arial" w:eastAsia="仿宋_GB2312" w:cs="Arial"/>
                <w:color w:val="000000"/>
                <w:kern w:val="0"/>
                <w:szCs w:val="21"/>
              </w:rPr>
            </w:pPr>
            <w:r>
              <w:rPr>
                <w:rFonts w:hint="eastAsia" w:ascii="仿宋_GB2312" w:hAnsi="Arial" w:eastAsia="仿宋_GB2312" w:cs="Arial"/>
                <w:color w:val="000000"/>
                <w:kern w:val="0"/>
                <w:szCs w:val="21"/>
              </w:rPr>
              <w:t>桥楼村、</w:t>
            </w:r>
          </w:p>
          <w:p>
            <w:pPr>
              <w:widowControl/>
              <w:ind w:leftChars="-106" w:hanging="222" w:hangingChars="106"/>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集广村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大堡镇桥楼村土城路口至集广村4组生产路工程项目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58.811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58.811</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火花村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大堡镇火花村猪场进厂道路新建工程（1.3公里，4.5米宽，厚20公分）</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团结村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团结村新建产业路（7.2公里）项目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370.5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余坪村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余坪村产业道路新建硬化工程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55.88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55.88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长梯村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长梯村产业路新建项目(1.53公里)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153.9</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107.73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Arial" w:eastAsia="仿宋_GB2312" w:cs="Arial"/>
                <w:color w:val="000000"/>
                <w:kern w:val="0"/>
                <w:szCs w:val="21"/>
              </w:rPr>
            </w:pPr>
            <w:r>
              <w:rPr>
                <w:rFonts w:hint="eastAsia" w:ascii="仿宋_GB2312" w:hAnsi="Arial" w:eastAsia="仿宋_GB2312" w:cs="Arial"/>
                <w:color w:val="000000"/>
                <w:kern w:val="0"/>
                <w:szCs w:val="21"/>
              </w:rPr>
              <w:t>双凤村、</w:t>
            </w:r>
          </w:p>
          <w:p>
            <w:pPr>
              <w:widowControl/>
              <w:ind w:leftChars="-106" w:hanging="222" w:hangingChars="106"/>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田村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双凤村、田村联网路1.638公里新建产业道路项目(宽4.5米)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67.54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67.54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新场乡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新凤村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新凤村2、4组产业路面改造工程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26.53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26.53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新场乡政府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大香村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新林镇大香村至红椿村产业联网路2.82公里新修工程(宽4.5米、厚0.2米)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46.142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46.142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高湾村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高湾村油坊坪至张加养鸡场产业路新建硬化及改善工程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仲子村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仲子村一线天五号桥至大沟地产业路(仲子)建设工程（3.365公里、3.5米）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170.788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170.788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庙岗村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庙岗村水田坝产业路新建硬化工程（3.5公里、宽4.5米、厚0.2米） </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先锋村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先锋村四组牡丹产业园通组路硬化工程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觉莫村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为觉村产业道路新建错车道工程项目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茶园村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产业道路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茶园村产业公路硬化工程全长8.1公里，路面宽4.5米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42.1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42.1</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双河村 </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县就业促进中心</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扶贫车间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双河村扶贫车间建设项目（租赁生产加工房）</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20.83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20.83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县就业促进中心</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2021年8月30日</w:t>
            </w:r>
          </w:p>
        </w:tc>
      </w:tr>
      <w:tr>
        <w:tblPrEx>
          <w:tblCellMar>
            <w:top w:w="0" w:type="dxa"/>
            <w:left w:w="108" w:type="dxa"/>
            <w:bottom w:w="0" w:type="dxa"/>
            <w:right w:w="108" w:type="dxa"/>
          </w:tblCellMar>
        </w:tblPrEx>
        <w:trPr>
          <w:trHeight w:val="742"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Arial" w:eastAsia="楷体_GB2312" w:cs="Arial"/>
                <w:b/>
                <w:color w:val="000000"/>
                <w:kern w:val="0"/>
                <w:szCs w:val="21"/>
              </w:rPr>
            </w:pPr>
            <w:r>
              <w:rPr>
                <w:rFonts w:hint="eastAsia" w:ascii="楷体_GB2312" w:hAnsi="Arial" w:eastAsia="楷体_GB2312" w:cs="Arial"/>
                <w:b/>
                <w:color w:val="000000"/>
                <w:kern w:val="0"/>
                <w:szCs w:val="21"/>
              </w:rPr>
              <w:t>三、补齐补强项目</w:t>
            </w:r>
          </w:p>
        </w:tc>
        <w:tc>
          <w:tcPr>
            <w:tcW w:w="1290" w:type="dxa"/>
            <w:tcBorders>
              <w:top w:val="nil"/>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3928.701</w:t>
            </w:r>
          </w:p>
        </w:tc>
        <w:tc>
          <w:tcPr>
            <w:tcW w:w="1259" w:type="dxa"/>
            <w:tcBorders>
              <w:top w:val="nil"/>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2443.839</w:t>
            </w:r>
          </w:p>
        </w:tc>
        <w:tc>
          <w:tcPr>
            <w:tcW w:w="1423" w:type="dxa"/>
            <w:tcBorders>
              <w:top w:val="nil"/>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俄罗村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县住建局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排污设施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俄罗村排污设施建设项目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教场村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更换饮用水管(主管8220米)(副管21680米）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集广村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集广村饮水提升建设项目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觉莫村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饮水提升工程，安装管道5公里，修建蓄水池3个</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上云村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硬化连户路建设项目宽2米550米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4.199</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金星村1、2、4、5主水更换管</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216.42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新林镇政府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新茶村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新茶村两河口道路硬化工程项目（道路42米，路涵洞2道及道路安防工程等项目）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43.56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新火村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大堡镇新火村道路改建沥青黑化工程项目（3公里）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观慈村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县住建局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61" w:right="-13" w:rightChars="-6" w:hanging="128" w:hangingChars="65"/>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人居环境整治</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平等乡观慈村人居环境整治建设项目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93.29</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大香村 </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新林镇大香村新建车行桥工程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232.26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桥楼村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桥楼村慈渔秋河饮水管道建设项目490米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新建取水口1处、新建蓄水池1口、输配水管网安装</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89</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68.3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观慈村 </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观慈村通组路水毁修复工程项目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100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双河村、万漩村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新建300立方米蓄水池一座，新建拦水坝28米，更换PE40管4公里；万漩村七组新建机井一座、配套管网、蓄水池及其他配套设施.</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金岩村车行桥工程建设项目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125.54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共和村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共和村公路桥工程建设项目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128.02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挖吉村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挖吉村公路桥新建工程建设项目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808.43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长梯村、新华村、云心村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长梯村、新华村、云心村建设长4.5公里，宽2米的连户路。</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34.9</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34.9</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2021年9月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新火村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硬化连户路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硬化连户路建设项目1.12公里、宽1.2-2米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输配水管网升级改造</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2021年10月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双河村 </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双河至中坪加宽道路建设工程项目2公里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431.421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280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县发改局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贴息补助</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易地扶贫搬迁贷款贴息补助项目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487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487</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县发改局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县乡村振兴局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雨露计划</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全县“雨露计划”补助项目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235.65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235.65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县乡村振兴局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2021年12月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县乡村振兴局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贷款贴息</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彝家新寨、易地扶贫搬迁住房贷款贴息项目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90.5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90.5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县乡村振兴局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2021年12月</w:t>
            </w:r>
          </w:p>
        </w:tc>
      </w:tr>
      <w:tr>
        <w:tblPrEx>
          <w:tblCellMar>
            <w:top w:w="0" w:type="dxa"/>
            <w:left w:w="108" w:type="dxa"/>
            <w:bottom w:w="0" w:type="dxa"/>
            <w:right w:w="108" w:type="dxa"/>
          </w:tblCellMar>
        </w:tblPrEx>
        <w:trPr>
          <w:trHeight w:val="742" w:hRule="atLeast"/>
          <w:jc w:val="center"/>
        </w:trPr>
        <w:tc>
          <w:tcPr>
            <w:tcW w:w="94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Arial" w:eastAsia="楷体_GB2312" w:cs="Arial"/>
                <w:b/>
                <w:color w:val="000000"/>
                <w:kern w:val="0"/>
                <w:szCs w:val="21"/>
              </w:rPr>
            </w:pPr>
            <w:r>
              <w:rPr>
                <w:rFonts w:hint="eastAsia" w:ascii="楷体_GB2312" w:hAnsi="Arial" w:eastAsia="楷体_GB2312" w:cs="Arial"/>
                <w:b/>
                <w:color w:val="000000"/>
                <w:kern w:val="0"/>
                <w:szCs w:val="21"/>
              </w:rPr>
              <w:t>四、脱贫攻坚续建项目</w:t>
            </w:r>
          </w:p>
        </w:tc>
        <w:tc>
          <w:tcPr>
            <w:tcW w:w="1290" w:type="dxa"/>
            <w:tcBorders>
              <w:top w:val="nil"/>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 xml:space="preserve">1796.19 </w:t>
            </w:r>
          </w:p>
        </w:tc>
        <w:tc>
          <w:tcPr>
            <w:tcW w:w="1259" w:type="dxa"/>
            <w:tcBorders>
              <w:top w:val="nil"/>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 xml:space="preserve">1796.20 </w:t>
            </w:r>
          </w:p>
        </w:tc>
        <w:tc>
          <w:tcPr>
            <w:tcW w:w="1423" w:type="dxa"/>
            <w:tcBorders>
              <w:top w:val="nil"/>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b/>
                <w:bCs/>
                <w:color w:val="000000"/>
                <w:kern w:val="0"/>
                <w:szCs w:val="21"/>
              </w:rPr>
            </w:pPr>
          </w:p>
        </w:tc>
      </w:tr>
      <w:tr>
        <w:tblPrEx>
          <w:tblCellMar>
            <w:top w:w="0" w:type="dxa"/>
            <w:left w:w="108" w:type="dxa"/>
            <w:bottom w:w="0" w:type="dxa"/>
            <w:right w:w="108" w:type="dxa"/>
          </w:tblCellMar>
        </w:tblPrEx>
        <w:trPr>
          <w:trHeight w:val="8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太平村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县发改局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原红花乡太坪村石碑岗峨美路复线交界处至通组硬化路段终点，长4.262公里，宽度3.5米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10.17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10.17</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8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Arial" w:eastAsia="仿宋_GB2312" w:cs="Arial"/>
                <w:color w:val="000000"/>
                <w:kern w:val="0"/>
                <w:szCs w:val="21"/>
              </w:rPr>
            </w:pPr>
            <w:r>
              <w:rPr>
                <w:rFonts w:hint="eastAsia" w:ascii="仿宋_GB2312" w:hAnsi="Arial" w:eastAsia="仿宋_GB2312" w:cs="Arial"/>
                <w:color w:val="000000"/>
                <w:kern w:val="0"/>
                <w:szCs w:val="21"/>
              </w:rPr>
              <w:t>化林村、</w:t>
            </w:r>
          </w:p>
          <w:p>
            <w:pPr>
              <w:widowControl/>
              <w:ind w:leftChars="-20" w:hanging="42" w:hangingChars="20"/>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桥楼村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化</w:t>
            </w:r>
            <w:r>
              <w:rPr>
                <w:rFonts w:hint="eastAsia" w:ascii="仿宋_GB2312" w:hAnsi="Arial" w:eastAsia="仿宋_GB2312" w:cs="Arial"/>
                <w:color w:val="000000"/>
                <w:spacing w:val="8"/>
                <w:kern w:val="0"/>
                <w:szCs w:val="21"/>
              </w:rPr>
              <w:t>林村、桥楼村水源工程改造2处、输配水管网安装28.56千米，缓释消毒设</w:t>
            </w:r>
            <w:r>
              <w:rPr>
                <w:rFonts w:hint="eastAsia" w:ascii="仿宋_GB2312" w:hAnsi="Arial" w:eastAsia="仿宋_GB2312" w:cs="Arial"/>
                <w:color w:val="000000"/>
                <w:kern w:val="0"/>
                <w:szCs w:val="21"/>
              </w:rPr>
              <w:t>备4套</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12.67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12.67</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98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红星村新建取水口2处，安装输配水管网14千米、新建蓄水池1座。岩悬村：新建3口蓄水池、安装管道24000m</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32.55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32.55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90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新火村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原火花村新建取水枢纽1处，安装.6MPa dn110 PE管5300m，新建200m</w:t>
            </w:r>
            <w:r>
              <w:rPr>
                <w:rFonts w:ascii="宋体" w:hAnsi="宋体" w:cs="Arial"/>
                <w:color w:val="000000"/>
                <w:kern w:val="0"/>
                <w:szCs w:val="21"/>
              </w:rPr>
              <w:t>³</w:t>
            </w:r>
            <w:r>
              <w:rPr>
                <w:rFonts w:ascii="仿宋_GB2312" w:hAnsi="Arial" w:eastAsia="仿宋_GB2312" w:cs="Arial"/>
                <w:color w:val="000000"/>
                <w:kern w:val="0"/>
                <w:szCs w:val="21"/>
              </w:rPr>
              <w:t>蓄水池1口、缓释消毒设备1套</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37.71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37.71</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红星村维修整治5公里工农堰 </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53.7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53.7</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100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高湾村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2020年脱贫攻坚饮水提升对标补短工程，新建取水枢纽1处、安装输配水管网12千米）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12.35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12.35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新火村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原新丰村改造取水口一处、安装水管10.87km</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66.36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66.36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98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四坪村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四坪村安装dn75管4000米、安装dn50管1200米、新建取水枢纽2处、调压池2处</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90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俄罗村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俄罗村新建取水池2座、蓄水池1座，安装水管4.5km，配套缓释消毒器1台。</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瓦洛村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白杨乡瓦洛村一、五组大渔洞公路挡墙及附属设施项目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25.153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25.153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集广村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大堡镇集广桥楼路基路面修补工程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37.95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37.95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双溪村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大堡镇双溪村水毁工程（双溪村8.02浆砌挡墙工程）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4.96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4.96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化林村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大堡镇化林村通村公路渡水槽新建工程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82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Arial" w:eastAsia="仿宋_GB2312" w:cs="Arial"/>
                <w:color w:val="000000"/>
                <w:kern w:val="0"/>
                <w:szCs w:val="21"/>
              </w:rPr>
            </w:pPr>
            <w:r>
              <w:rPr>
                <w:rFonts w:hint="eastAsia" w:ascii="仿宋_GB2312" w:hAnsi="Arial" w:eastAsia="仿宋_GB2312" w:cs="Arial"/>
                <w:color w:val="000000"/>
                <w:kern w:val="0"/>
                <w:szCs w:val="21"/>
              </w:rPr>
              <w:t>依乌村、</w:t>
            </w:r>
          </w:p>
          <w:p>
            <w:pPr>
              <w:widowControl/>
              <w:ind w:leftChars="-20" w:hanging="42" w:hangingChars="20"/>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古井村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黑竹沟镇依乌村至古井村村道8.5公里硬化工程（宽4.5米）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10.02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马杵千村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黑竹沟镇马杵千村公路水毁工程项目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39</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39</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马杵千村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黑竹沟镇马杵千村三组官料河人行桥建设工程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8.92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8.92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9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为觉村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觉莫乡为觉村二四组入户路改建工程（二组0.4公里、四组0.36公里，宽3.5米、厚0.2米)）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19.9</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19.9</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88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为觉村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觉莫乡为觉村通村公路“8.02”抢险救灾重建工程项目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13.88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13.88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共和村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金岩乡共和村林区道路延长线工程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金岩乡政府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余坪村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余坪村人行水泥板桥2座新建项目（长80米）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53.48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53.48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光明村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光明村七组大水沟公路桥建设项目（长8米、宽5.5米）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106.362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106.362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光明村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光明村十组大河沟桥新建工程（全长0.141公里、长50米、宽2.5米））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22.8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22.8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战斗村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战斗村三组小桥改建工程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19.5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19.5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战斗村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战斗村一组小桥改建工程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25.35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25.35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平等乡政府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红星村村内道路水毁工程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11.522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11.53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峨星村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峨星村至红星村通村公路路基回填滑坡排危除险工程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7.12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7.12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雪山村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雪山村村道应急抢险工程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万坪村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原约嘎村2组、冷其村6组人行吊桥建设项目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大村长河扁新建人行桥建设项目（长15米、宽5.5米）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9.57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9.57</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新街村瓦岩坝桥梁新建工程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37.147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37.147</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新街村两河口桥梁新建工程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56.32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56.32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田村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田村村委会后道路硬化及护坡挡墙工程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11.14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11.14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Arial" w:eastAsia="仿宋_GB2312" w:cs="Arial"/>
                <w:color w:val="000000"/>
                <w:kern w:val="0"/>
                <w:szCs w:val="21"/>
              </w:rPr>
            </w:pPr>
            <w:r>
              <w:rPr>
                <w:rFonts w:hint="eastAsia" w:ascii="仿宋_GB2312" w:hAnsi="Arial" w:eastAsia="仿宋_GB2312" w:cs="Arial"/>
                <w:color w:val="000000"/>
                <w:kern w:val="0"/>
                <w:szCs w:val="21"/>
              </w:rPr>
              <w:t>田 村、</w:t>
            </w:r>
          </w:p>
          <w:p>
            <w:pPr>
              <w:widowControl/>
              <w:jc w:val="center"/>
              <w:rPr>
                <w:rFonts w:hint="eastAsia" w:ascii="仿宋_GB2312" w:hAnsi="Arial" w:eastAsia="仿宋_GB2312" w:cs="Arial"/>
                <w:color w:val="000000"/>
                <w:kern w:val="0"/>
                <w:szCs w:val="21"/>
              </w:rPr>
            </w:pPr>
            <w:r>
              <w:rPr>
                <w:rFonts w:hint="eastAsia" w:ascii="仿宋_GB2312" w:hAnsi="Arial" w:eastAsia="仿宋_GB2312" w:cs="Arial"/>
                <w:color w:val="000000"/>
                <w:kern w:val="0"/>
                <w:szCs w:val="21"/>
              </w:rPr>
              <w:t>大 村、</w:t>
            </w:r>
          </w:p>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双凤村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田村等通组路安防设施完善工程（田村4.968公里，大村2.818公里，双凤-田村4.9公里）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27.7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27.7</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五渡镇大村涵洞建设工程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3.85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3.85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茶店村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茶店村涵洞建设工程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4.34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4.34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工农村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工农村村道路面整治提升工程（0.858公里）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14.774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14.774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田村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田村公路路面修复工程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6.68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6.68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新场乡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星星村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星星村村道水毁工程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11.86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11.86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新场乡政府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8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新场乡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星星村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星星村新建涵洞工程（5座钢筋混凝土明板涵；5座钢筋混凝土圆管涵）</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20.02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20.02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新场乡政府 </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大香村、白杨村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大香村至白杨乡路面修复工程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17.22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17.22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葛村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葛村猪坝小桥改建工程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18.44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18.44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县交投公司</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四坪村、大坪村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四坪村和大坪村农村客运路线水毁路段修复项目</w:t>
            </w:r>
            <w:r>
              <w:rPr>
                <w:rFonts w:ascii="Arial" w:hAnsi="Arial" w:eastAsia="仿宋_GB2312" w:cs="Arial"/>
                <w:color w:val="000000"/>
                <w:kern w:val="0"/>
                <w:szCs w:val="21"/>
              </w:rPr>
              <w:t xml:space="preserve">  </w:t>
            </w:r>
            <w:r>
              <w:rPr>
                <w:rFonts w:ascii="仿宋_GB2312" w:hAnsi="Arial" w:eastAsia="仿宋_GB2312" w:cs="Arial"/>
                <w:color w:val="000000"/>
                <w:kern w:val="0"/>
                <w:szCs w:val="21"/>
              </w:rPr>
              <w:t xml:space="preserve"> </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26.12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26.12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78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大坪村等五个村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上云、觉莫等五个村水毁修复工程（共31处路基冲毁、垮方、地基下沉或冲空）</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117.2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117.2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泉水村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泉水村荆竹平通组公路0.12公里堡坎建设工程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8.625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8.625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90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泉水村、群力村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泉水村等通组路安防设施完善工程（泉水村5.286公里，群力村0.818公里)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24.6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24.6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余坪村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原群力村四组到六组1.38公里通组路建设工程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13.48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13.48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新华村集中区新建安全饮水建设项目（蓄水池建设）</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52.66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52.66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新华村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人畜饮水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毛坪镇新华村康润农业有限公司人畜饮水建设项目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凡山村等</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安全饮水</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农村饮水安全巩固提升项目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215.53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215.53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郭坝村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郭坝村大五矿门至向阳村入口路面改造工程工、农村污水处理厂至五矿门口路面改造工程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五渡镇政府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木厂村等</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杨村乡木厂村等通村公路路侧护栏工程（木厂村四坪村0.702公里）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1.9</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1.9</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高山村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高山村村道完善工程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1.345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1.345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毛坪镇政府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753"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月包村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月包村新修五组通组路硬化工程全长1.5公里，路基宽4.5米，路面宽3.5米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7.13</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7.13</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7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桠桠村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桠桠村3组硬化通组公路长1.4396公里，路基宽4.5米，路面宽3.5米，采用水泥混凝土路面 </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11.2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杨河乡政府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沙坪镇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红星村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红星村水毁沟渠治理项目长140米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马井村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县住建局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排污设施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原山峰村公共排污设施</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4.45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4.45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57</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楠木村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县住建局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楠木村集中区挡土墙、护栏、地面硬化等建设项目工程</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39.56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39.56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新林镇政府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70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58</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泉水村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县乡村振兴局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宜坪乡泉水村通组道路地质灾害治理项目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35.75</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35.75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59</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柑子口村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县乡村振兴局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道路建设</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新建硬化通组公路建设项目3.95公里</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81.76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81.76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勒乌乡政府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巴溪村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县乡村振兴局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巴溪村集中区建设项目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94.07</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94.07</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巴溪村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县乡村振兴局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基础设施</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巴溪村饮水管道、挡土墙、护栏、排污等建设项目</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8.80 </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8.8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黑竹沟镇政府</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2021年8月</w:t>
            </w:r>
          </w:p>
        </w:tc>
      </w:tr>
      <w:tr>
        <w:tblPrEx>
          <w:tblCellMar>
            <w:top w:w="0" w:type="dxa"/>
            <w:left w:w="108" w:type="dxa"/>
            <w:bottom w:w="0" w:type="dxa"/>
            <w:right w:w="108" w:type="dxa"/>
          </w:tblCellMar>
        </w:tblPrEx>
        <w:trPr>
          <w:trHeight w:val="767" w:hRule="atLeast"/>
          <w:jc w:val="center"/>
        </w:trPr>
        <w:tc>
          <w:tcPr>
            <w:tcW w:w="9469" w:type="dxa"/>
            <w:gridSpan w:val="6"/>
            <w:tcBorders>
              <w:top w:val="single" w:color="000000" w:sz="4" w:space="0"/>
              <w:left w:val="single" w:color="000000" w:sz="4" w:space="0"/>
              <w:bottom w:val="nil"/>
              <w:right w:val="single" w:color="000000" w:sz="4" w:space="0"/>
            </w:tcBorders>
            <w:noWrap w:val="0"/>
            <w:vAlign w:val="center"/>
          </w:tcPr>
          <w:p>
            <w:pPr>
              <w:widowControl/>
              <w:jc w:val="left"/>
              <w:rPr>
                <w:rFonts w:hint="eastAsia" w:ascii="楷体_GB2312" w:hAnsi="Arial" w:eastAsia="楷体_GB2312" w:cs="Arial"/>
                <w:b/>
                <w:color w:val="000000"/>
                <w:kern w:val="0"/>
                <w:szCs w:val="21"/>
              </w:rPr>
            </w:pPr>
            <w:r>
              <w:rPr>
                <w:rFonts w:hint="eastAsia" w:ascii="楷体_GB2312" w:hAnsi="Arial" w:eastAsia="楷体_GB2312" w:cs="Arial"/>
                <w:b/>
                <w:color w:val="000000"/>
                <w:kern w:val="0"/>
                <w:szCs w:val="21"/>
              </w:rPr>
              <w:t>五、项目管理费</w:t>
            </w:r>
          </w:p>
        </w:tc>
        <w:tc>
          <w:tcPr>
            <w:tcW w:w="1290" w:type="dxa"/>
            <w:tcBorders>
              <w:top w:val="nil"/>
              <w:left w:val="single" w:color="000000" w:sz="4" w:space="0"/>
              <w:bottom w:val="nil"/>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 xml:space="preserve">102.31 </w:t>
            </w:r>
          </w:p>
        </w:tc>
        <w:tc>
          <w:tcPr>
            <w:tcW w:w="1259" w:type="dxa"/>
            <w:tcBorders>
              <w:top w:val="nil"/>
              <w:left w:val="single" w:color="000000" w:sz="4" w:space="0"/>
              <w:bottom w:val="nil"/>
              <w:right w:val="single" w:color="000000" w:sz="4" w:space="0"/>
            </w:tcBorders>
            <w:noWrap w:val="0"/>
            <w:vAlign w:val="center"/>
          </w:tcPr>
          <w:p>
            <w:pPr>
              <w:widowControl/>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 xml:space="preserve">102.31 </w:t>
            </w:r>
          </w:p>
        </w:tc>
        <w:tc>
          <w:tcPr>
            <w:tcW w:w="1423" w:type="dxa"/>
            <w:tcBorders>
              <w:top w:val="nil"/>
              <w:left w:val="single" w:color="000000" w:sz="4" w:space="0"/>
              <w:bottom w:val="nil"/>
              <w:right w:val="single" w:color="000000" w:sz="4" w:space="0"/>
            </w:tcBorders>
            <w:noWrap w:val="0"/>
            <w:vAlign w:val="center"/>
          </w:tcPr>
          <w:p>
            <w:pPr>
              <w:widowControl/>
              <w:jc w:val="center"/>
              <w:rPr>
                <w:rFonts w:ascii="仿宋_GB2312" w:hAnsi="Arial" w:eastAsia="仿宋_GB2312" w:cs="Arial"/>
                <w:b/>
                <w:bCs/>
                <w:color w:val="000000"/>
                <w:kern w:val="0"/>
                <w:szCs w:val="21"/>
              </w:rPr>
            </w:pPr>
          </w:p>
        </w:tc>
        <w:tc>
          <w:tcPr>
            <w:tcW w:w="1394" w:type="dxa"/>
            <w:tcBorders>
              <w:top w:val="single" w:color="000000" w:sz="4" w:space="0"/>
              <w:left w:val="single" w:color="000000" w:sz="4" w:space="0"/>
              <w:bottom w:val="nil"/>
              <w:right w:val="single" w:color="000000" w:sz="4" w:space="0"/>
            </w:tcBorders>
            <w:noWrap w:val="0"/>
            <w:vAlign w:val="center"/>
          </w:tcPr>
          <w:p>
            <w:pPr>
              <w:widowControl/>
              <w:jc w:val="center"/>
              <w:rPr>
                <w:rFonts w:ascii="仿宋_GB2312" w:hAnsi="Arial" w:eastAsia="仿宋_GB2312" w:cs="Arial"/>
                <w:b/>
                <w:bCs/>
                <w:color w:val="000000"/>
                <w:kern w:val="0"/>
                <w:szCs w:val="21"/>
              </w:rPr>
            </w:pPr>
          </w:p>
        </w:tc>
      </w:tr>
      <w:tr>
        <w:tblPrEx>
          <w:tblCellMar>
            <w:top w:w="0" w:type="dxa"/>
            <w:left w:w="108" w:type="dxa"/>
            <w:bottom w:w="0" w:type="dxa"/>
            <w:right w:w="108" w:type="dxa"/>
          </w:tblCellMar>
        </w:tblPrEx>
        <w:trPr>
          <w:trHeight w:val="7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项目管理费</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按照总资金的1%提取管理费，用于建设项目设计、预算、监理等费用</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35.31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35.31</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县交通局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7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项目管理费</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按照总资金的1%提取管理费，用于建设项目设计、预算、监理等费用</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30</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30</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spacing w:val="-6"/>
                <w:kern w:val="0"/>
                <w:szCs w:val="21"/>
              </w:rPr>
              <w:t>县农业农村局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7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3</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项目管理费</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按照总资金的1%提取管理费，用于建设项目设计、预算、监理等费用</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18</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县水务局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7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县住建局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项目管理费</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按照总资金的1%提取管理费，用于建设项目设计、预算、监理等费用</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12</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县住建局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7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5</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县林业局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项目管理费</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按照总资金的1%提取管理费，用于建设项目设计、预算、监理等费用</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2.6</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县林业局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r>
        <w:tblPrEx>
          <w:tblCellMar>
            <w:top w:w="0" w:type="dxa"/>
            <w:left w:w="108" w:type="dxa"/>
            <w:bottom w:w="0" w:type="dxa"/>
            <w:right w:w="108" w:type="dxa"/>
          </w:tblCellMar>
        </w:tblPrEx>
        <w:trPr>
          <w:trHeight w:val="760"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6</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全县</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县乡村振兴局</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项目管理费</w:t>
            </w:r>
          </w:p>
        </w:tc>
        <w:tc>
          <w:tcPr>
            <w:tcW w:w="406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按照总资金的1%提取管理费，用于建设项目设计、预算、监理等费用</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4.4</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spacing w:val="-6"/>
                <w:kern w:val="0"/>
                <w:szCs w:val="21"/>
              </w:rPr>
            </w:pPr>
            <w:r>
              <w:rPr>
                <w:rFonts w:hint="eastAsia" w:ascii="仿宋_GB2312" w:hAnsi="Arial" w:eastAsia="仿宋_GB2312" w:cs="Arial"/>
                <w:color w:val="000000"/>
                <w:spacing w:val="-6"/>
                <w:kern w:val="0"/>
                <w:szCs w:val="21"/>
              </w:rPr>
              <w:t>县乡村振兴局</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2021年11月</w:t>
            </w:r>
          </w:p>
        </w:tc>
      </w:tr>
    </w:tbl>
    <w:p/>
    <w:sectPr>
      <w:pgSz w:w="16838" w:h="11906" w:orient="landscape"/>
      <w:pgMar w:top="1587" w:right="1414" w:bottom="1474" w:left="1984" w:header="851" w:footer="1417" w:gutter="0"/>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092" w:y="6"/>
      <w:pBdr>
        <w:between w:val="none" w:color="auto" w:sz="0" w:space="0"/>
      </w:pBdr>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hint="eastAsia" w:ascii="宋体" w:hAnsi="宋体"/>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712" w:y="-54"/>
      <w:rPr>
        <w:rStyle w:val="7"/>
        <w:rFonts w:ascii="宋体" w:hAnsi="宋体"/>
        <w:sz w:val="28"/>
        <w:szCs w:val="28"/>
      </w:rPr>
    </w:pPr>
    <w:r>
      <w:rPr>
        <w:rStyle w:val="7"/>
        <w:rFonts w:hint="eastAsia" w:ascii="宋体" w:hAnsi="宋体"/>
        <w:sz w:val="28"/>
        <w:szCs w:val="28"/>
      </w:rPr>
      <w:t xml:space="preserve">― </w:t>
    </w: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2</w:t>
    </w:r>
    <w:r>
      <w:rPr>
        <w:rFonts w:ascii="宋体" w:hAnsi="宋体"/>
        <w:sz w:val="28"/>
        <w:szCs w:val="28"/>
      </w:rPr>
      <w:fldChar w:fldCharType="end"/>
    </w:r>
    <w:r>
      <w:rPr>
        <w:rStyle w:val="7"/>
        <w:rFonts w:hint="eastAsia" w:ascii="宋体" w:hAnsi="宋体"/>
        <w:sz w:val="28"/>
        <w:szCs w:val="28"/>
      </w:rPr>
      <w:t xml:space="preserve"> ―</w:t>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553F27"/>
    <w:rsid w:val="15AA2AE2"/>
    <w:rsid w:val="3F553F27"/>
    <w:rsid w:val="449C79FB"/>
    <w:rsid w:val="75B24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qFormat/>
    <w:uiPriority w:val="0"/>
    <w:pPr>
      <w:spacing w:before="100" w:beforeLines="0" w:beforeAutospacing="1" w:after="100" w:afterLines="0" w:afterAutospacing="1"/>
    </w:pPr>
    <w:rPr>
      <w:rFonts w:ascii="ˎ̥" w:hAnsi="ˎ̥" w:eastAsia="宋体" w:cs="宋体"/>
      <w:sz w:val="18"/>
      <w:szCs w:val="18"/>
      <w:lang w:val="en-US" w:eastAsia="zh-CN" w:bidi="ar-SA"/>
    </w:rPr>
  </w:style>
  <w:style w:type="character" w:styleId="7">
    <w:name w:val="page number"/>
    <w:basedOn w:val="6"/>
    <w:qFormat/>
    <w:uiPriority w:val="0"/>
  </w:style>
  <w:style w:type="paragraph" w:customStyle="1" w:styleId="8">
    <w:name w:val="样式2"/>
    <w:basedOn w:val="1"/>
    <w:qFormat/>
    <w:uiPriority w:val="0"/>
    <w:pPr>
      <w:jc w:val="left"/>
    </w:pPr>
    <w:rPr>
      <w:rFonts w:eastAsia="仿宋_GB2312" w:asciiTheme="minorAscii" w:hAnsiTheme="minorAscii"/>
      <w:sz w:val="3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2021-11-08T02:38:00Z</dcterms:created>
  <dc:creator>Administrator</dc:creator>
  <cp:lastModifiedBy>Administrator</cp:lastModifiedBy>
  <dcterms:modified xsi:type="dcterms:W3CDTF">2021-11-08T02:40:29Z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C4774672C33A4D6C8626294411A2490D</vt:lpwstr>
  </property>
</Properties>
</file>