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center"/>
        <w:rPr>
          <w:rFonts w:hint="eastAsia" w:hAnsi="方正小标宋简体" w:eastAsia="方正小标宋简体"/>
          <w:sz w:val="44"/>
          <w:szCs w:val="44"/>
        </w:rPr>
      </w:pPr>
      <w:r>
        <w:rPr>
          <w:rFonts w:hint="eastAsia" w:hAnsi="方正小标宋简体" w:eastAsia="方正小标宋简体"/>
          <w:sz w:val="44"/>
          <w:szCs w:val="44"/>
        </w:rPr>
        <w:t>峨边彝族自治县</w:t>
      </w:r>
    </w:p>
    <w:p>
      <w:pPr>
        <w:spacing w:line="720" w:lineRule="exact"/>
        <w:jc w:val="center"/>
        <w:rPr>
          <w:rFonts w:eastAsia="方正小标宋简体"/>
          <w:sz w:val="44"/>
          <w:szCs w:val="44"/>
        </w:rPr>
      </w:pPr>
      <w:bookmarkStart w:id="0" w:name="_GoBack"/>
      <w:r>
        <w:rPr>
          <w:rFonts w:eastAsia="方正小标宋简体"/>
          <w:sz w:val="44"/>
          <w:szCs w:val="44"/>
        </w:rPr>
        <w:t>2021</w:t>
      </w:r>
      <w:r>
        <w:rPr>
          <w:rFonts w:hint="eastAsia" w:hAnsi="方正小标宋简体" w:eastAsia="方正小标宋简体"/>
          <w:sz w:val="44"/>
          <w:szCs w:val="44"/>
        </w:rPr>
        <w:t>年度未纳入统筹整合县级衔接乡村振兴资金使用方案</w:t>
      </w:r>
    </w:p>
    <w:bookmarkEnd w:id="0"/>
    <w:p>
      <w:pPr>
        <w:spacing w:line="920" w:lineRule="exact"/>
        <w:jc w:val="center"/>
        <w:rPr>
          <w:rFonts w:eastAsia="黑体"/>
          <w:sz w:val="32"/>
          <w:szCs w:val="32"/>
        </w:rPr>
      </w:pP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一、序 言</w:t>
      </w:r>
    </w:p>
    <w:p>
      <w:pPr>
        <w:spacing w:line="600" w:lineRule="exact"/>
        <w:ind w:firstLine="640" w:firstLineChars="200"/>
        <w:rPr>
          <w:rFonts w:hint="eastAsia" w:ascii="楷体_GB2312" w:hAnsi="楷体" w:eastAsia="楷体_GB2312" w:cs="楷体"/>
          <w:sz w:val="32"/>
          <w:szCs w:val="32"/>
        </w:rPr>
      </w:pPr>
      <w:r>
        <w:rPr>
          <w:rFonts w:hint="eastAsia" w:ascii="楷体_GB2312" w:hAnsi="楷体" w:eastAsia="楷体_GB2312" w:cs="楷体"/>
          <w:sz w:val="32"/>
          <w:szCs w:val="32"/>
        </w:rPr>
        <w:t>（一）编制依据</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《中华人民共和国乡村振兴促进法》；</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《中央和省级财政衔接推进乡村振兴补助资金管理办法》的通知（川财农〔</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四川省财政厅等厅局印发的《关于继续支持脱贫县统筹整合使用财政涉农资金工作的通知》（川财农〔</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号）。</w:t>
      </w:r>
    </w:p>
    <w:p>
      <w:pPr>
        <w:spacing w:line="600" w:lineRule="exact"/>
        <w:ind w:firstLine="640" w:firstLineChars="200"/>
        <w:rPr>
          <w:rFonts w:hint="eastAsia" w:ascii="楷体_GB2312" w:hAnsi="楷体" w:eastAsia="楷体_GB2312" w:cs="楷体"/>
          <w:sz w:val="32"/>
          <w:szCs w:val="32"/>
        </w:rPr>
      </w:pPr>
      <w:r>
        <w:rPr>
          <w:rFonts w:hint="eastAsia" w:ascii="楷体_GB2312" w:hAnsi="楷体" w:eastAsia="楷体_GB2312" w:cs="楷体"/>
          <w:sz w:val="32"/>
          <w:szCs w:val="32"/>
        </w:rPr>
        <w:t>（二）主要目标</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按照“四不摘”总体要求，聚焦脱贫人口持续稳定增收工作目标，围绕防致贫返贫动态监测帮扶，有效衔接推进乡村振兴。通过持续加大县本级财政资金投入力度，有效解决教育救助，卫生救助，已实施部分群众安全住房、安全用电、公共服务等项目资金缺口。不断改善和提升彝区群众生活生产条件，全面推进乡村振兴。</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二、目标任务及投资计划</w:t>
      </w:r>
    </w:p>
    <w:p>
      <w:pPr>
        <w:spacing w:line="600" w:lineRule="exact"/>
        <w:ind w:firstLine="640" w:firstLineChars="200"/>
        <w:rPr>
          <w:rFonts w:hint="eastAsia" w:ascii="楷体_GB2312" w:hAnsi="楷体" w:eastAsia="楷体_GB2312" w:cs="楷体"/>
          <w:sz w:val="32"/>
          <w:szCs w:val="32"/>
        </w:rPr>
      </w:pPr>
      <w:r>
        <w:rPr>
          <w:rFonts w:hint="eastAsia" w:ascii="楷体_GB2312" w:hAnsi="楷体" w:eastAsia="楷体_GB2312" w:cs="楷体"/>
          <w:sz w:val="32"/>
          <w:szCs w:val="32"/>
        </w:rPr>
        <w:t>（一）资金来源</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年县级衔接资金投入（峨财政</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20</w:t>
      </w:r>
      <w:r>
        <w:rPr>
          <w:rFonts w:hint="eastAsia" w:ascii="仿宋_GB2312" w:eastAsia="仿宋_GB2312" w:cs="仿宋_GB2312"/>
          <w:color w:val="000000"/>
          <w:kern w:val="0"/>
          <w:sz w:val="32"/>
          <w:szCs w:val="32"/>
        </w:rPr>
        <w:t>21〕</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2580</w:t>
      </w:r>
      <w:r>
        <w:rPr>
          <w:rFonts w:hint="eastAsia" w:ascii="仿宋_GB2312" w:hAnsi="仿宋_GB2312" w:eastAsia="仿宋_GB2312" w:cs="仿宋_GB2312"/>
          <w:sz w:val="32"/>
          <w:szCs w:val="32"/>
        </w:rPr>
        <w:t>万元（备注：县级衔接资金预算</w:t>
      </w:r>
      <w:r>
        <w:rPr>
          <w:rFonts w:ascii="仿宋_GB2312" w:hAnsi="仿宋_GB2312" w:eastAsia="仿宋_GB2312" w:cs="仿宋_GB2312"/>
          <w:sz w:val="32"/>
          <w:szCs w:val="32"/>
        </w:rPr>
        <w:t>2760</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t>180</w:t>
      </w:r>
      <w:r>
        <w:rPr>
          <w:rFonts w:hint="eastAsia" w:ascii="仿宋_GB2312" w:hAnsi="仿宋_GB2312" w:eastAsia="仿宋_GB2312" w:cs="仿宋_GB2312"/>
          <w:sz w:val="32"/>
          <w:szCs w:val="32"/>
        </w:rPr>
        <w:t>万元已纳入统筹整合）。</w:t>
      </w:r>
    </w:p>
    <w:p>
      <w:pPr>
        <w:spacing w:line="620" w:lineRule="exact"/>
        <w:ind w:firstLine="640" w:firstLineChars="200"/>
        <w:rPr>
          <w:rFonts w:hint="eastAsia" w:ascii="楷体_GB2312" w:hAnsi="楷体" w:eastAsia="楷体_GB2312" w:cs="楷体"/>
          <w:sz w:val="32"/>
          <w:szCs w:val="32"/>
        </w:rPr>
      </w:pPr>
      <w:r>
        <w:rPr>
          <w:rFonts w:hint="eastAsia" w:ascii="楷体_GB2312" w:hAnsi="楷体" w:eastAsia="楷体_GB2312" w:cs="楷体"/>
          <w:sz w:val="32"/>
          <w:szCs w:val="32"/>
        </w:rPr>
        <w:t>（二）项目类别及投资计划</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经过全面调查摸底和实地规划，上述</w:t>
      </w:r>
      <w:r>
        <w:rPr>
          <w:rFonts w:ascii="仿宋_GB2312" w:hAnsi="仿宋_GB2312" w:eastAsia="仿宋_GB2312" w:cs="仿宋_GB2312"/>
          <w:sz w:val="32"/>
          <w:szCs w:val="32"/>
        </w:rPr>
        <w:t>2580</w:t>
      </w:r>
      <w:r>
        <w:rPr>
          <w:rFonts w:hint="eastAsia" w:ascii="仿宋_GB2312" w:hAnsi="仿宋_GB2312" w:eastAsia="仿宋_GB2312" w:cs="仿宋_GB2312"/>
          <w:sz w:val="32"/>
          <w:szCs w:val="32"/>
        </w:rPr>
        <w:t>万元资金安排用于</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个巩固成果衔接乡村振兴项目，具体如下：</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原觉莫乡茨竹村新建</w:t>
      </w:r>
      <w:r>
        <w:rPr>
          <w:rFonts w:ascii="仿宋_GB2312" w:hAnsi="仿宋_GB2312" w:eastAsia="仿宋_GB2312" w:cs="仿宋_GB2312"/>
          <w:sz w:val="32"/>
          <w:szCs w:val="32"/>
        </w:rPr>
        <w:t>1650</w:t>
      </w:r>
      <w:r>
        <w:rPr>
          <w:rFonts w:hint="eastAsia" w:ascii="仿宋_GB2312" w:hAnsi="仿宋_GB2312" w:eastAsia="仿宋_GB2312" w:cs="仿宋_GB2312"/>
          <w:sz w:val="32"/>
          <w:szCs w:val="32"/>
        </w:rPr>
        <w:t>平方米民族文化广场项目，安排资金</w:t>
      </w:r>
      <w:r>
        <w:rPr>
          <w:rFonts w:ascii="仿宋_GB2312" w:hAnsi="仿宋_GB2312" w:eastAsia="仿宋_GB2312" w:cs="仿宋_GB2312"/>
          <w:sz w:val="32"/>
          <w:szCs w:val="32"/>
        </w:rPr>
        <w:t>17.54</w:t>
      </w:r>
      <w:r>
        <w:rPr>
          <w:rFonts w:hint="eastAsia" w:ascii="仿宋_GB2312" w:hAnsi="仿宋_GB2312" w:eastAsia="仿宋_GB2312" w:cs="仿宋_GB2312"/>
          <w:sz w:val="32"/>
          <w:szCs w:val="32"/>
        </w:rPr>
        <w:t>万元。（监管单位：县民宗局）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平等乡原高岩村新建党群服务中心</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个建设项目，安排资金</w:t>
      </w:r>
      <w:r>
        <w:rPr>
          <w:rFonts w:ascii="仿宋_GB2312" w:hAnsi="仿宋_GB2312" w:eastAsia="仿宋_GB2312" w:cs="仿宋_GB2312"/>
          <w:sz w:val="32"/>
          <w:szCs w:val="32"/>
        </w:rPr>
        <w:t>4.43</w:t>
      </w:r>
      <w:r>
        <w:rPr>
          <w:rFonts w:hint="eastAsia" w:ascii="仿宋_GB2312" w:hAnsi="仿宋_GB2312" w:eastAsia="仿宋_GB2312" w:cs="仿宋_GB2312"/>
          <w:sz w:val="32"/>
          <w:szCs w:val="32"/>
        </w:rPr>
        <w:t>万元。（监管单位：县乡村振兴局）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原哈曲乡巴溪村党群服务中心外墙堡坎加固项目，安排资金</w:t>
      </w:r>
      <w:r>
        <w:rPr>
          <w:rFonts w:ascii="仿宋_GB2312" w:hAnsi="仿宋_GB2312" w:eastAsia="仿宋_GB2312" w:cs="仿宋_GB2312"/>
          <w:sz w:val="32"/>
          <w:szCs w:val="32"/>
        </w:rPr>
        <w:t>1.34</w:t>
      </w:r>
      <w:r>
        <w:rPr>
          <w:rFonts w:hint="eastAsia" w:ascii="仿宋_GB2312" w:hAnsi="仿宋_GB2312" w:eastAsia="仿宋_GB2312" w:cs="仿宋_GB2312"/>
          <w:sz w:val="32"/>
          <w:szCs w:val="32"/>
        </w:rPr>
        <w:t>万元。（监管单位：县住建局）</w:t>
      </w:r>
    </w:p>
    <w:p>
      <w:pPr>
        <w:spacing w:line="62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毛坪镇高山村党群服务中心改造项目，安排资金</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0万元。（监管单位：县住建局）</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5.勒乌乡原甲挖村三组安全防护工程，安排资金</w:t>
      </w:r>
      <w:r>
        <w:rPr>
          <w:rFonts w:ascii="仿宋_GB2312" w:hAnsi="仿宋_GB2312" w:eastAsia="仿宋_GB2312" w:cs="仿宋_GB2312"/>
          <w:sz w:val="32"/>
          <w:szCs w:val="32"/>
        </w:rPr>
        <w:t>0.93</w:t>
      </w:r>
      <w:r>
        <w:rPr>
          <w:rFonts w:hint="eastAsia" w:ascii="仿宋_GB2312" w:hAnsi="仿宋_GB2312" w:eastAsia="仿宋_GB2312" w:cs="仿宋_GB2312"/>
          <w:sz w:val="32"/>
          <w:szCs w:val="32"/>
        </w:rPr>
        <w:t>万元。（监管单位：县住建局）</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原哈曲乡人民政府彝家新寨</w:t>
      </w:r>
      <w:r>
        <w:rPr>
          <w:rFonts w:ascii="仿宋_GB2312" w:hAnsi="仿宋_GB2312" w:eastAsia="仿宋_GB2312" w:cs="仿宋_GB2312"/>
          <w:sz w:val="32"/>
          <w:szCs w:val="32"/>
        </w:rPr>
        <w:t>10KV</w:t>
      </w:r>
      <w:r>
        <w:rPr>
          <w:rFonts w:hint="eastAsia" w:ascii="仿宋_GB2312" w:hAnsi="仿宋_GB2312" w:eastAsia="仿宋_GB2312" w:cs="仿宋_GB2312"/>
          <w:sz w:val="32"/>
          <w:szCs w:val="32"/>
        </w:rPr>
        <w:t>及以下配电网改造工程项目，安排资金</w:t>
      </w:r>
      <w:r>
        <w:rPr>
          <w:rFonts w:ascii="仿宋_GB2312" w:hAnsi="仿宋_GB2312" w:eastAsia="仿宋_GB2312" w:cs="仿宋_GB2312"/>
          <w:sz w:val="32"/>
          <w:szCs w:val="32"/>
        </w:rPr>
        <w:t>0.57</w:t>
      </w:r>
      <w:r>
        <w:rPr>
          <w:rFonts w:hint="eastAsia" w:ascii="仿宋_GB2312" w:hAnsi="仿宋_GB2312" w:eastAsia="仿宋_GB2312" w:cs="仿宋_GB2312"/>
          <w:sz w:val="32"/>
          <w:szCs w:val="32"/>
        </w:rPr>
        <w:t>万元。（监管单位：县住建局）</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新林镇瓦洛村小作坊建设项目，安排资金</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万元。（监管单位：县农业农村局）</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五渡镇龚嘴驿站农旅融合项目，安排资金</w:t>
      </w:r>
      <w:r>
        <w:rPr>
          <w:rFonts w:ascii="仿宋_GB2312" w:hAnsi="仿宋_GB2312" w:eastAsia="仿宋_GB2312" w:cs="仿宋_GB2312"/>
          <w:sz w:val="32"/>
          <w:szCs w:val="32"/>
        </w:rPr>
        <w:t>4.93</w:t>
      </w:r>
      <w:r>
        <w:rPr>
          <w:rFonts w:hint="eastAsia" w:ascii="仿宋_GB2312" w:hAnsi="仿宋_GB2312" w:eastAsia="仿宋_GB2312" w:cs="仿宋_GB2312"/>
          <w:sz w:val="32"/>
          <w:szCs w:val="32"/>
        </w:rPr>
        <w:t>万元。（监管单位：县农业农村局）</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年脱贫攻坚精准扶贫档案经费（含设备配置），安排资金</w:t>
      </w:r>
      <w:r>
        <w:rPr>
          <w:rFonts w:ascii="仿宋_GB2312" w:hAnsi="仿宋_GB2312" w:eastAsia="仿宋_GB2312" w:cs="仿宋_GB2312"/>
          <w:sz w:val="32"/>
          <w:szCs w:val="32"/>
        </w:rPr>
        <w:t>173</w:t>
      </w:r>
      <w:r>
        <w:rPr>
          <w:rFonts w:hint="eastAsia" w:ascii="仿宋_GB2312" w:hAnsi="仿宋_GB2312" w:eastAsia="仿宋_GB2312" w:cs="仿宋_GB2312"/>
          <w:sz w:val="32"/>
          <w:szCs w:val="32"/>
        </w:rPr>
        <w:t>万元。（监管单位：县乡村振兴局）</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年乡镇巩固拓展脱贫攻坚成果同乡村振兴有效衔接工作经费，安排资金</w:t>
      </w:r>
      <w:r>
        <w:rPr>
          <w:rFonts w:ascii="仿宋_GB2312" w:hAnsi="仿宋_GB2312" w:eastAsia="仿宋_GB2312" w:cs="仿宋_GB2312"/>
          <w:sz w:val="32"/>
          <w:szCs w:val="32"/>
        </w:rPr>
        <w:t>350</w:t>
      </w:r>
      <w:r>
        <w:rPr>
          <w:rFonts w:hint="eastAsia" w:ascii="仿宋_GB2312" w:hAnsi="仿宋_GB2312" w:eastAsia="仿宋_GB2312" w:cs="仿宋_GB2312"/>
          <w:sz w:val="32"/>
          <w:szCs w:val="32"/>
        </w:rPr>
        <w:t>万元（其中沙坪镇</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万、大堡镇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万、新林镇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万、毛坪镇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万、五渡镇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万、黑竹沟镇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万、红旗镇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万、金岩乡</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万、宜坪乡</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万、新场乡</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万、勒乌乡</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万、平等乡</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万、杨河</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乡），主要用于防致贫返贫监测帮扶等脱贫成果巩固有关工作。（监管单位：县乡村振兴局）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年巩固拓展脱贫攻坚成果同乡村振兴有效衔接工作经费，安排资金</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万元。（监管单位：县乡村振兴局）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年巩固拓展脱贫攻坚成果同乡村振兴有效衔接“</w:t>
      </w:r>
      <w:r>
        <w:rPr>
          <w:rFonts w:ascii="仿宋_GB2312" w:hAnsi="仿宋_GB2312" w:eastAsia="仿宋_GB2312" w:cs="仿宋_GB2312"/>
          <w:sz w:val="32"/>
          <w:szCs w:val="32"/>
        </w:rPr>
        <w:t>9+3</w:t>
      </w:r>
      <w:r>
        <w:rPr>
          <w:rFonts w:hint="eastAsia" w:ascii="仿宋_GB2312" w:hAnsi="仿宋_GB2312" w:eastAsia="仿宋_GB2312" w:cs="仿宋_GB2312"/>
          <w:sz w:val="32"/>
          <w:szCs w:val="32"/>
        </w:rPr>
        <w:t>”专项巡察组工作经费，安排资金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万元。（监管单位：县乡村振兴局）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年巩固拓展脱贫攻坚成果同乡村振兴有效衔接县级领导驻村帮扶工作经费，安排资金</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万元。（监管单位：县乡村振兴局）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年扶贫“两会”工作经费，安排资金</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万元。（监管单位：县乡村振兴局）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全县乡村振兴工作经费，安排资金</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万元。（监管单位：县农业农村局）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脱贫户生态护林员专项经费，安排资金</w:t>
      </w:r>
      <w:r>
        <w:rPr>
          <w:rFonts w:ascii="仿宋_GB2312" w:hAnsi="仿宋_GB2312" w:eastAsia="仿宋_GB2312" w:cs="仿宋_GB2312"/>
          <w:sz w:val="32"/>
          <w:szCs w:val="32"/>
        </w:rPr>
        <w:t>36.11</w:t>
      </w:r>
      <w:r>
        <w:rPr>
          <w:rFonts w:hint="eastAsia" w:ascii="仿宋_GB2312" w:hAnsi="仿宋_GB2312" w:eastAsia="仿宋_GB2312" w:cs="仿宋_GB2312"/>
          <w:sz w:val="32"/>
          <w:szCs w:val="32"/>
        </w:rPr>
        <w:t>元。（监管单位：县林业局）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代缴脱困人口城乡居民养老保险，安排资金</w:t>
      </w:r>
      <w:r>
        <w:rPr>
          <w:rFonts w:ascii="仿宋_GB2312" w:hAnsi="仿宋_GB2312" w:eastAsia="仿宋_GB2312" w:cs="仿宋_GB2312"/>
          <w:sz w:val="32"/>
          <w:szCs w:val="32"/>
        </w:rPr>
        <w:t>108</w:t>
      </w:r>
      <w:r>
        <w:rPr>
          <w:rFonts w:hint="eastAsia" w:ascii="仿宋_GB2312" w:hAnsi="仿宋_GB2312" w:eastAsia="仿宋_GB2312" w:cs="仿宋_GB2312"/>
          <w:sz w:val="32"/>
          <w:szCs w:val="32"/>
        </w:rPr>
        <w:t>万元。（监管单位：县社会事业保障中心）</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代缴脱困人口城乡居民医疗保险，安排资金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万元。（监管单位：县医疗保障中心）</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补充卫生扶贫救助基金，安排资金</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万元。（监管单位：县卫健局）</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补充教育扶贫救助基金，安排资金</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万元。（监管单位：县教育局）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补充创业担保基金，安排资金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万元。（监管单位：县就业创业促进中心）</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全县实施农村道路项目设计预算等管理费，安排资金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2.40</w:t>
      </w:r>
      <w:r>
        <w:rPr>
          <w:rFonts w:hint="eastAsia" w:ascii="仿宋_GB2312" w:hAnsi="仿宋_GB2312" w:eastAsia="仿宋_GB2312" w:cs="仿宋_GB2312"/>
          <w:sz w:val="32"/>
          <w:szCs w:val="32"/>
        </w:rPr>
        <w:t>万元。（监管单位：县交通局）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全县安全饮水工程设计预算等管理费用，安排资金</w:t>
      </w:r>
      <w:r>
        <w:rPr>
          <w:rFonts w:ascii="仿宋_GB2312" w:hAnsi="仿宋_GB2312" w:eastAsia="仿宋_GB2312" w:cs="仿宋_GB2312"/>
          <w:sz w:val="32"/>
          <w:szCs w:val="32"/>
        </w:rPr>
        <w:t>37</w:t>
      </w:r>
      <w:r>
        <w:rPr>
          <w:rFonts w:hint="eastAsia" w:ascii="仿宋_GB2312" w:hAnsi="仿宋_GB2312" w:eastAsia="仿宋_GB2312" w:cs="仿宋_GB2312"/>
          <w:sz w:val="32"/>
          <w:szCs w:val="32"/>
        </w:rPr>
        <w:t>万元。（监管单位：县水务局）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全县农业产业（含产业路）项目设计预算等管理费用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安排资金</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万元。（监管单位：县农业农村局）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金岩乡挖吉村二、六组住房</w:t>
      </w:r>
      <w:r>
        <w:rPr>
          <w:rFonts w:ascii="仿宋_GB2312" w:hAnsi="仿宋_GB2312" w:eastAsia="仿宋_GB2312" w:cs="仿宋_GB2312"/>
          <w:sz w:val="32"/>
          <w:szCs w:val="32"/>
        </w:rPr>
        <w:t>65</w:t>
      </w:r>
      <w:r>
        <w:rPr>
          <w:rFonts w:hint="eastAsia" w:ascii="仿宋_GB2312" w:hAnsi="仿宋_GB2312" w:eastAsia="仿宋_GB2312" w:cs="仿宋_GB2312"/>
          <w:sz w:val="32"/>
          <w:szCs w:val="32"/>
        </w:rPr>
        <w:t>户整体提升改造和公共排污设施建设项目，安排资金</w:t>
      </w:r>
      <w:r>
        <w:rPr>
          <w:rFonts w:ascii="仿宋_GB2312" w:hAnsi="仿宋_GB2312" w:eastAsia="仿宋_GB2312" w:cs="仿宋_GB2312"/>
          <w:sz w:val="32"/>
          <w:szCs w:val="32"/>
        </w:rPr>
        <w:t>15.75</w:t>
      </w:r>
      <w:r>
        <w:rPr>
          <w:rFonts w:hint="eastAsia" w:ascii="仿宋_GB2312" w:hAnsi="仿宋_GB2312" w:eastAsia="仿宋_GB2312" w:cs="仿宋_GB2312"/>
          <w:sz w:val="32"/>
          <w:szCs w:val="32"/>
        </w:rPr>
        <w:t>万元。（监管单位：县住建局）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大堡镇农文旅田园综合体项目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安排资金</w:t>
      </w:r>
      <w:r>
        <w:rPr>
          <w:rFonts w:ascii="仿宋_GB2312" w:hAnsi="仿宋_GB2312" w:eastAsia="仿宋_GB2312" w:cs="仿宋_GB2312"/>
          <w:sz w:val="32"/>
          <w:szCs w:val="32"/>
        </w:rPr>
        <w:t>184</w:t>
      </w:r>
      <w:r>
        <w:rPr>
          <w:rFonts w:hint="eastAsia" w:ascii="仿宋_GB2312" w:hAnsi="仿宋_GB2312" w:eastAsia="仿宋_GB2312" w:cs="仿宋_GB2312"/>
          <w:sz w:val="32"/>
          <w:szCs w:val="32"/>
        </w:rPr>
        <w:t>万元。（监管单位：县农业农村局）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宜坪乡乡村规划工作经费，安排资金</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万元。（监管单位：县乡村振兴局）</w:t>
      </w:r>
    </w:p>
    <w:p>
      <w:pPr>
        <w:spacing w:line="6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宜坪乡草坪村枇杷产业提升项目，安排资金</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万元。（监管单位：县农业农村局）</w:t>
      </w:r>
    </w:p>
    <w:p>
      <w:p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三、工作要求</w:t>
      </w:r>
    </w:p>
    <w:p>
      <w:pPr>
        <w:spacing w:line="620" w:lineRule="exact"/>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（一）加强领导，抢抓进度。</w:t>
      </w:r>
      <w:r>
        <w:rPr>
          <w:rFonts w:hint="eastAsia" w:ascii="仿宋_GB2312" w:hAnsi="仿宋_GB2312" w:eastAsia="仿宋_GB2312" w:cs="仿宋_GB2312"/>
          <w:sz w:val="32"/>
          <w:szCs w:val="32"/>
        </w:rPr>
        <w:t>上述涉及基建项目务必于</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月底前全面完成前期工作，</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月底前全面启动，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月底前全面结束，</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月底前完成验收和资金报账。其他涉及年度的项目资金，要按照时间节点按时支付到位，确保年底前完成</w:t>
      </w:r>
      <w:r>
        <w:rPr>
          <w:rFonts w:ascii="仿宋_GB2312" w:hAnsi="仿宋_GB2312" w:eastAsia="仿宋_GB2312" w:cs="仿宋_GB2312"/>
          <w:sz w:val="32"/>
          <w:szCs w:val="32"/>
        </w:rPr>
        <w:t>95%</w:t>
      </w:r>
      <w:r>
        <w:rPr>
          <w:rFonts w:hint="eastAsia" w:ascii="仿宋_GB2312" w:hAnsi="仿宋_GB2312" w:eastAsia="仿宋_GB2312" w:cs="仿宋_GB2312"/>
          <w:sz w:val="32"/>
          <w:szCs w:val="32"/>
        </w:rPr>
        <w:t>以上资金拨付。各项目建设单位要高度重视，落实责任领导和具体工作人员，实行倒排工期，挂图作战，如期高质量完成。</w:t>
      </w:r>
    </w:p>
    <w:p>
      <w:pPr>
        <w:spacing w:line="620" w:lineRule="exact"/>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（二）严格程序，规范管理。</w:t>
      </w:r>
      <w:r>
        <w:rPr>
          <w:rFonts w:hint="eastAsia" w:ascii="仿宋_GB2312" w:hAnsi="仿宋_GB2312" w:eastAsia="仿宋_GB2312" w:cs="仿宋_GB2312"/>
          <w:sz w:val="32"/>
          <w:szCs w:val="32"/>
        </w:rPr>
        <w:t>本方案参照整合涉农资金管理的有关规定，项目实行行业部门牵头负责制度，由县住建局、县林业局、县农业农村局、县水务局等作为项目资金监管部门，同时要严格按照四川省《中央和省级财政衔接推进乡村振兴补助资金管理办法》有关规定执行，强化公告公示，严格按照工程类项目堪察、设计、预算、财评、采购、招投标、评审、预留质保金等规定制度执行。</w:t>
      </w:r>
    </w:p>
    <w:p>
      <w:pPr>
        <w:spacing w:line="620" w:lineRule="exact"/>
        <w:ind w:firstLine="640" w:firstLineChars="200"/>
        <w:rPr>
          <w:rFonts w:ascii="仿宋_GB2312" w:hAnsi="仿宋_GB2312" w:eastAsia="仿宋_GB2312" w:cs="仿宋_GB2312"/>
          <w:sz w:val="32"/>
          <w:szCs w:val="32"/>
        </w:rPr>
      </w:pPr>
      <w:r>
        <w:rPr>
          <w:rFonts w:hint="eastAsia" w:ascii="楷体_GB2312" w:hAnsi="楷体" w:eastAsia="楷体_GB2312" w:cs="楷体"/>
          <w:sz w:val="32"/>
          <w:szCs w:val="32"/>
        </w:rPr>
        <w:t>（二）强化监管，严格绩效。</w:t>
      </w:r>
      <w:r>
        <w:rPr>
          <w:rFonts w:hint="eastAsia" w:ascii="仿宋_GB2312" w:hAnsi="仿宋_GB2312" w:eastAsia="仿宋_GB2312" w:cs="仿宋_GB2312"/>
          <w:sz w:val="32"/>
          <w:szCs w:val="32"/>
        </w:rPr>
        <w:t>项目涉及乡镇要加强对项目和资金监管，党政一把手要亲自抓，要提前谋划，加强宣传，积极做好群众工作，要及时协调处理各种矛盾纠纷，确保项目加快推进。县纪委监委、县委县政府督察室、县财政局要加强监督检查，要充分发挥县级衔接资金使用效益，让建成的项目惠及更多脱贫户，不断提高人民群众满意度。</w:t>
      </w:r>
    </w:p>
    <w:p>
      <w:pPr>
        <w:adjustRightInd w:val="0"/>
        <w:spacing w:line="600" w:lineRule="exact"/>
        <w:ind w:firstLine="640" w:firstLineChars="200"/>
        <w:rPr>
          <w:rFonts w:ascii="仿宋_GB2312" w:eastAsia="仿宋_GB2312"/>
          <w:sz w:val="32"/>
          <w:szCs w:val="32"/>
        </w:rPr>
      </w:pPr>
    </w:p>
    <w:p>
      <w:pPr>
        <w:adjustRightIn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附件：峨边彝族自治县未纳入统筹整合</w:t>
      </w:r>
      <w:r>
        <w:rPr>
          <w:rFonts w:ascii="仿宋_GB2312" w:eastAsia="仿宋_GB2312"/>
          <w:sz w:val="32"/>
          <w:szCs w:val="32"/>
        </w:rPr>
        <w:t>2021</w:t>
      </w:r>
      <w:r>
        <w:rPr>
          <w:rFonts w:hint="eastAsia" w:ascii="仿宋_GB2312" w:eastAsia="仿宋_GB2312"/>
          <w:sz w:val="32"/>
          <w:szCs w:val="32"/>
        </w:rPr>
        <w:t>年县级衔接乡</w:t>
      </w:r>
    </w:p>
    <w:p>
      <w:pPr>
        <w:adjustRightInd w:val="0"/>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村振兴资金项目汇总表</w:t>
      </w:r>
    </w:p>
    <w:p>
      <w:pPr>
        <w:pStyle w:val="4"/>
        <w:widowControl w:val="0"/>
        <w:shd w:val="clear" w:color="auto" w:fill="FFFFFF"/>
        <w:spacing w:before="0" w:beforeAutospacing="0" w:after="0" w:afterAutospacing="0" w:line="600" w:lineRule="exact"/>
        <w:ind w:firstLine="640" w:firstLineChars="200"/>
        <w:jc w:val="both"/>
        <w:rPr>
          <w:rFonts w:hint="eastAsia" w:ascii="仿宋_GB2312" w:hAnsi="仿宋_GB2312" w:eastAsia="仿宋_GB2312" w:cs="仿宋_GB2312"/>
          <w:color w:val="000000"/>
          <w:kern w:val="2"/>
          <w:sz w:val="32"/>
          <w:szCs w:val="32"/>
        </w:rPr>
      </w:pPr>
    </w:p>
    <w:p>
      <w:pPr>
        <w:pStyle w:val="4"/>
        <w:widowControl w:val="0"/>
        <w:shd w:val="clear" w:color="auto" w:fill="FFFFFF"/>
        <w:spacing w:before="0" w:beforeAutospacing="0" w:after="0" w:afterAutospacing="0" w:line="600" w:lineRule="exact"/>
        <w:ind w:firstLine="640" w:firstLineChars="200"/>
        <w:jc w:val="both"/>
        <w:rPr>
          <w:rFonts w:hint="eastAsia" w:ascii="仿宋_GB2312" w:hAnsi="仿宋_GB2312" w:eastAsia="仿宋_GB2312" w:cs="仿宋_GB2312"/>
          <w:color w:val="000000"/>
          <w:kern w:val="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985" w:right="1531" w:bottom="1644" w:left="1531" w:header="567" w:footer="1021" w:gutter="0"/>
          <w:cols w:space="720" w:num="1"/>
          <w:docGrid w:type="lines" w:linePitch="312" w:charSpace="0"/>
        </w:sectPr>
      </w:pPr>
    </w:p>
    <w:p>
      <w:pPr>
        <w:adjustRightInd w:val="0"/>
        <w:spacing w:line="600" w:lineRule="exact"/>
        <w:rPr>
          <w:rFonts w:hint="eastAsia" w:ascii="黑体" w:hAnsi="黑体" w:eastAsia="黑体"/>
          <w:sz w:val="32"/>
          <w:szCs w:val="32"/>
        </w:rPr>
      </w:pPr>
      <w:r>
        <w:rPr>
          <w:rFonts w:hint="eastAsia" w:ascii="黑体" w:hAnsi="黑体" w:eastAsia="黑体"/>
          <w:sz w:val="32"/>
          <w:szCs w:val="32"/>
        </w:rPr>
        <w:t>附件</w:t>
      </w:r>
    </w:p>
    <w:p>
      <w:pPr>
        <w:adjustRightInd w:val="0"/>
        <w:spacing w:line="160" w:lineRule="exact"/>
        <w:rPr>
          <w:rFonts w:hint="eastAsia" w:ascii="黑体" w:hAnsi="黑体" w:eastAsia="黑体"/>
          <w:sz w:val="32"/>
          <w:szCs w:val="32"/>
        </w:rPr>
      </w:pPr>
    </w:p>
    <w:p>
      <w:pPr>
        <w:adjustRightInd w:val="0"/>
        <w:spacing w:line="600" w:lineRule="exact"/>
        <w:jc w:val="center"/>
        <w:rPr>
          <w:rFonts w:eastAsia="方正小标宋简体"/>
          <w:spacing w:val="-12"/>
          <w:w w:val="96"/>
          <w:sz w:val="44"/>
          <w:szCs w:val="44"/>
        </w:rPr>
      </w:pPr>
      <w:r>
        <w:rPr>
          <w:rFonts w:eastAsia="方正小标宋简体"/>
          <w:spacing w:val="-12"/>
          <w:w w:val="96"/>
          <w:sz w:val="44"/>
          <w:szCs w:val="44"/>
        </w:rPr>
        <w:t>峨边彝族自治县未纳入统筹整合2021年县级衔接乡村振兴资金项目汇总表</w:t>
      </w:r>
    </w:p>
    <w:p>
      <w:pPr>
        <w:pStyle w:val="4"/>
        <w:widowControl w:val="0"/>
        <w:shd w:val="clear" w:color="auto" w:fill="FFFFFF"/>
        <w:spacing w:before="0" w:beforeAutospacing="0" w:after="0" w:afterAutospacing="0" w:line="160" w:lineRule="exact"/>
        <w:ind w:firstLine="640" w:firstLineChars="200"/>
        <w:jc w:val="center"/>
        <w:rPr>
          <w:rFonts w:hint="eastAsia" w:ascii="仿宋_GB2312" w:hAnsi="仿宋_GB2312" w:eastAsia="仿宋_GB2312" w:cs="仿宋_GB2312"/>
          <w:color w:val="000000"/>
          <w:kern w:val="2"/>
          <w:sz w:val="32"/>
          <w:szCs w:val="32"/>
        </w:rPr>
      </w:pPr>
    </w:p>
    <w:tbl>
      <w:tblPr>
        <w:tblStyle w:val="5"/>
        <w:tblW w:w="14254" w:type="dxa"/>
        <w:jc w:val="center"/>
        <w:tblLayout w:type="autofit"/>
        <w:tblCellMar>
          <w:top w:w="0" w:type="dxa"/>
          <w:left w:w="108" w:type="dxa"/>
          <w:bottom w:w="0" w:type="dxa"/>
          <w:right w:w="108" w:type="dxa"/>
        </w:tblCellMar>
      </w:tblPr>
      <w:tblGrid>
        <w:gridCol w:w="457"/>
        <w:gridCol w:w="1192"/>
        <w:gridCol w:w="1150"/>
        <w:gridCol w:w="3853"/>
        <w:gridCol w:w="1786"/>
        <w:gridCol w:w="1594"/>
        <w:gridCol w:w="1244"/>
        <w:gridCol w:w="1538"/>
        <w:gridCol w:w="1440"/>
      </w:tblGrid>
      <w:tr>
        <w:tblPrEx>
          <w:tblCellMar>
            <w:top w:w="0" w:type="dxa"/>
            <w:left w:w="108" w:type="dxa"/>
            <w:bottom w:w="0" w:type="dxa"/>
            <w:right w:w="108" w:type="dxa"/>
          </w:tblCellMar>
        </w:tblPrEx>
        <w:trPr>
          <w:trHeight w:val="498" w:hRule="atLeast"/>
          <w:jc w:val="center"/>
        </w:trPr>
        <w:tc>
          <w:tcPr>
            <w:tcW w:w="4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序号</w:t>
            </w:r>
          </w:p>
        </w:tc>
        <w:tc>
          <w:tcPr>
            <w:tcW w:w="119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项目类别</w:t>
            </w:r>
          </w:p>
        </w:tc>
        <w:tc>
          <w:tcPr>
            <w:tcW w:w="838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建 设 任 务</w:t>
            </w:r>
          </w:p>
        </w:tc>
        <w:tc>
          <w:tcPr>
            <w:tcW w:w="278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项目计划投资（万元）</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资金使用监管责任单位</w:t>
            </w:r>
          </w:p>
        </w:tc>
      </w:tr>
      <w:tr>
        <w:tblPrEx>
          <w:tblCellMar>
            <w:top w:w="0" w:type="dxa"/>
            <w:left w:w="108" w:type="dxa"/>
            <w:bottom w:w="0" w:type="dxa"/>
            <w:right w:w="108" w:type="dxa"/>
          </w:tblCellMar>
        </w:tblPrEx>
        <w:trPr>
          <w:trHeight w:val="461" w:hRule="atLeast"/>
          <w:jc w:val="center"/>
        </w:trPr>
        <w:tc>
          <w:tcPr>
            <w:tcW w:w="45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宋体"/>
                <w:color w:val="000000"/>
                <w:kern w:val="0"/>
                <w:szCs w:val="21"/>
              </w:rPr>
            </w:pPr>
          </w:p>
        </w:tc>
        <w:tc>
          <w:tcPr>
            <w:tcW w:w="119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宋体"/>
                <w:color w:val="000000"/>
                <w:kern w:val="0"/>
                <w:szCs w:val="21"/>
              </w:rPr>
            </w:pP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实施地点</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建设规模及内容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建设标准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建设进度计划</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计划投资</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资金来源</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宋体"/>
                <w:color w:val="000000"/>
                <w:kern w:val="0"/>
                <w:szCs w:val="21"/>
              </w:rPr>
            </w:pPr>
          </w:p>
        </w:tc>
      </w:tr>
      <w:tr>
        <w:tblPrEx>
          <w:tblCellMar>
            <w:top w:w="0" w:type="dxa"/>
            <w:left w:w="108" w:type="dxa"/>
            <w:bottom w:w="0" w:type="dxa"/>
            <w:right w:w="108" w:type="dxa"/>
          </w:tblCellMar>
        </w:tblPrEx>
        <w:trPr>
          <w:trHeight w:val="439" w:hRule="atLeast"/>
          <w:jc w:val="center"/>
        </w:trPr>
        <w:tc>
          <w:tcPr>
            <w:tcW w:w="10032"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黑体" w:eastAsia="仿宋_GB2312" w:cs="宋体"/>
                <w:b/>
                <w:color w:val="000000"/>
                <w:kern w:val="0"/>
                <w:szCs w:val="21"/>
              </w:rPr>
            </w:pPr>
            <w:r>
              <w:rPr>
                <w:rFonts w:hint="eastAsia" w:ascii="仿宋_GB2312" w:hAnsi="黑体" w:eastAsia="仿宋_GB2312" w:cs="宋体"/>
                <w:b/>
                <w:color w:val="000000"/>
                <w:kern w:val="0"/>
                <w:szCs w:val="21"/>
              </w:rPr>
              <w:t>合  计</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黑体" w:eastAsia="仿宋_GB2312" w:cs="宋体"/>
                <w:b/>
                <w:color w:val="000000"/>
                <w:kern w:val="0"/>
                <w:szCs w:val="21"/>
              </w:rPr>
            </w:pPr>
            <w:r>
              <w:rPr>
                <w:rFonts w:hint="eastAsia" w:ascii="仿宋_GB2312" w:hAnsi="黑体" w:eastAsia="仿宋_GB2312" w:cs="宋体"/>
                <w:b/>
                <w:color w:val="000000"/>
                <w:kern w:val="0"/>
                <w:szCs w:val="21"/>
              </w:rPr>
              <w:t xml:space="preserve">2580.00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b/>
                <w:bCs/>
                <w:color w:val="000000"/>
                <w:kern w:val="0"/>
                <w:szCs w:val="21"/>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b/>
                <w:bCs/>
                <w:color w:val="000000"/>
                <w:kern w:val="0"/>
                <w:szCs w:val="21"/>
              </w:rPr>
            </w:pP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公共服务</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觉莫村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原觉莫乡茨竹村新建1650平方米民族文化广场</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17.54</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县民宗局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公共服务</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ind w:leftChars="-58" w:right="-204" w:rightChars="-97" w:hanging="121" w:hangingChars="58"/>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清溪村</w:t>
            </w:r>
          </w:p>
          <w:p>
            <w:pPr>
              <w:widowControl/>
              <w:ind w:left="-122" w:leftChars="-58" w:right="-204" w:rightChars="-97"/>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 w:val="18"/>
                <w:szCs w:val="18"/>
              </w:rPr>
              <w:t>（原高岩村）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平等乡原高岩村新建党群服务中心1个建设项目</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4.43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县乡村振兴局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3</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公共服务</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巴溪村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原哈曲乡巴溪村党群服务中心外墙堡坎加固项目</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1.34</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县住建局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4</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公共服务</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高山村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_GB2312" w:eastAsia="仿宋_GB2312" w:cs="仿宋_GB2312"/>
                <w:szCs w:val="21"/>
              </w:rPr>
              <w:t>毛坪镇高山村党群服务中心改造项目</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10月底完成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10</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县住建局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5</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基础设施</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甲挖村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勒乌乡原甲挖村三组安全防护工程</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0.93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县住建局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6</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基础设施</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巴溪村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原哈曲乡人民政府彝家新寨10KV及以下配电网改造工程项目</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10月底完成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0.57</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县住建局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7</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产业发展</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瓦洛村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新林镇瓦洛村小作坊建设项目</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15.00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县农业农村局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8</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产业发展</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先锋村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五渡镇龚嘴驿站农旅融合项目</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4.93</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县农业农村局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其他</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2021年脱贫攻坚精准扶贫档案经费（含设备配置）</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173.00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县乡村振兴局</w:t>
            </w:r>
          </w:p>
        </w:tc>
      </w:tr>
      <w:tr>
        <w:tblPrEx>
          <w:tblCellMar>
            <w:top w:w="0" w:type="dxa"/>
            <w:left w:w="108" w:type="dxa"/>
            <w:bottom w:w="0" w:type="dxa"/>
            <w:right w:w="108" w:type="dxa"/>
          </w:tblCellMar>
        </w:tblPrEx>
        <w:trPr>
          <w:trHeight w:val="24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其他</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2021年乡镇巩固拓展脱贫攻坚成果同乡村振兴有效衔接工作经费（沙坪镇36万、大堡镇30万、新林镇30万、毛坪镇30万、五渡镇30万、黑竹沟镇30万、红旗镇30万、金岩乡27万、宜坪乡27万、新场乡20万、勒乌乡20万、平等乡20万、杨河20乡）用于防致贫返贫监测帮扶、扶贫产业后续管理等脱贫成果巩固工作</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350.00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县乡村振兴局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11</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其他</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2021年巩固拓展脱贫攻坚成果同乡村振兴有效衔接工作经费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50.00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县乡村振兴局</w:t>
            </w:r>
          </w:p>
        </w:tc>
      </w:tr>
      <w:tr>
        <w:tblPrEx>
          <w:tblCellMar>
            <w:top w:w="0" w:type="dxa"/>
            <w:left w:w="108" w:type="dxa"/>
            <w:bottom w:w="0" w:type="dxa"/>
            <w:right w:w="108" w:type="dxa"/>
          </w:tblCellMar>
        </w:tblPrEx>
        <w:trPr>
          <w:trHeight w:val="98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其他</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2021年巩固拓展脱贫攻坚成果同乡村振兴有效衔接“9+3”专项巡察组工作经费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5.00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县乡村振兴局</w:t>
            </w:r>
          </w:p>
        </w:tc>
      </w:tr>
      <w:tr>
        <w:tblPrEx>
          <w:tblCellMar>
            <w:top w:w="0" w:type="dxa"/>
            <w:left w:w="108" w:type="dxa"/>
            <w:bottom w:w="0" w:type="dxa"/>
            <w:right w:w="108" w:type="dxa"/>
          </w:tblCellMar>
        </w:tblPrEx>
        <w:trPr>
          <w:trHeight w:val="86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13</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其他</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2021年巩固拓展脱贫攻坚成果同乡村振兴有效衔接县级领导驻村帮扶工作经费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400.00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县乡村振兴局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14</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其他</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2021年扶贫“两会”工作经费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30.00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县乡村振兴局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15</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其他</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乡村振兴工作经费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50.00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县农业农村局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16</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其他</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脱贫户生态护林员专项经费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36.11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县林业局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17</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医疗保障</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代缴脱困人口城乡居民养老保险</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108.00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县社会事业保障中心</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18</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医疗保障</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代缴脱困人口城乡居民医疗保险</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100.00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县医疗保障中心</w:t>
            </w:r>
          </w:p>
        </w:tc>
      </w:tr>
      <w:tr>
        <w:tblPrEx>
          <w:tblCellMar>
            <w:top w:w="0" w:type="dxa"/>
            <w:left w:w="108" w:type="dxa"/>
            <w:bottom w:w="0" w:type="dxa"/>
            <w:right w:w="108" w:type="dxa"/>
          </w:tblCellMar>
        </w:tblPrEx>
        <w:trPr>
          <w:trHeight w:val="53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19</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医疗保障</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补充卫生扶贫救助基金</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300.00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县卫健局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20</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教育保障</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补充教育扶贫救助基金</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300.00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县教育局</w:t>
            </w:r>
          </w:p>
        </w:tc>
      </w:tr>
      <w:tr>
        <w:tblPrEx>
          <w:tblCellMar>
            <w:top w:w="0" w:type="dxa"/>
            <w:left w:w="108" w:type="dxa"/>
            <w:bottom w:w="0" w:type="dxa"/>
            <w:right w:w="108" w:type="dxa"/>
          </w:tblCellMar>
        </w:tblPrEx>
        <w:trPr>
          <w:trHeight w:val="589"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21</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就业促进</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创业担保基金</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12月底完成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100.00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县就业创业促进中心</w:t>
            </w:r>
          </w:p>
        </w:tc>
      </w:tr>
      <w:tr>
        <w:tblPrEx>
          <w:tblCellMar>
            <w:top w:w="0" w:type="dxa"/>
            <w:left w:w="108" w:type="dxa"/>
            <w:bottom w:w="0" w:type="dxa"/>
            <w:right w:w="108" w:type="dxa"/>
          </w:tblCellMar>
        </w:tblPrEx>
        <w:trPr>
          <w:trHeight w:val="57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22</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独立费用</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全县实施农村道路项目设计预算等管理费用</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202.40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县交通局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23</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独立费用</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全县安全饮水工程设计预算等管理费用</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37.00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县水务局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24</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独立费用</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全县农业产业（含产业路）项目设计预算等管理费用</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 xml:space="preserve">29.00 </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县农业农村局</w:t>
            </w:r>
          </w:p>
        </w:tc>
      </w:tr>
      <w:tr>
        <w:tblPrEx>
          <w:tblCellMar>
            <w:top w:w="0" w:type="dxa"/>
            <w:left w:w="108" w:type="dxa"/>
            <w:bottom w:w="0" w:type="dxa"/>
            <w:right w:w="108" w:type="dxa"/>
          </w:tblCellMar>
        </w:tblPrEx>
        <w:trPr>
          <w:trHeight w:val="70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25</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住房建设</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挖吉村</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金岩乡挖吉村二、六组住房65户整体提升改造和公共排污设施建设项目</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9月底完成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15.75</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县住建局</w:t>
            </w:r>
          </w:p>
        </w:tc>
      </w:tr>
      <w:tr>
        <w:tblPrEx>
          <w:tblCellMar>
            <w:top w:w="0" w:type="dxa"/>
            <w:left w:w="108" w:type="dxa"/>
            <w:bottom w:w="0" w:type="dxa"/>
            <w:right w:w="108" w:type="dxa"/>
          </w:tblCellMar>
        </w:tblPrEx>
        <w:trPr>
          <w:trHeight w:val="125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26</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产业发展</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大堡镇</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大堡镇农文旅田园综合体项目（对桥楼村、新火村、化林村等约13平方公里范围内对综合体进行策划、总体规划，对六个重要节点的设计，形成农文旅融合综合体）</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10月底完成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184</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县农业农村局</w:t>
            </w:r>
          </w:p>
        </w:tc>
      </w:tr>
      <w:tr>
        <w:tblPrEx>
          <w:tblCellMar>
            <w:top w:w="0" w:type="dxa"/>
            <w:left w:w="108" w:type="dxa"/>
            <w:bottom w:w="0" w:type="dxa"/>
            <w:right w:w="108" w:type="dxa"/>
          </w:tblCellMar>
        </w:tblPrEx>
        <w:trPr>
          <w:trHeight w:val="664"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27</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独立费用</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宜坪乡</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乡村规划工作经费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11月底完成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25</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县乡村振兴局</w:t>
            </w:r>
          </w:p>
        </w:tc>
      </w:tr>
      <w:tr>
        <w:tblPrEx>
          <w:tblCellMar>
            <w:top w:w="0" w:type="dxa"/>
            <w:left w:w="108" w:type="dxa"/>
            <w:bottom w:w="0" w:type="dxa"/>
            <w:right w:w="108" w:type="dxa"/>
          </w:tblCellMar>
        </w:tblPrEx>
        <w:trPr>
          <w:trHeight w:val="871"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28</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产业发展</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宜坪乡</w:t>
            </w:r>
          </w:p>
        </w:tc>
        <w:tc>
          <w:tcPr>
            <w:tcW w:w="385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宜坪乡草坪村枇杷产业提升项目（成立枇杷协会，统一包装枇杷产业，举办枇杷节等）。</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有关行业标准</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11月底完成</w:t>
            </w: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30</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Cs w:val="21"/>
              </w:rPr>
            </w:pPr>
            <w:r>
              <w:rPr>
                <w:rFonts w:hint="eastAsia" w:ascii="仿宋_GB2312" w:hAnsi="仿宋" w:eastAsia="仿宋_GB2312" w:cs="宋体"/>
                <w:color w:val="000000"/>
                <w:kern w:val="0"/>
                <w:szCs w:val="21"/>
              </w:rPr>
              <w:t>峨财政</w:t>
            </w:r>
            <w:r>
              <w:rPr>
                <w:rFonts w:hint="eastAsia" w:ascii="仿宋_GB2312" w:eastAsia="仿宋_GB2312" w:cs="仿宋_GB2312"/>
                <w:color w:val="000000"/>
                <w:kern w:val="0"/>
                <w:szCs w:val="21"/>
              </w:rPr>
              <w:t>〔</w:t>
            </w:r>
            <w:r>
              <w:rPr>
                <w:rFonts w:ascii="仿宋_GB2312" w:eastAsia="仿宋_GB2312" w:cs="仿宋_GB2312"/>
                <w:color w:val="000000"/>
                <w:kern w:val="0"/>
                <w:szCs w:val="21"/>
              </w:rPr>
              <w:t>20</w:t>
            </w:r>
            <w:r>
              <w:rPr>
                <w:rFonts w:hint="eastAsia" w:ascii="仿宋_GB2312" w:eastAsia="仿宋_GB2312" w:cs="仿宋_GB2312"/>
                <w:color w:val="000000"/>
                <w:kern w:val="0"/>
                <w:szCs w:val="21"/>
              </w:rPr>
              <w:t>21〕</w:t>
            </w:r>
            <w:r>
              <w:rPr>
                <w:rFonts w:hint="eastAsia" w:ascii="仿宋_GB2312" w:hAnsi="仿宋" w:eastAsia="仿宋_GB2312" w:cs="宋体"/>
                <w:color w:val="000000"/>
                <w:kern w:val="0"/>
                <w:szCs w:val="21"/>
              </w:rPr>
              <w:t>29号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spacing w:val="-6"/>
                <w:kern w:val="0"/>
                <w:szCs w:val="21"/>
              </w:rPr>
            </w:pPr>
            <w:r>
              <w:rPr>
                <w:rFonts w:hint="eastAsia" w:ascii="仿宋_GB2312" w:hAnsi="仿宋" w:eastAsia="仿宋_GB2312" w:cs="宋体"/>
                <w:color w:val="000000"/>
                <w:spacing w:val="-6"/>
                <w:kern w:val="0"/>
                <w:szCs w:val="21"/>
              </w:rPr>
              <w:t>县农业农村局</w:t>
            </w:r>
          </w:p>
        </w:tc>
      </w:tr>
    </w:tbl>
    <w:p>
      <w:pPr>
        <w:pStyle w:val="4"/>
        <w:widowControl w:val="0"/>
        <w:shd w:val="clear" w:color="auto" w:fill="FFFFFF"/>
        <w:spacing w:before="0" w:beforeAutospacing="0" w:after="0" w:afterAutospacing="0" w:line="600" w:lineRule="exact"/>
        <w:ind w:firstLine="640" w:firstLineChars="200"/>
        <w:jc w:val="both"/>
        <w:rPr>
          <w:rFonts w:hint="eastAsia" w:ascii="仿宋_GB2312" w:hAnsi="仿宋_GB2312" w:eastAsia="仿宋_GB2312" w:cs="仿宋_GB2312"/>
          <w:color w:val="000000"/>
          <w:kern w:val="2"/>
          <w:sz w:val="32"/>
          <w:szCs w:val="32"/>
        </w:rPr>
        <w:sectPr>
          <w:pgSz w:w="16838" w:h="11906" w:orient="landscape"/>
          <w:pgMar w:top="1531" w:right="1985" w:bottom="1531" w:left="1644" w:header="567" w:footer="1021" w:gutter="0"/>
          <w:cols w:space="720" w:num="1"/>
          <w:docGrid w:type="lines" w:linePitch="312" w:charSpace="0"/>
        </w:sectPr>
      </w:pPr>
    </w:p>
    <w:p/>
    <w:sectPr>
      <w:pgSz w:w="11906" w:h="16838"/>
      <w:pgMar w:top="2098" w:right="1474" w:bottom="1984" w:left="1587" w:header="851" w:footer="1417" w:gutter="0"/>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092" w:y="6"/>
      <w:pBdr>
        <w:between w:val="none" w:color="auto" w:sz="0" w:space="0"/>
      </w:pBdr>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hint="eastAsia" w:ascii="宋体" w:hAnsi="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712" w:y="-54"/>
      <w:rPr>
        <w:rStyle w:val="7"/>
        <w:rFonts w:ascii="宋体" w:hAnsi="宋体"/>
        <w:sz w:val="28"/>
        <w:szCs w:val="28"/>
      </w:rPr>
    </w:pPr>
    <w:r>
      <w:rPr>
        <w:rStyle w:val="7"/>
        <w:rFonts w:hint="eastAsia" w:ascii="宋体" w:hAnsi="宋体"/>
        <w:sz w:val="28"/>
        <w:szCs w:val="28"/>
      </w:rPr>
      <w:t xml:space="preserve">― </w:t>
    </w: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2</w:t>
    </w:r>
    <w:r>
      <w:rPr>
        <w:rFonts w:ascii="宋体" w:hAnsi="宋体"/>
        <w:sz w:val="28"/>
        <w:szCs w:val="28"/>
      </w:rPr>
      <w:fldChar w:fldCharType="end"/>
    </w:r>
    <w:r>
      <w:rPr>
        <w:rStyle w:val="7"/>
        <w:rFonts w:hint="eastAsia" w:ascii="宋体" w:hAnsi="宋体"/>
        <w:sz w:val="28"/>
        <w:szCs w:val="28"/>
      </w:rPr>
      <w:t xml:space="preserve"> ―</w:t>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02060C"/>
    <w:rsid w:val="15AA2AE2"/>
    <w:rsid w:val="449C79FB"/>
    <w:rsid w:val="5302060C"/>
    <w:rsid w:val="75B24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qFormat/>
    <w:uiPriority w:val="0"/>
    <w:pPr>
      <w:spacing w:before="100" w:beforeLines="0" w:beforeAutospacing="1" w:after="100" w:afterLines="0" w:afterAutospacing="1"/>
    </w:pPr>
    <w:rPr>
      <w:rFonts w:ascii="ˎ̥" w:hAnsi="ˎ̥" w:eastAsia="宋体" w:cs="宋体"/>
      <w:sz w:val="18"/>
      <w:szCs w:val="18"/>
      <w:lang w:val="en-US" w:eastAsia="zh-CN" w:bidi="ar-SA"/>
    </w:rPr>
  </w:style>
  <w:style w:type="character" w:styleId="7">
    <w:name w:val="page number"/>
    <w:basedOn w:val="6"/>
    <w:qFormat/>
    <w:uiPriority w:val="0"/>
  </w:style>
  <w:style w:type="paragraph" w:customStyle="1" w:styleId="8">
    <w:name w:val="样式2"/>
    <w:basedOn w:val="1"/>
    <w:qFormat/>
    <w:uiPriority w:val="0"/>
    <w:pPr>
      <w:jc w:val="left"/>
    </w:pPr>
    <w:rPr>
      <w:rFonts w:eastAsia="仿宋_GB2312" w:asciiTheme="minorAscii" w:hAnsiTheme="minorAscii"/>
      <w:sz w:val="3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2021-11-08T03:06:00Z</dcterms:created>
  <dc:creator>Administrator</dc:creator>
  <cp:lastModifiedBy>Administrator</cp:lastModifiedBy>
  <dcterms:modified xsi:type="dcterms:W3CDTF">2021-11-08T03:08:59Z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8803DC1855F14E23AAF66E6412688C14</vt:lpwstr>
  </property>
</Properties>
</file>