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ind w:firstLine="1760" w:firstLineChars="400"/>
        <w:jc w:val="both"/>
        <w:textAlignment w:val="auto"/>
        <w:outlineLvl w:val="9"/>
        <w:rPr>
          <w:rFonts w:hint="eastAsia" w:ascii="方正小标宋简体" w:hAnsi="方正小标宋简体" w:eastAsia="方正小标宋简体" w:cs="方正小标宋简体"/>
          <w:b w:val="0"/>
          <w:bCs w:val="0"/>
          <w:sz w:val="44"/>
          <w:szCs w:val="44"/>
          <w:lang w:val="en-US" w:eastAsia="zh-CN"/>
        </w:rPr>
      </w:pPr>
      <w:bookmarkStart w:id="0" w:name="_GoBack"/>
      <w:bookmarkEnd w:id="0"/>
      <w:r>
        <w:rPr>
          <w:rFonts w:hint="eastAsia" w:ascii="方正小标宋简体" w:hAnsi="方正小标宋简体" w:eastAsia="方正小标宋简体" w:cs="方正小标宋简体"/>
          <w:b w:val="0"/>
          <w:bCs w:val="0"/>
          <w:sz w:val="44"/>
          <w:szCs w:val="44"/>
          <w:lang w:val="en-US" w:eastAsia="zh-CN"/>
        </w:rPr>
        <w:t>峨边彝族自治县扶贫开发局</w:t>
      </w:r>
    </w:p>
    <w:p>
      <w:pPr>
        <w:keepNext w:val="0"/>
        <w:keepLines w:val="0"/>
        <w:pageBreakBefore w:val="0"/>
        <w:widowControl w:val="0"/>
        <w:kinsoku/>
        <w:wordWrap/>
        <w:overflowPunct/>
        <w:topLinePunct w:val="0"/>
        <w:autoSpaceDE w:val="0"/>
        <w:autoSpaceDN w:val="0"/>
        <w:bidi w:val="0"/>
        <w:adjustRightInd/>
        <w:snapToGrid/>
        <w:spacing w:before="0" w:line="640" w:lineRule="exact"/>
        <w:ind w:left="0" w:right="0" w:firstLine="0" w:firstLine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峨边彝族自治县建制</w:t>
      </w:r>
      <w:r>
        <w:rPr>
          <w:rFonts w:hint="eastAsia" w:ascii="方正小标宋简体" w:hAnsi="方正小标宋简体" w:eastAsia="方正小标宋简体" w:cs="方正小标宋简体"/>
          <w:sz w:val="44"/>
          <w:szCs w:val="44"/>
        </w:rPr>
        <w:t>乡镇场镇建设管理服务</w:t>
      </w:r>
    </w:p>
    <w:p>
      <w:pPr>
        <w:keepNext w:val="0"/>
        <w:keepLines w:val="0"/>
        <w:pageBreakBefore w:val="0"/>
        <w:widowControl w:val="0"/>
        <w:kinsoku/>
        <w:wordWrap/>
        <w:overflowPunct/>
        <w:topLinePunct w:val="0"/>
        <w:autoSpaceDE w:val="0"/>
        <w:autoSpaceDN w:val="0"/>
        <w:bidi w:val="0"/>
        <w:adjustRightInd/>
        <w:snapToGrid/>
        <w:spacing w:before="0" w:line="640" w:lineRule="exact"/>
        <w:ind w:left="0" w:right="0" w:firstLine="0" w:firstLine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提升</w:t>
      </w:r>
      <w:r>
        <w:rPr>
          <w:rFonts w:hint="eastAsia" w:ascii="方正小标宋简体" w:hAnsi="方正小标宋简体" w:eastAsia="方正小标宋简体" w:cs="方正小标宋简体"/>
          <w:sz w:val="44"/>
          <w:szCs w:val="44"/>
          <w:lang w:eastAsia="zh-CN"/>
        </w:rPr>
        <w:t>三年（</w:t>
      </w:r>
      <w:r>
        <w:rPr>
          <w:rFonts w:hint="eastAsia" w:ascii="方正小标宋简体" w:hAnsi="方正小标宋简体" w:eastAsia="方正小标宋简体" w:cs="方正小标宋简体"/>
          <w:sz w:val="44"/>
          <w:szCs w:val="44"/>
          <w:lang w:val="en-US" w:eastAsia="zh-CN"/>
        </w:rPr>
        <w:t>2021-2023年</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行动实施方案</w:t>
      </w:r>
    </w:p>
    <w:p>
      <w:pPr>
        <w:keepNext w:val="0"/>
        <w:keepLines w:val="0"/>
        <w:pageBreakBefore w:val="0"/>
        <w:widowControl w:val="0"/>
        <w:kinsoku/>
        <w:wordWrap/>
        <w:overflowPunct/>
        <w:topLinePunct w:val="0"/>
        <w:autoSpaceDE w:val="0"/>
        <w:autoSpaceDN w:val="0"/>
        <w:bidi w:val="0"/>
        <w:adjustRightInd/>
        <w:snapToGrid/>
        <w:spacing w:before="0" w:line="640" w:lineRule="exact"/>
        <w:ind w:left="0" w:right="0" w:firstLine="0" w:firstLineChars="0"/>
        <w:jc w:val="center"/>
        <w:textAlignment w:val="auto"/>
        <w:outlineLvl w:val="9"/>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（征求意见稿）</w:t>
      </w:r>
    </w:p>
    <w:p>
      <w:pPr>
        <w:pStyle w:val="5"/>
        <w:keepNext w:val="0"/>
        <w:keepLines w:val="0"/>
        <w:pageBreakBefore w:val="0"/>
        <w:widowControl w:val="0"/>
        <w:kinsoku/>
        <w:wordWrap/>
        <w:overflowPunct/>
        <w:topLinePunct w:val="0"/>
        <w:autoSpaceDE w:val="0"/>
        <w:autoSpaceDN w:val="0"/>
        <w:bidi w:val="0"/>
        <w:adjustRightInd/>
        <w:snapToGrid/>
        <w:spacing w:before="0" w:line="640" w:lineRule="exact"/>
        <w:ind w:left="0" w:right="0" w:firstLine="0" w:firstLineChars="0"/>
        <w:jc w:val="center"/>
        <w:textAlignment w:val="auto"/>
        <w:outlineLvl w:val="9"/>
        <w:rPr>
          <w:rFonts w:hint="eastAsia" w:ascii="楷体" w:hAnsi="楷体" w:eastAsia="楷体" w:cs="楷体"/>
          <w:color w:val="323232"/>
          <w:sz w:val="44"/>
          <w:szCs w:val="44"/>
          <w:lang w:eastAsia="zh-CN"/>
        </w:rPr>
      </w:pPr>
      <w:r>
        <w:rPr>
          <w:rFonts w:hint="eastAsia" w:ascii="楷体" w:hAnsi="楷体" w:eastAsia="楷体" w:cs="楷体"/>
          <w:color w:val="323232"/>
          <w:sz w:val="44"/>
          <w:szCs w:val="44"/>
          <w:lang w:val="en-US" w:eastAsia="zh-CN"/>
        </w:rPr>
        <w:t xml:space="preserve"> </w:t>
      </w:r>
    </w:p>
    <w:p>
      <w:pPr>
        <w:pStyle w:val="5"/>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left"/>
        <w:textAlignment w:val="auto"/>
      </w:pPr>
      <w:r>
        <w:rPr>
          <w:color w:val="323232"/>
        </w:rPr>
        <w:t>建制乡镇场镇是联系城市与乡村的纽带，是实施新型城镇化和乡村振兴战略的重要支点。为做好乡镇行政区划和村级建制调整改革“后半篇”文章，做实“我为群众办实事”实践活动，进一步提升我</w:t>
      </w:r>
      <w:r>
        <w:rPr>
          <w:rFonts w:hint="eastAsia"/>
          <w:color w:val="323232"/>
          <w:lang w:eastAsia="zh-CN"/>
        </w:rPr>
        <w:t>县</w:t>
      </w:r>
      <w:r>
        <w:rPr>
          <w:color w:val="323232"/>
        </w:rPr>
        <w:t>建制</w:t>
      </w:r>
      <w:r>
        <w:rPr>
          <w:rFonts w:hint="eastAsia"/>
          <w:color w:val="323232"/>
          <w:lang w:eastAsia="zh-CN"/>
        </w:rPr>
        <w:t>乡镇</w:t>
      </w:r>
      <w:r>
        <w:rPr>
          <w:color w:val="323232"/>
        </w:rPr>
        <w:t>场镇建设管理服务水平，</w:t>
      </w:r>
      <w:r>
        <w:rPr>
          <w:rFonts w:hint="eastAsia" w:ascii="仿宋_GB2312" w:hAnsi="仿宋_GB2312" w:eastAsia="仿宋_GB2312" w:cs="仿宋_GB2312"/>
          <w:i w:val="0"/>
          <w:iCs w:val="0"/>
          <w:caps w:val="0"/>
          <w:color w:val="333333"/>
          <w:spacing w:val="8"/>
          <w:sz w:val="32"/>
          <w:szCs w:val="32"/>
          <w:shd w:val="clear" w:fill="FFFFFF"/>
        </w:rPr>
        <w:t>补齐</w:t>
      </w:r>
      <w:r>
        <w:rPr>
          <w:rFonts w:hint="eastAsia" w:cs="仿宋_GB2312"/>
          <w:i w:val="0"/>
          <w:iCs w:val="0"/>
          <w:caps w:val="0"/>
          <w:color w:val="333333"/>
          <w:spacing w:val="8"/>
          <w:sz w:val="32"/>
          <w:szCs w:val="32"/>
          <w:shd w:val="clear" w:fill="FFFFFF"/>
          <w:lang w:eastAsia="zh-CN"/>
        </w:rPr>
        <w:t>场镇</w:t>
      </w:r>
      <w:r>
        <w:rPr>
          <w:rFonts w:hint="eastAsia" w:ascii="仿宋_GB2312" w:hAnsi="仿宋_GB2312" w:eastAsia="仿宋_GB2312" w:cs="仿宋_GB2312"/>
          <w:i w:val="0"/>
          <w:iCs w:val="0"/>
          <w:caps w:val="0"/>
          <w:color w:val="333333"/>
          <w:spacing w:val="8"/>
          <w:sz w:val="32"/>
          <w:szCs w:val="32"/>
          <w:shd w:val="clear" w:fill="FFFFFF"/>
        </w:rPr>
        <w:t>建设管理短板，推动城乡融合高质量发展，</w:t>
      </w:r>
      <w:r>
        <w:rPr>
          <w:color w:val="323232"/>
        </w:rPr>
        <w:t>制定本实施方案。</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0" w:firstLineChars="200"/>
        <w:jc w:val="left"/>
        <w:textAlignment w:val="auto"/>
        <w:rPr>
          <w:rFonts w:hint="eastAsia" w:ascii="黑体" w:eastAsia="黑体"/>
          <w:lang w:eastAsia="zh-CN"/>
        </w:rPr>
      </w:pPr>
      <w:r>
        <w:rPr>
          <w:rFonts w:hint="eastAsia" w:ascii="黑体" w:eastAsia="黑体"/>
          <w:lang w:eastAsia="zh-CN"/>
        </w:rPr>
        <w:t>一、指导思想</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0" w:firstLineChars="200"/>
        <w:jc w:val="left"/>
        <w:textAlignment w:val="auto"/>
        <w:rPr>
          <w:color w:val="323232"/>
          <w:spacing w:val="-13"/>
        </w:rPr>
      </w:pPr>
      <w:r>
        <w:rPr>
          <w:color w:val="323232"/>
        </w:rPr>
        <w:t>坚持以习近平新时代中国特色社会主义思想为指导，协调推进乡村振兴和新型城镇化战略，坚持问题导向，结合实际统筹制定规划，用三年时间集中攻坚，补齐建制乡镇场镇道路等基础设施不完善、环境卫生脏乱差、污染治理不够、面貌陈旧、公共服务滞后、管理水平低等突出短板问题，</w:t>
      </w:r>
      <w:r>
        <w:rPr>
          <w:color w:val="323232"/>
          <w:spacing w:val="-13"/>
        </w:rPr>
        <w:t>确保实现建制乡镇场镇“路整平、地扫净、服务好、治污染、面貌新”目标。</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leftChars="200" w:right="0" w:rightChars="0" w:firstLine="320" w:firstLineChars="100"/>
        <w:jc w:val="left"/>
        <w:textAlignment w:val="auto"/>
        <w:rPr>
          <w:rFonts w:hint="eastAsia" w:ascii="黑体" w:eastAsia="黑体"/>
          <w:lang w:eastAsia="zh-CN"/>
        </w:rPr>
      </w:pPr>
      <w:r>
        <w:rPr>
          <w:rFonts w:hint="eastAsia" w:ascii="黑体" w:eastAsia="黑体"/>
          <w:lang w:eastAsia="zh-CN"/>
        </w:rPr>
        <w:t>二、基本原则</w:t>
      </w:r>
    </w:p>
    <w:p>
      <w:pPr>
        <w:pStyle w:val="5"/>
        <w:keepNext w:val="0"/>
        <w:keepLines w:val="0"/>
        <w:pageBreakBefore w:val="0"/>
        <w:widowControl w:val="0"/>
        <w:kinsoku/>
        <w:wordWrap/>
        <w:overflowPunct/>
        <w:topLinePunct w:val="0"/>
        <w:autoSpaceDE w:val="0"/>
        <w:autoSpaceDN w:val="0"/>
        <w:bidi w:val="0"/>
        <w:adjustRightInd/>
        <w:snapToGrid/>
        <w:spacing w:before="0" w:line="576" w:lineRule="exact"/>
        <w:ind w:right="0" w:firstLine="320" w:firstLineChars="100"/>
        <w:jc w:val="left"/>
        <w:textAlignment w:val="auto"/>
        <w:rPr>
          <w:rFonts w:hint="eastAsia" w:ascii="仿宋_GB2312" w:hAnsi="仿宋_GB2312" w:eastAsia="仿宋_GB2312" w:cs="仿宋_GB2312"/>
          <w:color w:val="323232"/>
        </w:rPr>
      </w:pP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color w:val="323232"/>
        </w:rPr>
        <w:t>坚持因地制宜，科学推进。注重联系不同地方实际，找准问题、补齐短板、发挥优势、打造特色，不搞全县一面，彰显各地特色。</w:t>
      </w:r>
    </w:p>
    <w:p>
      <w:pPr>
        <w:pStyle w:val="5"/>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left"/>
        <w:textAlignment w:val="auto"/>
        <w:rPr>
          <w:rFonts w:hint="eastAsia" w:ascii="仿宋_GB2312" w:hAnsi="仿宋_GB2312" w:eastAsia="仿宋_GB2312" w:cs="仿宋_GB2312"/>
          <w:color w:val="323232"/>
        </w:rPr>
      </w:pPr>
      <w:r>
        <w:rPr>
          <w:rFonts w:hint="eastAsia" w:ascii="仿宋_GB2312" w:hAnsi="仿宋_GB2312" w:eastAsia="仿宋_GB2312" w:cs="仿宋_GB2312"/>
          <w:color w:val="323232"/>
        </w:rPr>
        <w:t>坚持量力而行，循序渐进。根据资金、资源、队伍等实际情况，从管理入手，以日常环境、公共秩序整治为突破口，改变“脏乱差”、“破旧暗”面貌。</w:t>
      </w:r>
    </w:p>
    <w:p>
      <w:pPr>
        <w:pStyle w:val="5"/>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left"/>
        <w:textAlignment w:val="auto"/>
        <w:rPr>
          <w:rFonts w:hint="eastAsia" w:ascii="仿宋_GB2312" w:hAnsi="仿宋_GB2312" w:eastAsia="仿宋_GB2312" w:cs="仿宋_GB2312"/>
          <w:color w:val="323232"/>
        </w:rPr>
      </w:pPr>
      <w:r>
        <w:rPr>
          <w:rFonts w:hint="eastAsia" w:ascii="仿宋_GB2312" w:hAnsi="仿宋_GB2312" w:eastAsia="仿宋_GB2312" w:cs="仿宋_GB2312"/>
          <w:color w:val="323232"/>
        </w:rPr>
        <w:t>坚持长短结合，标本兼治。集中开展镇容镇貌、环境卫生、城镇秩序三项整治，确保短期见效。逐步开展设施功能、风貌特色、管理水平三项提升，力求长治长效。</w:t>
      </w:r>
    </w:p>
    <w:p>
      <w:pPr>
        <w:pStyle w:val="5"/>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left"/>
        <w:textAlignment w:val="auto"/>
        <w:rPr>
          <w:rFonts w:hint="eastAsia" w:ascii="仿宋_GB2312" w:hAnsi="仿宋_GB2312" w:eastAsia="仿宋_GB2312" w:cs="仿宋_GB2312"/>
          <w:color w:val="323232"/>
        </w:rPr>
      </w:pPr>
      <w:r>
        <w:rPr>
          <w:rFonts w:hint="eastAsia" w:ascii="仿宋_GB2312" w:hAnsi="仿宋_GB2312" w:eastAsia="仿宋_GB2312" w:cs="仿宋_GB2312"/>
          <w:color w:val="323232"/>
        </w:rPr>
        <w:t>坚持内外兼修，提升品质。着眼外修生态、内修人文，整治脏乱差问题，改善乡风民风问题。</w:t>
      </w:r>
    </w:p>
    <w:p>
      <w:pPr>
        <w:pStyle w:val="5"/>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left"/>
        <w:textAlignment w:val="auto"/>
        <w:rPr>
          <w:rFonts w:hint="eastAsia" w:ascii="仿宋_GB2312" w:hAnsi="仿宋_GB2312" w:eastAsia="仿宋_GB2312" w:cs="仿宋_GB2312"/>
          <w:color w:val="323232"/>
        </w:rPr>
      </w:pPr>
      <w:r>
        <w:rPr>
          <w:rFonts w:hint="eastAsia" w:ascii="仿宋_GB2312" w:hAnsi="仿宋_GB2312" w:eastAsia="仿宋_GB2312" w:cs="仿宋_GB2312"/>
          <w:color w:val="323232"/>
        </w:rPr>
        <w:t>坚持以民为本，共建共享。坚持问需于民、问计于民、问效于民，避免大拆大建、搞形象工程。</w:t>
      </w:r>
    </w:p>
    <w:p>
      <w:pPr>
        <w:pStyle w:val="5"/>
        <w:keepNext w:val="0"/>
        <w:keepLines w:val="0"/>
        <w:pageBreakBefore w:val="0"/>
        <w:widowControl w:val="0"/>
        <w:kinsoku/>
        <w:wordWrap/>
        <w:overflowPunct/>
        <w:topLinePunct w:val="0"/>
        <w:autoSpaceDE w:val="0"/>
        <w:autoSpaceDN w:val="0"/>
        <w:bidi w:val="0"/>
        <w:adjustRightInd/>
        <w:snapToGrid/>
        <w:spacing w:before="0" w:line="576" w:lineRule="exact"/>
        <w:ind w:left="0" w:leftChars="0" w:right="0" w:firstLine="640" w:firstLineChars="200"/>
        <w:jc w:val="left"/>
        <w:textAlignment w:val="auto"/>
        <w:rPr>
          <w:rFonts w:hint="eastAsia" w:ascii="黑体" w:eastAsia="黑体"/>
          <w:lang w:eastAsia="zh-CN"/>
        </w:rPr>
      </w:pPr>
      <w:r>
        <w:rPr>
          <w:rFonts w:hint="eastAsia" w:ascii="黑体" w:eastAsia="黑体"/>
          <w:lang w:eastAsia="zh-CN"/>
        </w:rPr>
        <w:t>三</w:t>
      </w:r>
      <w:r>
        <w:rPr>
          <w:rFonts w:hint="eastAsia" w:ascii="黑体" w:eastAsia="黑体"/>
        </w:rPr>
        <w:t>、</w:t>
      </w:r>
      <w:r>
        <w:rPr>
          <w:rFonts w:hint="eastAsia" w:ascii="黑体" w:eastAsia="黑体"/>
          <w:lang w:eastAsia="zh-CN"/>
        </w:rPr>
        <w:t>目标任务</w:t>
      </w:r>
    </w:p>
    <w:p>
      <w:pPr>
        <w:pStyle w:val="5"/>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left"/>
        <w:textAlignment w:val="auto"/>
        <w:rPr>
          <w:rFonts w:hint="eastAsia" w:ascii="仿宋_GB2312" w:hAnsi="仿宋_GB2312" w:eastAsia="仿宋_GB2312" w:cs="仿宋_GB2312"/>
          <w:color w:val="323232"/>
          <w:sz w:val="32"/>
          <w:szCs w:val="32"/>
          <w:lang w:val="zh-CN" w:eastAsia="zh-CN" w:bidi="zh-CN"/>
        </w:rPr>
      </w:pPr>
      <w:r>
        <w:rPr>
          <w:color w:val="323232"/>
        </w:rPr>
        <w:t>全</w:t>
      </w:r>
      <w:r>
        <w:rPr>
          <w:rFonts w:hint="eastAsia"/>
          <w:color w:val="323232"/>
          <w:lang w:eastAsia="zh-CN"/>
        </w:rPr>
        <w:t>县</w:t>
      </w:r>
      <w:r>
        <w:rPr>
          <w:color w:val="323232"/>
        </w:rPr>
        <w:t xml:space="preserve"> 1</w:t>
      </w:r>
      <w:r>
        <w:rPr>
          <w:rFonts w:hint="eastAsia"/>
          <w:color w:val="323232"/>
          <w:lang w:val="en-US" w:eastAsia="zh-CN"/>
        </w:rPr>
        <w:t>2</w:t>
      </w:r>
      <w:r>
        <w:rPr>
          <w:color w:val="323232"/>
        </w:rPr>
        <w:t xml:space="preserve"> 个建制乡镇场镇（不含</w:t>
      </w:r>
      <w:r>
        <w:rPr>
          <w:rFonts w:hint="eastAsia"/>
          <w:color w:val="323232"/>
          <w:lang w:eastAsia="zh-CN"/>
        </w:rPr>
        <w:t>沙坪镇</w:t>
      </w:r>
      <w:r>
        <w:rPr>
          <w:color w:val="323232"/>
        </w:rPr>
        <w:t>）</w:t>
      </w:r>
      <w:r>
        <w:rPr>
          <w:rFonts w:hint="eastAsia"/>
          <w:color w:val="323232"/>
          <w:lang w:eastAsia="zh-CN"/>
        </w:rPr>
        <w:t>，</w:t>
      </w:r>
      <w:r>
        <w:rPr>
          <w:rFonts w:hint="eastAsia" w:ascii="仿宋_GB2312" w:hAnsi="仿宋_GB2312" w:eastAsia="仿宋_GB2312" w:cs="仿宋_GB2312"/>
          <w:color w:val="323232"/>
          <w:sz w:val="32"/>
          <w:szCs w:val="32"/>
          <w:lang w:val="en-US" w:eastAsia="zh-CN" w:bidi="zh-CN"/>
        </w:rPr>
        <w:t>按照</w:t>
      </w:r>
      <w:r>
        <w:rPr>
          <w:rFonts w:ascii="仿宋_GB2312" w:hAnsi="仿宋_GB2312" w:eastAsia="仿宋_GB2312" w:cs="仿宋_GB2312"/>
          <w:color w:val="323232"/>
          <w:sz w:val="32"/>
          <w:szCs w:val="32"/>
          <w:lang w:val="en-US" w:eastAsia="zh-CN" w:bidi="zh-CN"/>
        </w:rPr>
        <w:t>《乐山市建制乡镇场镇建设管理服务提升三年</w:t>
      </w:r>
      <w:r>
        <w:rPr>
          <w:rFonts w:hint="eastAsia" w:ascii="仿宋_GB2312" w:hAnsi="仿宋_GB2312" w:eastAsia="仿宋_GB2312" w:cs="仿宋_GB2312"/>
          <w:color w:val="323232"/>
          <w:sz w:val="32"/>
          <w:szCs w:val="32"/>
          <w:lang w:val="en-US" w:eastAsia="zh-CN" w:bidi="zh-CN"/>
        </w:rPr>
        <w:t>行动实施方案》，</w:t>
      </w:r>
      <w:r>
        <w:rPr>
          <w:rFonts w:ascii="仿宋_GB2312" w:hAnsi="仿宋_GB2312" w:eastAsia="仿宋_GB2312" w:cs="仿宋_GB2312"/>
          <w:color w:val="323232"/>
          <w:sz w:val="32"/>
          <w:szCs w:val="32"/>
          <w:lang w:val="zh-CN" w:eastAsia="zh-CN" w:bidi="zh-CN"/>
        </w:rPr>
        <w:t>统筹考虑场镇建设和管理服务水平现状，难易结合，逐步推进</w:t>
      </w:r>
      <w:r>
        <w:rPr>
          <w:rFonts w:hint="eastAsia" w:cs="仿宋_GB2312"/>
          <w:color w:val="323232"/>
          <w:sz w:val="32"/>
          <w:szCs w:val="32"/>
          <w:lang w:val="zh-CN" w:eastAsia="zh-CN" w:bidi="zh-CN"/>
        </w:rPr>
        <w:t>，</w:t>
      </w:r>
      <w:r>
        <w:rPr>
          <w:rFonts w:hint="eastAsia" w:cs="仿宋_GB2312"/>
          <w:color w:val="323232"/>
          <w:sz w:val="32"/>
          <w:szCs w:val="32"/>
          <w:lang w:val="en-US" w:eastAsia="zh-CN" w:bidi="zh-CN"/>
        </w:rPr>
        <w:t>2021-2023</w:t>
      </w:r>
      <w:r>
        <w:rPr>
          <w:rFonts w:ascii="仿宋_GB2312" w:hAnsi="仿宋_GB2312" w:eastAsia="仿宋_GB2312" w:cs="仿宋_GB2312"/>
          <w:color w:val="323232"/>
          <w:sz w:val="32"/>
          <w:szCs w:val="32"/>
          <w:lang w:val="zh-CN" w:eastAsia="zh-CN" w:bidi="zh-CN"/>
        </w:rPr>
        <w:t>年集中攻坚，其中2021年完成</w:t>
      </w:r>
      <w:r>
        <w:rPr>
          <w:rFonts w:hint="eastAsia" w:ascii="仿宋_GB2312" w:hAnsi="仿宋_GB2312" w:eastAsia="仿宋_GB2312" w:cs="仿宋_GB2312"/>
          <w:color w:val="323232"/>
          <w:sz w:val="32"/>
          <w:szCs w:val="32"/>
          <w:lang w:val="en-US" w:eastAsia="zh-CN" w:bidi="zh-CN"/>
        </w:rPr>
        <w:t>4</w:t>
      </w:r>
      <w:r>
        <w:rPr>
          <w:rFonts w:ascii="仿宋_GB2312" w:hAnsi="仿宋_GB2312" w:eastAsia="仿宋_GB2312" w:cs="仿宋_GB2312"/>
          <w:color w:val="323232"/>
          <w:sz w:val="32"/>
          <w:szCs w:val="32"/>
          <w:lang w:val="zh-CN" w:eastAsia="zh-CN" w:bidi="zh-CN"/>
        </w:rPr>
        <w:t>个</w:t>
      </w:r>
      <w:r>
        <w:rPr>
          <w:rFonts w:hint="eastAsia" w:ascii="仿宋_GB2312" w:hAnsi="仿宋_GB2312" w:eastAsia="仿宋_GB2312" w:cs="仿宋_GB2312"/>
          <w:color w:val="323232"/>
          <w:sz w:val="32"/>
          <w:szCs w:val="32"/>
          <w:lang w:val="zh-CN" w:eastAsia="zh-CN" w:bidi="zh-CN"/>
        </w:rPr>
        <w:t>（</w:t>
      </w:r>
      <w:r>
        <w:rPr>
          <w:rFonts w:hint="eastAsia" w:ascii="仿宋_GB2312" w:hAnsi="仿宋_GB2312" w:eastAsia="仿宋_GB2312" w:cs="仿宋_GB2312"/>
          <w:color w:val="323232"/>
          <w:sz w:val="32"/>
          <w:szCs w:val="32"/>
          <w:lang w:val="en-US" w:eastAsia="zh-CN" w:bidi="zh-CN"/>
        </w:rPr>
        <w:t>大堡镇、黑竹沟镇、宜坪乡、平等乡</w:t>
      </w:r>
      <w:r>
        <w:rPr>
          <w:rFonts w:hint="eastAsia" w:ascii="仿宋_GB2312" w:hAnsi="仿宋_GB2312" w:eastAsia="仿宋_GB2312" w:cs="仿宋_GB2312"/>
          <w:color w:val="323232"/>
          <w:sz w:val="32"/>
          <w:szCs w:val="32"/>
          <w:lang w:val="zh-CN" w:eastAsia="zh-CN" w:bidi="zh-CN"/>
        </w:rPr>
        <w:t>）</w:t>
      </w:r>
      <w:r>
        <w:rPr>
          <w:rFonts w:hint="eastAsia" w:cs="仿宋_GB2312"/>
          <w:color w:val="323232"/>
          <w:sz w:val="32"/>
          <w:szCs w:val="32"/>
          <w:lang w:val="zh-CN" w:eastAsia="zh-CN" w:bidi="zh-CN"/>
        </w:rPr>
        <w:t>、</w:t>
      </w:r>
      <w:r>
        <w:rPr>
          <w:rFonts w:ascii="仿宋_GB2312" w:hAnsi="仿宋_GB2312" w:eastAsia="仿宋_GB2312" w:cs="仿宋_GB2312"/>
          <w:color w:val="323232"/>
          <w:sz w:val="32"/>
          <w:szCs w:val="32"/>
          <w:lang w:val="zh-CN" w:eastAsia="zh-CN" w:bidi="zh-CN"/>
        </w:rPr>
        <w:t>2022 年</w:t>
      </w:r>
      <w:r>
        <w:rPr>
          <w:rFonts w:hint="eastAsia" w:cs="仿宋_GB2312"/>
          <w:color w:val="323232"/>
          <w:sz w:val="32"/>
          <w:szCs w:val="32"/>
          <w:lang w:val="en-US" w:eastAsia="zh-CN" w:bidi="zh-CN"/>
        </w:rPr>
        <w:t>4</w:t>
      </w:r>
      <w:r>
        <w:rPr>
          <w:rFonts w:ascii="仿宋_GB2312" w:hAnsi="仿宋_GB2312" w:eastAsia="仿宋_GB2312" w:cs="仿宋_GB2312"/>
          <w:color w:val="323232"/>
          <w:sz w:val="32"/>
          <w:szCs w:val="32"/>
          <w:lang w:val="zh-CN" w:eastAsia="zh-CN" w:bidi="zh-CN"/>
        </w:rPr>
        <w:t>个</w:t>
      </w:r>
      <w:r>
        <w:rPr>
          <w:rFonts w:hint="eastAsia" w:ascii="仿宋_GB2312" w:hAnsi="仿宋_GB2312" w:eastAsia="仿宋_GB2312" w:cs="仿宋_GB2312"/>
          <w:color w:val="323232"/>
          <w:sz w:val="32"/>
          <w:szCs w:val="32"/>
          <w:lang w:val="zh-CN" w:eastAsia="zh-CN" w:bidi="zh-CN"/>
        </w:rPr>
        <w:t>（</w:t>
      </w:r>
      <w:r>
        <w:rPr>
          <w:rFonts w:hint="eastAsia" w:ascii="仿宋_GB2312" w:hAnsi="仿宋_GB2312" w:eastAsia="仿宋_GB2312" w:cs="仿宋_GB2312"/>
          <w:color w:val="323232"/>
          <w:sz w:val="32"/>
          <w:szCs w:val="32"/>
          <w:lang w:val="en-US" w:eastAsia="zh-CN" w:bidi="zh-CN"/>
        </w:rPr>
        <w:t>新林镇、红旗镇、金岩乡、杨河乡</w:t>
      </w:r>
      <w:r>
        <w:rPr>
          <w:rFonts w:hint="eastAsia" w:ascii="仿宋_GB2312" w:hAnsi="仿宋_GB2312" w:eastAsia="仿宋_GB2312" w:cs="仿宋_GB2312"/>
          <w:color w:val="323232"/>
          <w:sz w:val="32"/>
          <w:szCs w:val="32"/>
          <w:lang w:val="zh-CN" w:eastAsia="zh-CN" w:bidi="zh-CN"/>
        </w:rPr>
        <w:t>）</w:t>
      </w:r>
      <w:r>
        <w:rPr>
          <w:rFonts w:ascii="仿宋_GB2312" w:hAnsi="仿宋_GB2312" w:eastAsia="仿宋_GB2312" w:cs="仿宋_GB2312"/>
          <w:color w:val="323232"/>
          <w:sz w:val="32"/>
          <w:szCs w:val="32"/>
          <w:lang w:val="zh-CN" w:eastAsia="zh-CN" w:bidi="zh-CN"/>
        </w:rPr>
        <w:t>、2023 年</w:t>
      </w:r>
      <w:r>
        <w:rPr>
          <w:rFonts w:hint="eastAsia" w:ascii="仿宋_GB2312" w:hAnsi="仿宋_GB2312" w:eastAsia="仿宋_GB2312" w:cs="仿宋_GB2312"/>
          <w:color w:val="323232"/>
          <w:sz w:val="32"/>
          <w:szCs w:val="32"/>
          <w:lang w:val="en-US" w:eastAsia="zh-CN" w:bidi="zh-CN"/>
        </w:rPr>
        <w:t>4</w:t>
      </w:r>
      <w:r>
        <w:rPr>
          <w:rFonts w:ascii="仿宋_GB2312" w:hAnsi="仿宋_GB2312" w:eastAsia="仿宋_GB2312" w:cs="仿宋_GB2312"/>
          <w:color w:val="323232"/>
          <w:sz w:val="32"/>
          <w:szCs w:val="32"/>
          <w:lang w:val="zh-CN" w:eastAsia="zh-CN" w:bidi="zh-CN"/>
        </w:rPr>
        <w:t>个</w:t>
      </w:r>
      <w:r>
        <w:rPr>
          <w:rFonts w:hint="eastAsia" w:ascii="仿宋_GB2312" w:hAnsi="仿宋_GB2312" w:eastAsia="仿宋_GB2312" w:cs="仿宋_GB2312"/>
          <w:color w:val="323232"/>
          <w:sz w:val="32"/>
          <w:szCs w:val="32"/>
          <w:lang w:val="zh-CN" w:eastAsia="zh-CN" w:bidi="zh-CN"/>
        </w:rPr>
        <w:t>（</w:t>
      </w:r>
      <w:r>
        <w:rPr>
          <w:rFonts w:hint="eastAsia" w:ascii="仿宋_GB2312" w:hAnsi="仿宋_GB2312" w:eastAsia="仿宋_GB2312" w:cs="仿宋_GB2312"/>
          <w:color w:val="323232"/>
          <w:sz w:val="32"/>
          <w:szCs w:val="32"/>
          <w:lang w:val="en-US" w:eastAsia="zh-CN" w:bidi="zh-CN"/>
        </w:rPr>
        <w:t>毛坪镇、五渡镇、新场乡、勒乌乡</w:t>
      </w:r>
      <w:r>
        <w:rPr>
          <w:rFonts w:hint="eastAsia" w:ascii="仿宋_GB2312" w:hAnsi="仿宋_GB2312" w:eastAsia="仿宋_GB2312" w:cs="仿宋_GB2312"/>
          <w:color w:val="323232"/>
          <w:sz w:val="32"/>
          <w:szCs w:val="32"/>
          <w:lang w:val="zh-CN" w:eastAsia="zh-CN" w:bidi="zh-CN"/>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line="576" w:lineRule="exact"/>
        <w:ind w:right="0" w:rightChars="0" w:firstLine="640" w:firstLineChars="200"/>
        <w:jc w:val="left"/>
        <w:textAlignment w:val="auto"/>
        <w:rPr>
          <w:rFonts w:hint="eastAsia" w:ascii="黑体" w:eastAsia="黑体" w:cs="仿宋_GB2312"/>
          <w:sz w:val="32"/>
          <w:szCs w:val="32"/>
          <w:lang w:val="zh-CN" w:eastAsia="zh-CN" w:bidi="zh-CN"/>
        </w:rPr>
      </w:pPr>
      <w:r>
        <w:rPr>
          <w:rFonts w:hint="eastAsia" w:ascii="黑体" w:eastAsia="黑体" w:cs="仿宋_GB2312"/>
          <w:sz w:val="32"/>
          <w:szCs w:val="32"/>
          <w:lang w:val="zh-CN" w:eastAsia="zh-CN" w:bidi="zh-CN"/>
        </w:rPr>
        <w:t>四、工作重点</w:t>
      </w:r>
    </w:p>
    <w:p>
      <w:pPr>
        <w:pStyle w:val="5"/>
        <w:keepNext w:val="0"/>
        <w:keepLines w:val="0"/>
        <w:pageBreakBefore w:val="0"/>
        <w:widowControl w:val="0"/>
        <w:kinsoku/>
        <w:wordWrap/>
        <w:overflowPunct/>
        <w:topLinePunct w:val="0"/>
        <w:autoSpaceDE w:val="0"/>
        <w:autoSpaceDN w:val="0"/>
        <w:bidi w:val="0"/>
        <w:adjustRightInd/>
        <w:snapToGrid/>
        <w:spacing w:before="0" w:line="576" w:lineRule="exact"/>
        <w:ind w:left="0" w:leftChars="0" w:right="0" w:firstLine="640" w:firstLineChars="200"/>
        <w:jc w:val="left"/>
        <w:textAlignment w:val="auto"/>
        <w:rPr>
          <w:rFonts w:hint="eastAsia" w:ascii="楷体_GB2312" w:eastAsia="楷体_GB2312"/>
          <w:lang w:val="en-US" w:eastAsia="zh-CN"/>
        </w:rPr>
      </w:pPr>
      <w:r>
        <w:rPr>
          <w:rFonts w:hint="eastAsia" w:ascii="楷体_GB2312" w:eastAsia="楷体_GB2312"/>
          <w:lang w:val="en-US" w:eastAsia="zh-CN"/>
        </w:rPr>
        <w:t>（一）</w:t>
      </w:r>
      <w:r>
        <w:rPr>
          <w:rFonts w:hint="default" w:ascii="楷体_GB2312" w:eastAsia="楷体_GB2312"/>
          <w:lang w:val="en-US" w:eastAsia="zh-CN"/>
        </w:rPr>
        <w:t>完善基础设施配套提升</w:t>
      </w:r>
      <w:r>
        <w:rPr>
          <w:rFonts w:hint="eastAsia" w:ascii="楷体_GB2312" w:eastAsia="楷体_GB2312"/>
          <w:lang w:val="en-US" w:eastAsia="zh-CN"/>
        </w:rPr>
        <w:t xml:space="preserve">服务水平。 </w:t>
      </w:r>
    </w:p>
    <w:p>
      <w:pPr>
        <w:pStyle w:val="5"/>
        <w:keepNext w:val="0"/>
        <w:keepLines w:val="0"/>
        <w:pageBreakBefore w:val="0"/>
        <w:widowControl w:val="0"/>
        <w:kinsoku/>
        <w:wordWrap/>
        <w:overflowPunct/>
        <w:topLinePunct w:val="0"/>
        <w:autoSpaceDE w:val="0"/>
        <w:autoSpaceDN w:val="0"/>
        <w:bidi w:val="0"/>
        <w:adjustRightInd/>
        <w:snapToGrid/>
        <w:spacing w:before="0" w:line="576" w:lineRule="exact"/>
        <w:ind w:left="0" w:leftChars="0" w:right="0" w:firstLine="643" w:firstLineChars="200"/>
        <w:jc w:val="left"/>
        <w:textAlignment w:val="auto"/>
        <w:rPr>
          <w:rFonts w:hint="eastAsia" w:cs="仿宋_GB2312"/>
          <w:color w:val="323232"/>
          <w:sz w:val="32"/>
          <w:szCs w:val="32"/>
          <w:lang w:val="en-US" w:eastAsia="zh-CN" w:bidi="zh-CN"/>
        </w:rPr>
      </w:pPr>
      <w:r>
        <w:rPr>
          <w:rFonts w:hint="eastAsia" w:ascii="仿宋_GB2312" w:hAnsi="仿宋_GB2312" w:eastAsia="仿宋_GB2312" w:cs="仿宋_GB2312"/>
          <w:b/>
          <w:bCs/>
          <w:lang w:val="en-US" w:eastAsia="zh-CN"/>
        </w:rPr>
        <w:t xml:space="preserve"> 1.保障道路畅通。</w:t>
      </w:r>
      <w:r>
        <w:rPr>
          <w:rFonts w:hint="eastAsia" w:cs="仿宋_GB2312"/>
          <w:color w:val="323232"/>
          <w:sz w:val="32"/>
          <w:szCs w:val="32"/>
          <w:lang w:val="en-US" w:eastAsia="zh-CN" w:bidi="zh-CN"/>
        </w:rPr>
        <w:t>坚持安全、便民原则，全面排查摸底全县建制乡镇场镇段路况，整治修复病害路面，补充硬化泥碎路段， 拓宽过窄场镇入口，消除安全隐患，实现道路畅通、路面平整、路容干净、设施完好，并落实好长效管养。</w:t>
      </w:r>
    </w:p>
    <w:p>
      <w:pPr>
        <w:pStyle w:val="5"/>
        <w:keepNext w:val="0"/>
        <w:keepLines w:val="0"/>
        <w:pageBreakBefore w:val="0"/>
        <w:widowControl w:val="0"/>
        <w:kinsoku/>
        <w:wordWrap/>
        <w:overflowPunct/>
        <w:topLinePunct w:val="0"/>
        <w:autoSpaceDE w:val="0"/>
        <w:autoSpaceDN w:val="0"/>
        <w:bidi w:val="0"/>
        <w:adjustRightInd/>
        <w:snapToGrid/>
        <w:spacing w:before="0" w:line="576" w:lineRule="exact"/>
        <w:ind w:left="0" w:right="0" w:firstLine="640" w:firstLineChars="200"/>
        <w:jc w:val="left"/>
        <w:textAlignment w:val="auto"/>
        <w:rPr>
          <w:rFonts w:hint="eastAsia" w:cs="仿宋_GB2312"/>
          <w:color w:val="323232"/>
          <w:sz w:val="32"/>
          <w:szCs w:val="32"/>
          <w:lang w:val="en-US" w:eastAsia="zh-CN" w:bidi="zh-CN"/>
        </w:rPr>
      </w:pPr>
      <w:r>
        <w:rPr>
          <w:rFonts w:hint="eastAsia" w:cs="仿宋_GB2312"/>
          <w:color w:val="323232"/>
          <w:sz w:val="32"/>
          <w:szCs w:val="32"/>
          <w:lang w:val="en-US" w:eastAsia="zh-CN" w:bidi="zh-CN"/>
        </w:rPr>
        <w:t>牵头单位：</w:t>
      </w:r>
      <w:r>
        <w:rPr>
          <w:rFonts w:hint="eastAsia" w:ascii="仿宋_GB2312" w:hAnsi="仿宋_GB2312" w:eastAsia="仿宋_GB2312" w:cs="仿宋_GB2312"/>
          <w:color w:val="323232"/>
          <w:sz w:val="32"/>
          <w:szCs w:val="32"/>
          <w:lang w:val="en-US" w:eastAsia="zh-CN" w:bidi="zh-CN"/>
        </w:rPr>
        <w:t>县交通运输局</w:t>
      </w:r>
      <w:r>
        <w:rPr>
          <w:rFonts w:hint="eastAsia" w:cs="仿宋_GB2312"/>
          <w:color w:val="323232"/>
          <w:sz w:val="32"/>
          <w:szCs w:val="32"/>
          <w:lang w:val="en-US" w:eastAsia="zh-CN" w:bidi="zh-CN"/>
        </w:rPr>
        <w:t>；责任单位：县住建局、各乡镇。</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3" w:firstLineChars="200"/>
        <w:jc w:val="left"/>
        <w:textAlignment w:val="auto"/>
        <w:rPr>
          <w:rFonts w:hint="eastAsia" w:cs="仿宋_GB2312"/>
          <w:color w:val="323232"/>
          <w:sz w:val="32"/>
          <w:szCs w:val="32"/>
          <w:lang w:val="en-US" w:eastAsia="zh-CN" w:bidi="zh-CN"/>
        </w:rPr>
      </w:pPr>
      <w:r>
        <w:rPr>
          <w:rFonts w:hint="eastAsia" w:ascii="仿宋_GB2312" w:hAnsi="仿宋_GB2312" w:eastAsia="仿宋_GB2312" w:cs="仿宋_GB2312"/>
          <w:b/>
          <w:bCs/>
          <w:lang w:val="en-US" w:eastAsia="zh-CN"/>
        </w:rPr>
        <w:t>2.规范车辆停放。</w:t>
      </w:r>
      <w:r>
        <w:rPr>
          <w:rFonts w:hint="eastAsia" w:cs="仿宋_GB2312"/>
          <w:color w:val="323232"/>
          <w:sz w:val="32"/>
          <w:szCs w:val="32"/>
          <w:lang w:val="en-US" w:eastAsia="zh-CN" w:bidi="zh-CN"/>
        </w:rPr>
        <w:t>坚持建好场、划好线、归好位，对具备条件的场镇，规划建设固定停车场；不具备条件的场镇，在不影响通行和安全原则下合理设置小客车、摩托车、非机动车停车泊位（划好线），同时完善相关交通标志；落实专人管理场镇交通秩序，杜绝乱停乱放。</w:t>
      </w:r>
    </w:p>
    <w:p>
      <w:pPr>
        <w:pStyle w:val="5"/>
        <w:keepNext w:val="0"/>
        <w:keepLines w:val="0"/>
        <w:pageBreakBefore w:val="0"/>
        <w:widowControl w:val="0"/>
        <w:kinsoku/>
        <w:wordWrap/>
        <w:overflowPunct/>
        <w:topLinePunct w:val="0"/>
        <w:autoSpaceDE w:val="0"/>
        <w:autoSpaceDN w:val="0"/>
        <w:bidi w:val="0"/>
        <w:adjustRightInd/>
        <w:snapToGrid/>
        <w:spacing w:before="0" w:line="576" w:lineRule="exact"/>
        <w:ind w:right="0" w:firstLine="640" w:firstLineChars="200"/>
        <w:jc w:val="left"/>
        <w:textAlignment w:val="auto"/>
        <w:rPr>
          <w:rFonts w:hint="eastAsia" w:ascii="仿宋_GB2312" w:hAnsi="仿宋_GB2312" w:eastAsia="仿宋_GB2312" w:cs="仿宋_GB2312"/>
          <w:color w:val="323232"/>
          <w:sz w:val="32"/>
          <w:szCs w:val="32"/>
          <w:lang w:val="en-US" w:eastAsia="zh-CN" w:bidi="zh-CN"/>
        </w:rPr>
      </w:pPr>
      <w:r>
        <w:rPr>
          <w:rFonts w:hint="eastAsia" w:cs="仿宋_GB2312"/>
          <w:color w:val="323232"/>
          <w:sz w:val="32"/>
          <w:szCs w:val="32"/>
          <w:lang w:val="en-US" w:eastAsia="zh-CN" w:bidi="zh-CN"/>
        </w:rPr>
        <w:t>牵头单位：</w:t>
      </w:r>
      <w:r>
        <w:rPr>
          <w:rFonts w:hint="eastAsia" w:ascii="仿宋_GB2312" w:hAnsi="仿宋_GB2312" w:eastAsia="仿宋_GB2312" w:cs="仿宋_GB2312"/>
          <w:color w:val="323232"/>
          <w:sz w:val="32"/>
          <w:szCs w:val="32"/>
          <w:lang w:val="en-US" w:eastAsia="zh-CN" w:bidi="zh-CN"/>
        </w:rPr>
        <w:t>县住建局</w:t>
      </w:r>
      <w:r>
        <w:rPr>
          <w:rFonts w:hint="eastAsia" w:cs="仿宋_GB2312"/>
          <w:color w:val="323232"/>
          <w:sz w:val="32"/>
          <w:szCs w:val="32"/>
          <w:lang w:val="en-US" w:eastAsia="zh-CN" w:bidi="zh-CN"/>
        </w:rPr>
        <w:t>；责任单位：县交通运输局、县自然资源局、各乡镇。</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3" w:firstLineChars="200"/>
        <w:jc w:val="left"/>
        <w:textAlignment w:val="auto"/>
        <w:rPr>
          <w:rFonts w:hint="default" w:cs="仿宋_GB2312"/>
          <w:color w:val="323232"/>
          <w:sz w:val="32"/>
          <w:szCs w:val="32"/>
          <w:lang w:val="en-US" w:eastAsia="zh-CN" w:bidi="zh-CN"/>
        </w:rPr>
      </w:pPr>
      <w:r>
        <w:rPr>
          <w:rFonts w:hint="eastAsia" w:ascii="仿宋_GB2312" w:hAnsi="仿宋_GB2312" w:eastAsia="仿宋_GB2312" w:cs="仿宋_GB2312"/>
          <w:b/>
          <w:bCs/>
          <w:lang w:val="en-US" w:eastAsia="zh-CN"/>
        </w:rPr>
        <w:t>3.解决“以路代街”现象。</w:t>
      </w:r>
      <w:r>
        <w:rPr>
          <w:rFonts w:hint="eastAsia" w:cs="仿宋_GB2312"/>
          <w:color w:val="323232"/>
          <w:sz w:val="32"/>
          <w:szCs w:val="32"/>
          <w:lang w:val="en-US" w:eastAsia="zh-CN" w:bidi="zh-CN"/>
        </w:rPr>
        <w:t>开展可行性调研，规划建设新的交通路线或实施街道搬迁，实现过境道路和街道相分离；对不具备新建道路或搬迁条件的场镇，完善交通设施，加强日常监管，规范场镇秩序，消除安全隐患。</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0" w:firstLineChars="200"/>
        <w:jc w:val="left"/>
        <w:textAlignment w:val="auto"/>
        <w:rPr>
          <w:rFonts w:hint="default" w:cs="仿宋_GB2312"/>
          <w:color w:val="323232"/>
          <w:sz w:val="32"/>
          <w:szCs w:val="32"/>
          <w:lang w:val="en-US" w:eastAsia="zh-CN" w:bidi="zh-CN"/>
        </w:rPr>
      </w:pPr>
      <w:r>
        <w:rPr>
          <w:rFonts w:hint="eastAsia" w:cs="仿宋_GB2312"/>
          <w:color w:val="323232"/>
          <w:sz w:val="32"/>
          <w:szCs w:val="32"/>
          <w:lang w:val="en-US" w:eastAsia="zh-CN" w:bidi="zh-CN"/>
        </w:rPr>
        <w:t>牵头单位：</w:t>
      </w:r>
      <w:r>
        <w:rPr>
          <w:rFonts w:hint="eastAsia" w:ascii="仿宋_GB2312" w:hAnsi="仿宋_GB2312" w:eastAsia="仿宋_GB2312" w:cs="仿宋_GB2312"/>
          <w:color w:val="323232"/>
          <w:sz w:val="32"/>
          <w:szCs w:val="32"/>
          <w:lang w:val="en-US" w:eastAsia="zh-CN" w:bidi="zh-CN"/>
        </w:rPr>
        <w:t>县交通运输局</w:t>
      </w:r>
      <w:r>
        <w:rPr>
          <w:rFonts w:hint="eastAsia" w:cs="仿宋_GB2312"/>
          <w:color w:val="323232"/>
          <w:sz w:val="32"/>
          <w:szCs w:val="32"/>
          <w:lang w:val="en-US" w:eastAsia="zh-CN" w:bidi="zh-CN"/>
        </w:rPr>
        <w:t>；责任单位：县住建局、县综合行政执法局、各乡镇。</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3" w:firstLineChars="200"/>
        <w:jc w:val="left"/>
        <w:textAlignment w:val="auto"/>
        <w:rPr>
          <w:rFonts w:hint="eastAsia" w:cs="仿宋_GB2312"/>
          <w:color w:val="323232"/>
          <w:sz w:val="32"/>
          <w:szCs w:val="32"/>
          <w:lang w:val="en-US" w:eastAsia="zh-CN" w:bidi="zh-CN"/>
        </w:rPr>
      </w:pPr>
      <w:r>
        <w:rPr>
          <w:rFonts w:hint="eastAsia" w:ascii="仿宋_GB2312" w:hAnsi="仿宋_GB2312" w:eastAsia="仿宋_GB2312" w:cs="仿宋_GB2312"/>
          <w:b/>
          <w:bCs/>
          <w:lang w:val="en-US" w:eastAsia="zh-CN"/>
        </w:rPr>
        <w:t>4.完善文体设施。</w:t>
      </w:r>
      <w:r>
        <w:rPr>
          <w:rFonts w:hint="eastAsia" w:cs="仿宋_GB2312"/>
          <w:color w:val="323232"/>
          <w:sz w:val="32"/>
          <w:szCs w:val="32"/>
          <w:lang w:val="en-US" w:eastAsia="zh-CN" w:bidi="zh-CN"/>
        </w:rPr>
        <w:t>加强乡镇、村基层综合性文化服务中心建设， 实施广播“村村响”、电视“户户通”、电影“月月看”等文化惠民工程，广泛开展群众性文化活动。有条件的乡镇、村和社区，积极申报乡镇、村健身中心和多功能运动场，争取省上补助资金。</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0" w:firstLineChars="200"/>
        <w:jc w:val="left"/>
        <w:textAlignment w:val="auto"/>
        <w:rPr>
          <w:rFonts w:hint="eastAsia" w:cs="仿宋_GB2312"/>
          <w:color w:val="323232"/>
          <w:sz w:val="32"/>
          <w:szCs w:val="32"/>
          <w:lang w:val="en-US" w:eastAsia="zh-CN" w:bidi="zh-CN"/>
        </w:rPr>
      </w:pPr>
      <w:r>
        <w:rPr>
          <w:rFonts w:hint="eastAsia" w:cs="仿宋_GB2312"/>
          <w:color w:val="323232"/>
          <w:sz w:val="32"/>
          <w:szCs w:val="32"/>
          <w:lang w:val="en-US" w:eastAsia="zh-CN" w:bidi="zh-CN"/>
        </w:rPr>
        <w:t>牵头单位：</w:t>
      </w:r>
      <w:r>
        <w:rPr>
          <w:rFonts w:hint="eastAsia" w:ascii="仿宋_GB2312" w:hAnsi="仿宋_GB2312" w:eastAsia="仿宋_GB2312" w:cs="仿宋_GB2312"/>
          <w:color w:val="323232"/>
          <w:sz w:val="32"/>
          <w:szCs w:val="32"/>
          <w:lang w:val="en-US" w:eastAsia="zh-CN" w:bidi="zh-CN"/>
        </w:rPr>
        <w:t>县文体旅局</w:t>
      </w:r>
      <w:r>
        <w:rPr>
          <w:rFonts w:hint="eastAsia" w:cs="仿宋_GB2312"/>
          <w:color w:val="323232"/>
          <w:sz w:val="32"/>
          <w:szCs w:val="32"/>
          <w:lang w:val="en-US" w:eastAsia="zh-CN" w:bidi="zh-CN"/>
        </w:rPr>
        <w:t>；责任单位：各乡镇。</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3" w:firstLineChars="200"/>
        <w:jc w:val="left"/>
        <w:textAlignment w:val="auto"/>
        <w:rPr>
          <w:rFonts w:hint="eastAsia" w:cs="仿宋_GB2312"/>
          <w:color w:val="323232"/>
          <w:sz w:val="32"/>
          <w:szCs w:val="32"/>
          <w:lang w:val="en-US" w:eastAsia="zh-CN" w:bidi="zh-CN"/>
        </w:rPr>
      </w:pPr>
      <w:r>
        <w:rPr>
          <w:rFonts w:hint="eastAsia" w:ascii="仿宋_GB2312" w:hAnsi="仿宋_GB2312" w:eastAsia="仿宋_GB2312" w:cs="仿宋_GB2312"/>
          <w:b/>
          <w:bCs/>
          <w:lang w:val="en-US" w:eastAsia="zh-CN"/>
        </w:rPr>
        <w:t>5.加强便民服务。</w:t>
      </w:r>
      <w:r>
        <w:rPr>
          <w:rFonts w:hint="eastAsia" w:cs="仿宋_GB2312"/>
          <w:color w:val="323232"/>
          <w:sz w:val="32"/>
          <w:szCs w:val="32"/>
          <w:lang w:val="en-US" w:eastAsia="zh-CN" w:bidi="zh-CN"/>
        </w:rPr>
        <w:t>规范便民服务场所,推行“一站式”服务， 提升网上办事能力，健全日常管理制度，积极打造科学规范、运转有序、保障有力、服务高效、人民满意的便民服务中心。2021 年，启动建制镇便民服务体系标准化规范化便利化省市县三级分类试点建设，2022 年建制乡镇便民服务体系标准化规范化便利化达50%以上，2023 年达100%。</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0" w:firstLineChars="200"/>
        <w:jc w:val="left"/>
        <w:textAlignment w:val="auto"/>
        <w:rPr>
          <w:rFonts w:hint="eastAsia" w:cs="仿宋_GB2312"/>
          <w:color w:val="323232"/>
          <w:sz w:val="32"/>
          <w:szCs w:val="32"/>
          <w:lang w:val="en-US" w:eastAsia="zh-CN" w:bidi="zh-CN"/>
        </w:rPr>
      </w:pPr>
      <w:r>
        <w:rPr>
          <w:rFonts w:hint="eastAsia" w:cs="仿宋_GB2312"/>
          <w:color w:val="323232"/>
          <w:sz w:val="32"/>
          <w:szCs w:val="32"/>
          <w:lang w:val="en-US" w:eastAsia="zh-CN" w:bidi="zh-CN"/>
        </w:rPr>
        <w:t>牵头单位：</w:t>
      </w:r>
      <w:r>
        <w:rPr>
          <w:rFonts w:hint="eastAsia" w:ascii="仿宋_GB2312" w:hAnsi="仿宋_GB2312" w:eastAsia="仿宋_GB2312" w:cs="仿宋_GB2312"/>
          <w:color w:val="323232"/>
          <w:sz w:val="32"/>
          <w:szCs w:val="32"/>
          <w:lang w:val="en-US" w:eastAsia="zh-CN" w:bidi="zh-CN"/>
        </w:rPr>
        <w:t>县行政审批局</w:t>
      </w:r>
      <w:r>
        <w:rPr>
          <w:rFonts w:hint="eastAsia" w:cs="仿宋_GB2312"/>
          <w:color w:val="323232"/>
          <w:sz w:val="32"/>
          <w:szCs w:val="32"/>
          <w:lang w:val="en-US" w:eastAsia="zh-CN" w:bidi="zh-CN"/>
        </w:rPr>
        <w:t>；责任单位：各乡镇。</w:t>
      </w:r>
    </w:p>
    <w:p>
      <w:pPr>
        <w:pStyle w:val="5"/>
        <w:keepNext w:val="0"/>
        <w:keepLines w:val="0"/>
        <w:pageBreakBefore w:val="0"/>
        <w:widowControl w:val="0"/>
        <w:kinsoku/>
        <w:wordWrap/>
        <w:overflowPunct/>
        <w:topLinePunct w:val="0"/>
        <w:autoSpaceDE w:val="0"/>
        <w:autoSpaceDN w:val="0"/>
        <w:bidi w:val="0"/>
        <w:adjustRightInd/>
        <w:snapToGrid/>
        <w:spacing w:before="0" w:line="576" w:lineRule="exact"/>
        <w:ind w:left="0" w:leftChars="0" w:right="0" w:firstLine="640" w:firstLineChars="200"/>
        <w:jc w:val="left"/>
        <w:textAlignment w:val="auto"/>
        <w:rPr>
          <w:rFonts w:hint="eastAsia" w:ascii="楷体_GB2312" w:eastAsia="楷体_GB2312"/>
          <w:lang w:val="zh-CN" w:eastAsia="zh-CN"/>
        </w:rPr>
      </w:pPr>
      <w:r>
        <w:rPr>
          <w:rFonts w:hint="eastAsia" w:ascii="楷体_GB2312" w:eastAsia="楷体_GB2312"/>
          <w:lang w:val="zh-CN" w:eastAsia="zh-CN"/>
        </w:rPr>
        <w:t>（二）清理乱搭乱建</w:t>
      </w:r>
      <w:r>
        <w:rPr>
          <w:rFonts w:hint="eastAsia" w:ascii="楷体_GB2312" w:eastAsia="楷体_GB2312"/>
          <w:lang w:val="en-US" w:eastAsia="zh-CN"/>
        </w:rPr>
        <w:t>提升环境面貌。</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3" w:firstLineChars="200"/>
        <w:jc w:val="left"/>
        <w:textAlignment w:val="auto"/>
        <w:rPr>
          <w:rFonts w:hint="eastAsia" w:ascii="仿宋_GB2312" w:hAnsi="仿宋_GB2312" w:eastAsia="仿宋_GB2312" w:cs="仿宋_GB2312"/>
          <w:color w:val="323232"/>
          <w:sz w:val="32"/>
          <w:szCs w:val="32"/>
          <w:lang w:val="zh-CN" w:eastAsia="zh-CN" w:bidi="zh-CN"/>
        </w:rPr>
      </w:pPr>
      <w:r>
        <w:rPr>
          <w:rFonts w:hint="eastAsia" w:ascii="仿宋_GB2312" w:hAnsi="仿宋_GB2312" w:eastAsia="仿宋_GB2312" w:cs="仿宋_GB2312"/>
          <w:b/>
          <w:bCs/>
          <w:lang w:val="en-US" w:eastAsia="zh-CN"/>
        </w:rPr>
        <w:t>1.</w:t>
      </w:r>
      <w:r>
        <w:rPr>
          <w:rFonts w:hint="eastAsia" w:ascii="仿宋_GB2312" w:hAnsi="仿宋_GB2312" w:eastAsia="仿宋_GB2312" w:cs="仿宋_GB2312"/>
          <w:b/>
          <w:bCs/>
          <w:lang w:val="zh-CN" w:eastAsia="zh-CN"/>
        </w:rPr>
        <w:t>规范杆管线路。</w:t>
      </w:r>
      <w:r>
        <w:rPr>
          <w:rFonts w:hint="eastAsia" w:ascii="仿宋_GB2312" w:hAnsi="仿宋_GB2312" w:eastAsia="仿宋_GB2312" w:cs="仿宋_GB2312"/>
          <w:i w:val="0"/>
          <w:iCs w:val="0"/>
          <w:caps w:val="0"/>
          <w:color w:val="333333"/>
          <w:spacing w:val="8"/>
          <w:sz w:val="32"/>
          <w:szCs w:val="32"/>
          <w:shd w:val="clear" w:fill="FFFFFF"/>
        </w:rPr>
        <w:t>集中开展“乱搭乱建、违法建筑”专项整治拆除行动，做到无违建</w:t>
      </w:r>
      <w:r>
        <w:rPr>
          <w:rFonts w:hint="eastAsia" w:cs="仿宋_GB2312"/>
          <w:i w:val="0"/>
          <w:iCs w:val="0"/>
          <w:caps w:val="0"/>
          <w:color w:val="333333"/>
          <w:spacing w:val="8"/>
          <w:sz w:val="32"/>
          <w:szCs w:val="32"/>
          <w:shd w:val="clear" w:fill="FFFFFF"/>
          <w:lang w:eastAsia="zh-CN"/>
        </w:rPr>
        <w:t>。</w:t>
      </w:r>
      <w:r>
        <w:rPr>
          <w:rFonts w:hint="eastAsia" w:ascii="仿宋_GB2312" w:hAnsi="仿宋_GB2312" w:eastAsia="仿宋_GB2312" w:cs="仿宋_GB2312"/>
          <w:color w:val="323232"/>
          <w:sz w:val="32"/>
          <w:szCs w:val="32"/>
          <w:lang w:val="zh-CN" w:eastAsia="zh-CN" w:bidi="zh-CN"/>
        </w:rPr>
        <w:t>清理场镇通信、电力杆管线路，清除废弃杆管线路，规范电杆、线路、变压器等设置，积极推进线路入地，严禁私拉乱接，杜绝“蜘蛛网”现象。</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0" w:firstLineChars="200"/>
        <w:jc w:val="left"/>
        <w:textAlignment w:val="auto"/>
        <w:rPr>
          <w:rFonts w:hint="eastAsia" w:ascii="仿宋_GB2312" w:hAnsi="仿宋_GB2312" w:eastAsia="仿宋_GB2312" w:cs="仿宋_GB2312"/>
          <w:color w:val="323232"/>
          <w:sz w:val="32"/>
          <w:szCs w:val="32"/>
          <w:lang w:val="en-US" w:eastAsia="zh-CN" w:bidi="zh-CN"/>
        </w:rPr>
      </w:pPr>
      <w:r>
        <w:rPr>
          <w:rFonts w:hint="eastAsia" w:cs="仿宋_GB2312"/>
          <w:color w:val="323232"/>
          <w:sz w:val="32"/>
          <w:szCs w:val="32"/>
          <w:lang w:val="en-US" w:eastAsia="zh-CN" w:bidi="zh-CN"/>
        </w:rPr>
        <w:t>牵头单位：</w:t>
      </w:r>
      <w:r>
        <w:rPr>
          <w:rFonts w:hint="eastAsia" w:ascii="仿宋_GB2312" w:hAnsi="仿宋_GB2312" w:eastAsia="仿宋_GB2312" w:cs="仿宋_GB2312"/>
          <w:color w:val="323232"/>
          <w:sz w:val="32"/>
          <w:szCs w:val="32"/>
          <w:lang w:val="en-US" w:eastAsia="zh-CN" w:bidi="zh-CN"/>
        </w:rPr>
        <w:t>县经信局</w:t>
      </w:r>
      <w:r>
        <w:rPr>
          <w:rFonts w:hint="eastAsia" w:cs="仿宋_GB2312"/>
          <w:color w:val="323232"/>
          <w:sz w:val="32"/>
          <w:szCs w:val="32"/>
          <w:lang w:val="en-US" w:eastAsia="zh-CN" w:bidi="zh-CN"/>
        </w:rPr>
        <w:t>；责任单位：四川大电、国电信公司、移动公司、联通公司、各乡镇。</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3" w:firstLineChars="200"/>
        <w:jc w:val="left"/>
        <w:textAlignment w:val="auto"/>
        <w:rPr>
          <w:rFonts w:hint="eastAsia" w:ascii="仿宋_GB2312" w:hAnsi="仿宋_GB2312" w:eastAsia="仿宋_GB2312" w:cs="仿宋_GB2312"/>
          <w:color w:val="323232"/>
          <w:sz w:val="32"/>
          <w:szCs w:val="32"/>
          <w:lang w:val="en-US" w:eastAsia="zh-CN" w:bidi="zh-CN"/>
        </w:rPr>
      </w:pPr>
      <w:r>
        <w:rPr>
          <w:rFonts w:hint="eastAsia" w:ascii="仿宋_GB2312" w:hAnsi="仿宋_GB2312" w:eastAsia="仿宋_GB2312" w:cs="仿宋_GB2312"/>
          <w:b/>
          <w:bCs/>
          <w:lang w:val="en-US" w:eastAsia="zh-CN"/>
        </w:rPr>
        <w:t>2.配齐环卫设施。</w:t>
      </w:r>
      <w:r>
        <w:rPr>
          <w:rFonts w:hint="eastAsia" w:ascii="仿宋_GB2312" w:hAnsi="仿宋_GB2312" w:eastAsia="仿宋_GB2312" w:cs="仿宋_GB2312"/>
          <w:color w:val="323232"/>
          <w:sz w:val="32"/>
          <w:szCs w:val="32"/>
          <w:lang w:val="en-US" w:eastAsia="zh-CN" w:bidi="zh-CN"/>
        </w:rPr>
        <w:t>在每个场镇设置废物箱,根据不同乡镇类型合理规定间距。设置垃圾收集点，服务半径不宜超过 100 米。镇（乡）垃圾收集点（站）至垃圾处理场平均运输距离超过 10 公里时，设置垃圾转运站。原则上建制镇按1.5 辆/万人配置、乡集镇按 1 辆/万人配置垃圾清运车辆。有条件的</w:t>
      </w:r>
      <w:r>
        <w:rPr>
          <w:rFonts w:hint="eastAsia" w:cs="仿宋_GB2312"/>
          <w:color w:val="323232"/>
          <w:sz w:val="32"/>
          <w:szCs w:val="32"/>
          <w:lang w:val="en-US" w:eastAsia="zh-CN" w:bidi="zh-CN"/>
        </w:rPr>
        <w:t>乡镇</w:t>
      </w:r>
      <w:r>
        <w:rPr>
          <w:rFonts w:hint="eastAsia" w:ascii="仿宋_GB2312" w:hAnsi="仿宋_GB2312" w:eastAsia="仿宋_GB2312" w:cs="仿宋_GB2312"/>
          <w:color w:val="323232"/>
          <w:sz w:val="32"/>
          <w:szCs w:val="32"/>
          <w:lang w:val="en-US" w:eastAsia="zh-CN" w:bidi="zh-CN"/>
        </w:rPr>
        <w:t>可根据餐厨垃圾产量、运距等因素综合配置餐厨垃圾车辆。</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0" w:firstLineChars="200"/>
        <w:jc w:val="left"/>
        <w:textAlignment w:val="auto"/>
        <w:rPr>
          <w:rFonts w:hint="eastAsia" w:ascii="仿宋_GB2312" w:hAnsi="仿宋_GB2312" w:eastAsia="仿宋_GB2312" w:cs="仿宋_GB2312"/>
          <w:color w:val="323232"/>
          <w:sz w:val="32"/>
          <w:szCs w:val="32"/>
          <w:lang w:val="en-US" w:eastAsia="zh-CN" w:bidi="zh-CN"/>
        </w:rPr>
      </w:pPr>
      <w:r>
        <w:rPr>
          <w:rFonts w:hint="eastAsia" w:cs="仿宋_GB2312"/>
          <w:color w:val="323232"/>
          <w:sz w:val="32"/>
          <w:szCs w:val="32"/>
          <w:lang w:val="en-US" w:eastAsia="zh-CN" w:bidi="zh-CN"/>
        </w:rPr>
        <w:t>牵头单位：</w:t>
      </w:r>
      <w:r>
        <w:rPr>
          <w:rFonts w:hint="eastAsia" w:ascii="仿宋_GB2312" w:hAnsi="仿宋_GB2312" w:eastAsia="仿宋_GB2312" w:cs="仿宋_GB2312"/>
          <w:color w:val="323232"/>
          <w:sz w:val="32"/>
          <w:szCs w:val="32"/>
          <w:lang w:val="en-US" w:eastAsia="zh-CN" w:bidi="zh-CN"/>
        </w:rPr>
        <w:t>县综合行政执法局</w:t>
      </w:r>
      <w:r>
        <w:rPr>
          <w:rFonts w:hint="eastAsia" w:cs="仿宋_GB2312"/>
          <w:color w:val="323232"/>
          <w:sz w:val="32"/>
          <w:szCs w:val="32"/>
          <w:lang w:val="en-US" w:eastAsia="zh-CN" w:bidi="zh-CN"/>
        </w:rPr>
        <w:t>；责任单位：各乡镇。</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3" w:firstLineChars="200"/>
        <w:jc w:val="left"/>
        <w:textAlignment w:val="auto"/>
        <w:rPr>
          <w:rFonts w:hint="eastAsia" w:ascii="仿宋_GB2312" w:hAnsi="仿宋_GB2312" w:eastAsia="仿宋_GB2312" w:cs="仿宋_GB2312"/>
          <w:color w:val="323232"/>
          <w:sz w:val="32"/>
          <w:szCs w:val="32"/>
          <w:lang w:val="en-US" w:eastAsia="zh-CN" w:bidi="zh-CN"/>
        </w:rPr>
      </w:pPr>
      <w:r>
        <w:rPr>
          <w:rFonts w:hint="eastAsia" w:ascii="仿宋_GB2312" w:hAnsi="仿宋_GB2312" w:eastAsia="仿宋_GB2312" w:cs="仿宋_GB2312"/>
          <w:b/>
          <w:bCs/>
          <w:lang w:val="en-US" w:eastAsia="zh-CN"/>
        </w:rPr>
        <w:t>3.强化日常保洁。</w:t>
      </w:r>
      <w:r>
        <w:rPr>
          <w:rFonts w:hint="eastAsia" w:cs="仿宋_GB2312"/>
          <w:color w:val="323232"/>
          <w:sz w:val="32"/>
          <w:szCs w:val="32"/>
          <w:lang w:val="en-US" w:eastAsia="zh-CN" w:bidi="zh-CN"/>
        </w:rPr>
        <w:t xml:space="preserve">对照《国家卫生县城（乡镇）标准》和《四川省城乡环境综合治理条例》等法规，规范整治乡镇容貌卫生秩序。乡镇按重点地段每 4000 平方米配备一名保洁员，主要道路每8000 平方米配备一名保洁员，其他路段每 10000 平方米配备一名保洁员；村庄公共空间按每 10000 平方米配备一名保洁员的标准配备保洁员，执行好常态保洁制度。 </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0" w:firstLineChars="200"/>
        <w:jc w:val="left"/>
        <w:textAlignment w:val="auto"/>
        <w:rPr>
          <w:rFonts w:hint="eastAsia" w:ascii="仿宋_GB2312" w:hAnsi="仿宋_GB2312" w:eastAsia="仿宋_GB2312" w:cs="仿宋_GB2312"/>
          <w:color w:val="323232"/>
          <w:sz w:val="32"/>
          <w:szCs w:val="32"/>
          <w:lang w:val="en-US" w:eastAsia="zh-CN" w:bidi="zh-CN"/>
        </w:rPr>
      </w:pPr>
      <w:r>
        <w:rPr>
          <w:rFonts w:hint="eastAsia" w:cs="仿宋_GB2312"/>
          <w:color w:val="323232"/>
          <w:sz w:val="32"/>
          <w:szCs w:val="32"/>
          <w:lang w:val="en-US" w:eastAsia="zh-CN" w:bidi="zh-CN"/>
        </w:rPr>
        <w:t>牵头单位：</w:t>
      </w:r>
      <w:r>
        <w:rPr>
          <w:rFonts w:hint="eastAsia" w:ascii="仿宋_GB2312" w:hAnsi="仿宋_GB2312" w:eastAsia="仿宋_GB2312" w:cs="仿宋_GB2312"/>
          <w:color w:val="323232"/>
          <w:sz w:val="32"/>
          <w:szCs w:val="32"/>
          <w:lang w:val="en-US" w:eastAsia="zh-CN" w:bidi="zh-CN"/>
        </w:rPr>
        <w:t>县综合行政执法局</w:t>
      </w:r>
      <w:r>
        <w:rPr>
          <w:rFonts w:hint="eastAsia" w:cs="仿宋_GB2312"/>
          <w:color w:val="323232"/>
          <w:sz w:val="32"/>
          <w:szCs w:val="32"/>
          <w:lang w:val="en-US" w:eastAsia="zh-CN" w:bidi="zh-CN"/>
        </w:rPr>
        <w:t>；责任单位：各乡镇。</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3" w:firstLineChars="200"/>
        <w:jc w:val="left"/>
        <w:textAlignment w:val="auto"/>
        <w:rPr>
          <w:rFonts w:hint="eastAsia" w:cs="仿宋_GB2312"/>
          <w:color w:val="323232"/>
          <w:sz w:val="32"/>
          <w:szCs w:val="32"/>
          <w:lang w:val="en-US" w:eastAsia="zh-CN" w:bidi="zh-CN"/>
        </w:rPr>
      </w:pPr>
      <w:r>
        <w:rPr>
          <w:rFonts w:hint="eastAsia" w:ascii="仿宋_GB2312" w:hAnsi="仿宋_GB2312" w:eastAsia="仿宋_GB2312" w:cs="仿宋_GB2312"/>
          <w:b/>
          <w:bCs/>
          <w:lang w:val="en-US" w:eastAsia="zh-CN"/>
        </w:rPr>
        <w:t>4.治理环境污染。</w:t>
      </w:r>
      <w:r>
        <w:rPr>
          <w:rFonts w:hint="eastAsia" w:cs="仿宋_GB2312"/>
          <w:color w:val="323232"/>
          <w:sz w:val="32"/>
          <w:szCs w:val="32"/>
          <w:lang w:val="en-US" w:eastAsia="zh-CN" w:bidi="zh-CN"/>
        </w:rPr>
        <w:t>加快场镇生活污水主（支）管网建设，加强污水处理设施的运行维护管理，确保设施完善、运行稳定、达标排放、管理科学，杜绝生活污水直排溢流现象，到 2021 年底，建制镇污水处理率达 52%以上，到 2025 年建制镇污水处理率达60% 。场镇内禁止放养家禽家畜，饲养宠物符合有关规定。场镇全面普及卫生厕所，消除旱厕。</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0" w:firstLineChars="200"/>
        <w:jc w:val="left"/>
        <w:textAlignment w:val="auto"/>
        <w:rPr>
          <w:rFonts w:hint="eastAsia" w:cs="仿宋_GB2312"/>
          <w:color w:val="323232"/>
          <w:sz w:val="32"/>
          <w:szCs w:val="32"/>
          <w:lang w:val="en-US" w:eastAsia="zh-CN" w:bidi="zh-CN"/>
        </w:rPr>
      </w:pPr>
      <w:r>
        <w:rPr>
          <w:rFonts w:hint="eastAsia" w:cs="仿宋_GB2312"/>
          <w:color w:val="323232"/>
          <w:sz w:val="32"/>
          <w:szCs w:val="32"/>
          <w:lang w:val="en-US" w:eastAsia="zh-CN" w:bidi="zh-CN"/>
        </w:rPr>
        <w:t>牵头单位：</w:t>
      </w:r>
      <w:r>
        <w:rPr>
          <w:rFonts w:hint="eastAsia" w:ascii="仿宋_GB2312" w:hAnsi="仿宋_GB2312" w:eastAsia="仿宋_GB2312" w:cs="仿宋_GB2312"/>
          <w:color w:val="323232"/>
          <w:sz w:val="32"/>
          <w:szCs w:val="32"/>
          <w:lang w:val="en-US" w:eastAsia="zh-CN" w:bidi="zh-CN"/>
        </w:rPr>
        <w:t>县住建局、县农业农村局</w:t>
      </w:r>
      <w:r>
        <w:rPr>
          <w:rFonts w:hint="eastAsia" w:cs="仿宋_GB2312"/>
          <w:color w:val="323232"/>
          <w:sz w:val="32"/>
          <w:szCs w:val="32"/>
          <w:lang w:val="en-US" w:eastAsia="zh-CN" w:bidi="zh-CN"/>
        </w:rPr>
        <w:t>；责任单位：县综合行政执法局、县生态环境局、各乡镇。</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3" w:firstLineChars="200"/>
        <w:jc w:val="left"/>
        <w:textAlignment w:val="auto"/>
        <w:rPr>
          <w:rFonts w:hint="eastAsia" w:cs="仿宋_GB2312"/>
          <w:color w:val="323232"/>
          <w:sz w:val="32"/>
          <w:szCs w:val="32"/>
          <w:lang w:val="en-US" w:eastAsia="zh-CN" w:bidi="zh-CN"/>
        </w:rPr>
      </w:pPr>
      <w:r>
        <w:rPr>
          <w:rFonts w:hint="eastAsia" w:ascii="仿宋_GB2312" w:hAnsi="仿宋_GB2312" w:eastAsia="仿宋_GB2312" w:cs="仿宋_GB2312"/>
          <w:b/>
          <w:bCs/>
          <w:lang w:val="en-US" w:eastAsia="zh-CN"/>
        </w:rPr>
        <w:t>5.治理扬尘污染。</w:t>
      </w:r>
      <w:r>
        <w:rPr>
          <w:rFonts w:hint="eastAsia" w:cs="仿宋_GB2312"/>
          <w:color w:val="323232"/>
          <w:sz w:val="32"/>
          <w:szCs w:val="32"/>
          <w:lang w:val="en-US" w:eastAsia="zh-CN" w:bidi="zh-CN"/>
        </w:rPr>
        <w:t>按照乐山市人民政府办公室《乐山市扬尘污染防治监督管理和行政执法职责清单（试行）》，县生态环境局负责对扬尘污染防治实施统一监督管理，县级相关部门分工负责，对企业生产、场镇建设、交通运输、路面保洁等方面进行综合治理，有效遏制扬尘对空气质量和场镇环境的影响。</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0" w:firstLineChars="200"/>
        <w:jc w:val="left"/>
        <w:textAlignment w:val="auto"/>
        <w:rPr>
          <w:rFonts w:hint="eastAsia" w:ascii="仿宋_GB2312" w:hAnsi="仿宋_GB2312" w:eastAsia="仿宋_GB2312" w:cs="仿宋_GB2312"/>
          <w:color w:val="323232"/>
          <w:sz w:val="32"/>
          <w:szCs w:val="32"/>
          <w:lang w:val="en-US" w:eastAsia="zh-CN" w:bidi="zh-CN"/>
        </w:rPr>
      </w:pPr>
      <w:r>
        <w:rPr>
          <w:rFonts w:hint="eastAsia" w:cs="仿宋_GB2312"/>
          <w:color w:val="323232"/>
          <w:sz w:val="32"/>
          <w:szCs w:val="32"/>
          <w:lang w:val="en-US" w:eastAsia="zh-CN" w:bidi="zh-CN"/>
        </w:rPr>
        <w:t>牵头单位：</w:t>
      </w:r>
      <w:r>
        <w:rPr>
          <w:rFonts w:hint="eastAsia" w:ascii="仿宋_GB2312" w:hAnsi="仿宋_GB2312" w:eastAsia="仿宋_GB2312" w:cs="仿宋_GB2312"/>
          <w:color w:val="323232"/>
          <w:sz w:val="32"/>
          <w:szCs w:val="32"/>
          <w:lang w:val="en-US" w:eastAsia="zh-CN" w:bidi="zh-CN"/>
        </w:rPr>
        <w:t>县生态环境局</w:t>
      </w:r>
      <w:r>
        <w:rPr>
          <w:rFonts w:hint="eastAsia" w:cs="仿宋_GB2312"/>
          <w:color w:val="323232"/>
          <w:sz w:val="32"/>
          <w:szCs w:val="32"/>
          <w:lang w:val="en-US" w:eastAsia="zh-CN" w:bidi="zh-CN"/>
        </w:rPr>
        <w:t>；责任单位：县综合行政执法局、县经信局、县交通运输局、各乡镇。</w:t>
      </w:r>
    </w:p>
    <w:p>
      <w:pPr>
        <w:pStyle w:val="5"/>
        <w:keepNext w:val="0"/>
        <w:keepLines w:val="0"/>
        <w:pageBreakBefore w:val="0"/>
        <w:widowControl w:val="0"/>
        <w:kinsoku/>
        <w:wordWrap/>
        <w:overflowPunct/>
        <w:topLinePunct w:val="0"/>
        <w:autoSpaceDE w:val="0"/>
        <w:autoSpaceDN w:val="0"/>
        <w:bidi w:val="0"/>
        <w:adjustRightInd/>
        <w:snapToGrid/>
        <w:spacing w:before="0" w:line="576" w:lineRule="exact"/>
        <w:ind w:left="0" w:leftChars="0" w:right="0" w:firstLine="640" w:firstLineChars="200"/>
        <w:jc w:val="left"/>
        <w:textAlignment w:val="auto"/>
        <w:rPr>
          <w:rFonts w:hint="eastAsia" w:ascii="楷体_GB2312" w:eastAsia="楷体_GB2312"/>
          <w:lang w:val="en-US" w:eastAsia="zh-CN"/>
        </w:rPr>
      </w:pPr>
      <w:r>
        <w:rPr>
          <w:rFonts w:hint="eastAsia" w:ascii="楷体_GB2312" w:eastAsia="楷体_GB2312"/>
          <w:lang w:val="en-US" w:eastAsia="zh-CN"/>
        </w:rPr>
        <w:t>（三）改造场镇风貌提升场镇特色。</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3" w:firstLineChars="200"/>
        <w:jc w:val="left"/>
        <w:textAlignment w:val="auto"/>
        <w:rPr>
          <w:rFonts w:hint="eastAsia" w:cs="仿宋_GB2312"/>
          <w:color w:val="323232"/>
          <w:sz w:val="32"/>
          <w:szCs w:val="32"/>
          <w:lang w:val="en-US" w:eastAsia="zh-CN" w:bidi="zh-CN"/>
        </w:rPr>
      </w:pPr>
      <w:r>
        <w:rPr>
          <w:rFonts w:hint="eastAsia" w:ascii="仿宋_GB2312" w:hAnsi="仿宋_GB2312" w:eastAsia="仿宋_GB2312" w:cs="仿宋_GB2312"/>
          <w:b/>
          <w:bCs/>
          <w:lang w:val="en-US" w:eastAsia="zh-CN"/>
        </w:rPr>
        <w:t xml:space="preserve"> 1.统一场镇风貌。</w:t>
      </w:r>
      <w:r>
        <w:rPr>
          <w:rFonts w:hint="eastAsia" w:cs="仿宋_GB2312"/>
          <w:color w:val="323232"/>
          <w:sz w:val="32"/>
          <w:szCs w:val="32"/>
          <w:lang w:val="en-US" w:eastAsia="zh-CN" w:bidi="zh-CN"/>
        </w:rPr>
        <w:t>加强场镇临街建筑物外立面风貌建设管控，结合乡镇地域文化特色，坚持厉行节约原则，因地制宜开展场镇整体风貌设计，严格控制新建建筑物风貌，实现与自然风貌协调统一、与场镇整体风貌协调统一。</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0" w:firstLineChars="200"/>
        <w:jc w:val="left"/>
        <w:textAlignment w:val="auto"/>
        <w:rPr>
          <w:rFonts w:hint="eastAsia" w:cs="仿宋_GB2312"/>
          <w:color w:val="323232"/>
          <w:sz w:val="32"/>
          <w:szCs w:val="32"/>
          <w:lang w:val="en-US" w:eastAsia="zh-CN" w:bidi="zh-CN"/>
        </w:rPr>
      </w:pPr>
      <w:r>
        <w:rPr>
          <w:rFonts w:hint="eastAsia" w:cs="仿宋_GB2312"/>
          <w:color w:val="323232"/>
          <w:sz w:val="32"/>
          <w:szCs w:val="32"/>
          <w:lang w:val="en-US" w:eastAsia="zh-CN" w:bidi="zh-CN"/>
        </w:rPr>
        <w:t>牵头单位：</w:t>
      </w:r>
      <w:r>
        <w:rPr>
          <w:rFonts w:hint="eastAsia" w:ascii="仿宋_GB2312" w:hAnsi="仿宋_GB2312" w:eastAsia="仿宋_GB2312" w:cs="仿宋_GB2312"/>
          <w:color w:val="323232"/>
          <w:sz w:val="32"/>
          <w:szCs w:val="32"/>
          <w:lang w:val="en-US" w:eastAsia="zh-CN" w:bidi="zh-CN"/>
        </w:rPr>
        <w:t>县住建局</w:t>
      </w:r>
      <w:r>
        <w:rPr>
          <w:rFonts w:hint="eastAsia" w:cs="仿宋_GB2312"/>
          <w:color w:val="323232"/>
          <w:sz w:val="32"/>
          <w:szCs w:val="32"/>
          <w:lang w:val="en-US" w:eastAsia="zh-CN" w:bidi="zh-CN"/>
        </w:rPr>
        <w:t>；责任单位：各乡镇。</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3" w:firstLineChars="200"/>
        <w:jc w:val="left"/>
        <w:textAlignment w:val="auto"/>
        <w:rPr>
          <w:rFonts w:hint="eastAsia" w:cs="仿宋_GB2312"/>
          <w:color w:val="323232"/>
          <w:sz w:val="32"/>
          <w:szCs w:val="32"/>
          <w:lang w:val="en-US" w:eastAsia="zh-CN" w:bidi="zh-CN"/>
        </w:rPr>
      </w:pPr>
      <w:r>
        <w:rPr>
          <w:rFonts w:hint="eastAsia" w:ascii="仿宋_GB2312" w:hAnsi="仿宋_GB2312" w:eastAsia="仿宋_GB2312" w:cs="仿宋_GB2312"/>
          <w:b/>
          <w:bCs/>
          <w:lang w:val="en-US" w:eastAsia="zh-CN"/>
        </w:rPr>
        <w:t>2.消除住房隐患。</w:t>
      </w:r>
      <w:r>
        <w:rPr>
          <w:rFonts w:hint="eastAsia" w:cs="仿宋_GB2312"/>
          <w:color w:val="323232"/>
          <w:sz w:val="32"/>
          <w:szCs w:val="32"/>
          <w:lang w:val="en-US" w:eastAsia="zh-CN" w:bidi="zh-CN"/>
        </w:rPr>
        <w:t>深入推进场镇房屋建筑和人员聚集场所安全风险隐患排查整治工作，及时消除场镇房屋建筑安全隐患，确保人民群众生命财产安全。2021 年 6 月底基本完成隐患排查，到2022 年 12 月底，基本完成房屋安全隐患问题整改。加强房屋建筑规划、设计、建设、使用、改扩建等全过程监管，提高管理水平和效能。</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0" w:firstLineChars="200"/>
        <w:jc w:val="left"/>
        <w:textAlignment w:val="auto"/>
        <w:rPr>
          <w:rFonts w:hint="eastAsia" w:cs="仿宋_GB2312"/>
          <w:color w:val="323232"/>
          <w:sz w:val="32"/>
          <w:szCs w:val="32"/>
          <w:lang w:val="en-US" w:eastAsia="zh-CN" w:bidi="zh-CN"/>
        </w:rPr>
      </w:pPr>
      <w:r>
        <w:rPr>
          <w:rFonts w:hint="eastAsia" w:cs="仿宋_GB2312"/>
          <w:color w:val="323232"/>
          <w:sz w:val="32"/>
          <w:szCs w:val="32"/>
          <w:lang w:val="en-US" w:eastAsia="zh-CN" w:bidi="zh-CN"/>
        </w:rPr>
        <w:t>牵头单位：</w:t>
      </w:r>
      <w:r>
        <w:rPr>
          <w:rFonts w:hint="eastAsia" w:ascii="仿宋_GB2312" w:hAnsi="仿宋_GB2312" w:eastAsia="仿宋_GB2312" w:cs="仿宋_GB2312"/>
          <w:color w:val="323232"/>
          <w:sz w:val="32"/>
          <w:szCs w:val="32"/>
          <w:lang w:val="en-US" w:eastAsia="zh-CN" w:bidi="zh-CN"/>
        </w:rPr>
        <w:t>县住建局</w:t>
      </w:r>
      <w:r>
        <w:rPr>
          <w:rFonts w:hint="eastAsia" w:cs="仿宋_GB2312"/>
          <w:color w:val="323232"/>
          <w:sz w:val="32"/>
          <w:szCs w:val="32"/>
          <w:lang w:val="en-US" w:eastAsia="zh-CN" w:bidi="zh-CN"/>
        </w:rPr>
        <w:t>；责任单位：各乡镇。</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3" w:firstLineChars="200"/>
        <w:jc w:val="left"/>
        <w:textAlignment w:val="auto"/>
        <w:rPr>
          <w:rFonts w:hint="eastAsia" w:cs="仿宋_GB2312"/>
          <w:color w:val="323232"/>
          <w:sz w:val="32"/>
          <w:szCs w:val="32"/>
          <w:lang w:val="en-US" w:eastAsia="zh-CN" w:bidi="zh-CN"/>
        </w:rPr>
      </w:pPr>
      <w:r>
        <w:rPr>
          <w:rFonts w:hint="eastAsia" w:ascii="仿宋_GB2312" w:hAnsi="仿宋_GB2312" w:eastAsia="仿宋_GB2312" w:cs="仿宋_GB2312"/>
          <w:b/>
          <w:bCs/>
          <w:lang w:val="en-US" w:eastAsia="zh-CN"/>
        </w:rPr>
        <w:t>3.实施绿化亮化。</w:t>
      </w:r>
      <w:r>
        <w:rPr>
          <w:rFonts w:hint="eastAsia" w:cs="仿宋_GB2312"/>
          <w:color w:val="323232"/>
          <w:sz w:val="32"/>
          <w:szCs w:val="32"/>
          <w:lang w:val="en-US" w:eastAsia="zh-CN" w:bidi="zh-CN"/>
        </w:rPr>
        <w:t>根据场镇地形地貌、绿地的特点和生态环境建设的要求，结合用地布局，因地制宜实施绿化美化。推进场镇和道路照明亮化，推广使用节能灯具和新能源照明，加强照明设施管护，保障正常使用。</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0" w:firstLineChars="200"/>
        <w:jc w:val="left"/>
        <w:textAlignment w:val="auto"/>
        <w:rPr>
          <w:rFonts w:hint="eastAsia" w:cs="仿宋_GB2312"/>
          <w:color w:val="323232"/>
          <w:sz w:val="32"/>
          <w:szCs w:val="32"/>
          <w:lang w:val="en-US" w:eastAsia="zh-CN" w:bidi="zh-CN"/>
        </w:rPr>
      </w:pPr>
      <w:r>
        <w:rPr>
          <w:rFonts w:hint="eastAsia" w:cs="仿宋_GB2312"/>
          <w:color w:val="323232"/>
          <w:sz w:val="32"/>
          <w:szCs w:val="32"/>
          <w:lang w:val="en-US" w:eastAsia="zh-CN" w:bidi="zh-CN"/>
        </w:rPr>
        <w:t>牵头单位：</w:t>
      </w:r>
      <w:r>
        <w:rPr>
          <w:rFonts w:hint="eastAsia" w:ascii="仿宋_GB2312" w:hAnsi="仿宋_GB2312" w:eastAsia="仿宋_GB2312" w:cs="仿宋_GB2312"/>
          <w:color w:val="323232"/>
          <w:sz w:val="32"/>
          <w:szCs w:val="32"/>
          <w:lang w:val="en-US" w:eastAsia="zh-CN" w:bidi="zh-CN"/>
        </w:rPr>
        <w:t>县林业局、县住建局</w:t>
      </w:r>
      <w:r>
        <w:rPr>
          <w:rFonts w:hint="eastAsia" w:cs="仿宋_GB2312"/>
          <w:color w:val="323232"/>
          <w:sz w:val="32"/>
          <w:szCs w:val="32"/>
          <w:lang w:val="en-US" w:eastAsia="zh-CN" w:bidi="zh-CN"/>
        </w:rPr>
        <w:t>；责任单位：各乡镇。</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3" w:firstLineChars="200"/>
        <w:jc w:val="left"/>
        <w:textAlignment w:val="auto"/>
        <w:rPr>
          <w:rFonts w:hint="eastAsia" w:cs="仿宋_GB2312"/>
          <w:color w:val="323232"/>
          <w:sz w:val="32"/>
          <w:szCs w:val="32"/>
          <w:lang w:val="en-US" w:eastAsia="zh-CN" w:bidi="zh-CN"/>
        </w:rPr>
      </w:pPr>
      <w:r>
        <w:rPr>
          <w:rFonts w:hint="eastAsia" w:ascii="仿宋_GB2312" w:hAnsi="仿宋_GB2312" w:eastAsia="仿宋_GB2312" w:cs="仿宋_GB2312"/>
          <w:b/>
          <w:bCs/>
          <w:lang w:val="en-US" w:eastAsia="zh-CN"/>
        </w:rPr>
        <w:t>4.整治容貌秩序。</w:t>
      </w:r>
      <w:r>
        <w:rPr>
          <w:rFonts w:hint="eastAsia" w:cs="仿宋_GB2312"/>
          <w:color w:val="323232"/>
          <w:sz w:val="32"/>
          <w:szCs w:val="32"/>
          <w:lang w:val="en-US" w:eastAsia="zh-CN" w:bidi="zh-CN"/>
        </w:rPr>
        <w:t>开展容貌提升专项整治、乱搭乱建专项整治、乱贴乱画专项整治、占道经营专项整治，实现卫生责任制落实，镇容美观有序，无乱搭乱建、乱贴乱画、乱摆摊点现象；户外广告设施、招牌、标牌符合有关法律法规的规定和技术规范。</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0" w:firstLineChars="200"/>
        <w:jc w:val="left"/>
        <w:textAlignment w:val="auto"/>
        <w:rPr>
          <w:rFonts w:hint="eastAsia" w:cs="仿宋_GB2312"/>
          <w:color w:val="323232"/>
          <w:sz w:val="32"/>
          <w:szCs w:val="32"/>
          <w:lang w:val="en-US" w:eastAsia="zh-CN" w:bidi="zh-CN"/>
        </w:rPr>
      </w:pPr>
      <w:r>
        <w:rPr>
          <w:rFonts w:hint="eastAsia" w:cs="仿宋_GB2312"/>
          <w:color w:val="323232"/>
          <w:sz w:val="32"/>
          <w:szCs w:val="32"/>
          <w:lang w:val="en-US" w:eastAsia="zh-CN" w:bidi="zh-CN"/>
        </w:rPr>
        <w:t>牵头单位：</w:t>
      </w:r>
      <w:r>
        <w:rPr>
          <w:rFonts w:hint="eastAsia" w:ascii="仿宋_GB2312" w:hAnsi="仿宋_GB2312" w:eastAsia="仿宋_GB2312" w:cs="仿宋_GB2312"/>
          <w:color w:val="323232"/>
          <w:sz w:val="32"/>
          <w:szCs w:val="32"/>
          <w:lang w:val="en-US" w:eastAsia="zh-CN" w:bidi="zh-CN"/>
        </w:rPr>
        <w:t>县住建</w:t>
      </w:r>
      <w:r>
        <w:rPr>
          <w:rFonts w:hint="eastAsia" w:cs="仿宋_GB2312"/>
          <w:color w:val="323232"/>
          <w:sz w:val="32"/>
          <w:szCs w:val="32"/>
          <w:lang w:val="en-US" w:eastAsia="zh-CN" w:bidi="zh-CN"/>
        </w:rPr>
        <w:t>；责任单位：县人居环境整治暨移风易俗指挥部、各乡镇。</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3" w:firstLineChars="200"/>
        <w:jc w:val="left"/>
        <w:textAlignment w:val="auto"/>
        <w:rPr>
          <w:rFonts w:hint="eastAsia" w:cs="仿宋_GB2312"/>
          <w:color w:val="323232"/>
          <w:sz w:val="32"/>
          <w:szCs w:val="32"/>
          <w:lang w:val="en-US" w:eastAsia="zh-CN" w:bidi="zh-CN"/>
        </w:rPr>
      </w:pPr>
      <w:r>
        <w:rPr>
          <w:rFonts w:hint="eastAsia" w:ascii="仿宋_GB2312" w:hAnsi="仿宋_GB2312" w:eastAsia="仿宋_GB2312" w:cs="仿宋_GB2312"/>
          <w:b/>
          <w:bCs/>
          <w:lang w:val="en-US" w:eastAsia="zh-CN"/>
        </w:rPr>
        <w:t>5.建设文明场镇。</w:t>
      </w:r>
      <w:r>
        <w:rPr>
          <w:rFonts w:hint="eastAsia" w:cs="仿宋_GB2312"/>
          <w:color w:val="323232"/>
          <w:sz w:val="32"/>
          <w:szCs w:val="32"/>
          <w:lang w:val="en-US" w:eastAsia="zh-CN" w:bidi="zh-CN"/>
        </w:rPr>
        <w:t>开展文明卫生和健康知识宣传教育，推动群众改变不良生活习惯，讲卫生、树新风、除陋习，摒弃乱扔、乱吐、乱贴等不文明行为。开展移风易俗宣传教育，摒弃大操大办，形成健康文明的生活方式。整治违法违规私建硬化大墓、活人墓，摒弃“豪华墓”。</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line="576" w:lineRule="exact"/>
        <w:ind w:right="0" w:rightChars="0" w:firstLine="640" w:firstLineChars="200"/>
        <w:jc w:val="left"/>
        <w:textAlignment w:val="auto"/>
        <w:rPr>
          <w:rFonts w:hint="default" w:cs="仿宋_GB2312"/>
          <w:color w:val="323232"/>
          <w:sz w:val="32"/>
          <w:szCs w:val="32"/>
          <w:lang w:val="en-US" w:eastAsia="zh-CN" w:bidi="zh-CN"/>
        </w:rPr>
      </w:pPr>
      <w:r>
        <w:rPr>
          <w:rFonts w:hint="eastAsia" w:cs="仿宋_GB2312"/>
          <w:color w:val="323232"/>
          <w:sz w:val="32"/>
          <w:szCs w:val="32"/>
          <w:lang w:val="en-US" w:eastAsia="zh-CN" w:bidi="zh-CN"/>
        </w:rPr>
        <w:t>牵头单位：</w:t>
      </w:r>
      <w:r>
        <w:rPr>
          <w:rFonts w:hint="eastAsia" w:ascii="仿宋_GB2312" w:hAnsi="仿宋_GB2312" w:eastAsia="仿宋_GB2312" w:cs="仿宋_GB2312"/>
          <w:color w:val="323232"/>
          <w:sz w:val="32"/>
          <w:szCs w:val="32"/>
          <w:lang w:val="en-US" w:eastAsia="zh-CN" w:bidi="zh-CN"/>
        </w:rPr>
        <w:t>县委宣传部</w:t>
      </w:r>
      <w:r>
        <w:rPr>
          <w:rFonts w:hint="eastAsia" w:cs="仿宋_GB2312"/>
          <w:color w:val="323232"/>
          <w:sz w:val="32"/>
          <w:szCs w:val="32"/>
          <w:lang w:val="en-US" w:eastAsia="zh-CN" w:bidi="zh-CN"/>
        </w:rPr>
        <w:t>；责任单位：县民政局、县人居环境整治暨移风易俗指挥部、各乡镇。</w:t>
      </w:r>
    </w:p>
    <w:p>
      <w:pPr>
        <w:pStyle w:val="5"/>
        <w:keepNext w:val="0"/>
        <w:keepLines w:val="0"/>
        <w:pageBreakBefore w:val="0"/>
        <w:widowControl w:val="0"/>
        <w:kinsoku/>
        <w:wordWrap/>
        <w:overflowPunct/>
        <w:topLinePunct w:val="0"/>
        <w:autoSpaceDE w:val="0"/>
        <w:autoSpaceDN w:val="0"/>
        <w:bidi w:val="0"/>
        <w:adjustRightInd/>
        <w:snapToGrid/>
        <w:spacing w:before="0" w:line="576" w:lineRule="exact"/>
        <w:ind w:left="0" w:leftChars="0" w:right="0" w:firstLine="640" w:firstLineChars="200"/>
        <w:jc w:val="left"/>
        <w:textAlignment w:val="auto"/>
        <w:rPr>
          <w:rFonts w:hint="eastAsia" w:ascii="黑体" w:eastAsia="黑体"/>
        </w:rPr>
      </w:pPr>
      <w:r>
        <w:rPr>
          <w:rFonts w:hint="eastAsia" w:ascii="黑体" w:eastAsia="黑体"/>
        </w:rPr>
        <w:t>五、保障措施</w:t>
      </w:r>
    </w:p>
    <w:p>
      <w:pPr>
        <w:pStyle w:val="5"/>
        <w:keepNext w:val="0"/>
        <w:keepLines w:val="0"/>
        <w:pageBreakBefore w:val="0"/>
        <w:widowControl w:val="0"/>
        <w:kinsoku/>
        <w:wordWrap/>
        <w:overflowPunct/>
        <w:topLinePunct w:val="0"/>
        <w:autoSpaceDE w:val="0"/>
        <w:autoSpaceDN w:val="0"/>
        <w:bidi w:val="0"/>
        <w:adjustRightInd/>
        <w:snapToGrid/>
        <w:spacing w:before="0" w:line="576" w:lineRule="exact"/>
        <w:ind w:left="0" w:leftChars="0" w:right="0" w:firstLine="640" w:firstLineChars="200"/>
        <w:jc w:val="left"/>
        <w:textAlignment w:val="auto"/>
      </w:pPr>
      <w:r>
        <w:rPr>
          <w:rFonts w:hint="eastAsia" w:ascii="楷体_GB2312" w:eastAsia="楷体_GB2312"/>
        </w:rPr>
        <w:t>（一）加强组织领导。</w:t>
      </w:r>
      <w:r>
        <w:rPr>
          <w:color w:val="323232"/>
        </w:rPr>
        <w:t>全</w:t>
      </w:r>
      <w:r>
        <w:rPr>
          <w:rFonts w:hint="eastAsia"/>
          <w:color w:val="323232"/>
          <w:lang w:eastAsia="zh-CN"/>
        </w:rPr>
        <w:t>县</w:t>
      </w:r>
      <w:r>
        <w:rPr>
          <w:color w:val="323232"/>
        </w:rPr>
        <w:t>场镇建设管理服务提升行动由</w:t>
      </w:r>
      <w:r>
        <w:rPr>
          <w:rFonts w:hint="eastAsia"/>
          <w:color w:val="323232"/>
          <w:lang w:eastAsia="zh-CN"/>
        </w:rPr>
        <w:t>县</w:t>
      </w:r>
      <w:r>
        <w:rPr>
          <w:color w:val="323232"/>
        </w:rPr>
        <w:t>乡村振兴统筹协调部门总牵头。各牵头单位和责任单位要立</w:t>
      </w:r>
      <w:r>
        <w:rPr>
          <w:color w:val="323232"/>
          <w:spacing w:val="-14"/>
        </w:rPr>
        <w:t>足职能，细化明确各项任务的具体标准、推进措施、进度安排等，</w:t>
      </w:r>
      <w:r>
        <w:rPr>
          <w:color w:val="323232"/>
        </w:rPr>
        <w:t>加强行业指导和监管。各</w:t>
      </w:r>
      <w:r>
        <w:rPr>
          <w:rFonts w:hint="eastAsia"/>
          <w:color w:val="323232"/>
          <w:lang w:eastAsia="zh-CN"/>
        </w:rPr>
        <w:t>乡镇</w:t>
      </w:r>
      <w:r>
        <w:rPr>
          <w:color w:val="323232"/>
        </w:rPr>
        <w:t>党委政府是场镇建设管理服务提升行动的责任主体，要加强规划编制、统筹协调、资金筹措、推进实施等工作；县乡村振兴统筹协调部门牵头负责</w:t>
      </w:r>
      <w:r>
        <w:rPr>
          <w:rFonts w:hint="eastAsia"/>
          <w:color w:val="323232"/>
          <w:lang w:eastAsia="zh-CN"/>
        </w:rPr>
        <w:t>指导和监督检查等</w:t>
      </w:r>
      <w:r>
        <w:rPr>
          <w:color w:val="323232"/>
        </w:rPr>
        <w:t>工作。乡镇是实施主体，要围绕抓紧制定推进工作计划，做到目标到位、任务到位、人员到位、责任到位，确保各项工作落地见效。</w:t>
      </w:r>
    </w:p>
    <w:p>
      <w:pPr>
        <w:pStyle w:val="5"/>
        <w:keepNext w:val="0"/>
        <w:keepLines w:val="0"/>
        <w:pageBreakBefore w:val="0"/>
        <w:widowControl w:val="0"/>
        <w:kinsoku/>
        <w:wordWrap/>
        <w:overflowPunct/>
        <w:topLinePunct w:val="0"/>
        <w:autoSpaceDE w:val="0"/>
        <w:autoSpaceDN w:val="0"/>
        <w:bidi w:val="0"/>
        <w:adjustRightInd/>
        <w:snapToGrid/>
        <w:spacing w:before="0" w:line="576" w:lineRule="exact"/>
        <w:ind w:left="0" w:leftChars="0" w:right="0" w:firstLine="640" w:firstLineChars="200"/>
        <w:jc w:val="left"/>
        <w:textAlignment w:val="auto"/>
      </w:pPr>
      <w:r>
        <w:rPr>
          <w:rFonts w:hint="eastAsia" w:ascii="楷体_GB2312" w:hAnsi="楷体_GB2312" w:eastAsia="楷体_GB2312"/>
        </w:rPr>
        <w:t>（二）加强督查考核。</w:t>
      </w:r>
      <w:r>
        <w:rPr>
          <w:color w:val="323232"/>
        </w:rPr>
        <w:t>场镇建设管理服务提升行动纳入</w:t>
      </w:r>
      <w:r>
        <w:rPr>
          <w:rFonts w:hint="eastAsia"/>
          <w:color w:val="323232"/>
          <w:lang w:eastAsia="zh-CN"/>
        </w:rPr>
        <w:t>县</w:t>
      </w:r>
      <w:r>
        <w:rPr>
          <w:color w:val="323232"/>
        </w:rPr>
        <w:t>委目标绩效管理和乡村振兴督查考核内容，</w:t>
      </w:r>
      <w:r>
        <w:rPr>
          <w:rFonts w:hint="eastAsia"/>
          <w:color w:val="323232"/>
          <w:lang w:eastAsia="zh-CN"/>
        </w:rPr>
        <w:t>县</w:t>
      </w:r>
      <w:r>
        <w:rPr>
          <w:color w:val="323232"/>
        </w:rPr>
        <w:t>委目标绩效办牵头，</w:t>
      </w:r>
      <w:r>
        <w:rPr>
          <w:rFonts w:hint="eastAsia"/>
          <w:color w:val="323232"/>
          <w:lang w:eastAsia="zh-CN"/>
        </w:rPr>
        <w:t>县</w:t>
      </w:r>
      <w:r>
        <w:rPr>
          <w:color w:val="323232"/>
        </w:rPr>
        <w:t>乡村振兴统筹协调部门配合，定期对</w:t>
      </w:r>
      <w:r>
        <w:rPr>
          <w:rFonts w:hint="eastAsia"/>
          <w:color w:val="323232"/>
          <w:lang w:eastAsia="zh-CN"/>
        </w:rPr>
        <w:t>乡镇</w:t>
      </w:r>
      <w:r>
        <w:rPr>
          <w:color w:val="323232"/>
        </w:rPr>
        <w:t>、</w:t>
      </w:r>
      <w:r>
        <w:rPr>
          <w:rFonts w:hint="eastAsia"/>
          <w:color w:val="323232"/>
          <w:lang w:eastAsia="zh-CN"/>
        </w:rPr>
        <w:t>县</w:t>
      </w:r>
      <w:r>
        <w:rPr>
          <w:color w:val="323232"/>
        </w:rPr>
        <w:t>级</w:t>
      </w:r>
      <w:r>
        <w:rPr>
          <w:rFonts w:hint="eastAsia"/>
          <w:color w:val="323232"/>
          <w:lang w:eastAsia="zh-CN"/>
        </w:rPr>
        <w:t>牵头</w:t>
      </w:r>
      <w:r>
        <w:rPr>
          <w:color w:val="323232"/>
        </w:rPr>
        <w:t>部门开展暗访督导；每年底组织</w:t>
      </w:r>
      <w:r>
        <w:rPr>
          <w:rFonts w:hint="eastAsia"/>
          <w:color w:val="323232"/>
          <w:lang w:eastAsia="zh-CN"/>
        </w:rPr>
        <w:t>县</w:t>
      </w:r>
      <w:r>
        <w:rPr>
          <w:color w:val="323232"/>
        </w:rPr>
        <w:t>级相关部门开展</w:t>
      </w:r>
      <w:r>
        <w:rPr>
          <w:color w:val="323232"/>
          <w:spacing w:val="-21"/>
        </w:rPr>
        <w:t>验收和考核，对</w:t>
      </w:r>
      <w:r>
        <w:rPr>
          <w:rFonts w:hint="eastAsia"/>
          <w:color w:val="323232"/>
          <w:spacing w:val="-21"/>
          <w:lang w:eastAsia="zh-CN"/>
        </w:rPr>
        <w:t>乡镇</w:t>
      </w:r>
      <w:r>
        <w:rPr>
          <w:color w:val="323232"/>
        </w:rPr>
        <w:t>考核结果进行排名，评定“好、中、差”三个等次</w:t>
      </w:r>
      <w:r>
        <w:rPr>
          <w:color w:val="323232"/>
          <w:spacing w:val="-3"/>
        </w:rPr>
        <w:t>。对工作落实不力的</w:t>
      </w:r>
      <w:r>
        <w:rPr>
          <w:rFonts w:hint="eastAsia"/>
          <w:color w:val="323232"/>
          <w:spacing w:val="-3"/>
          <w:lang w:eastAsia="zh-CN"/>
        </w:rPr>
        <w:t>乡镇</w:t>
      </w:r>
      <w:r>
        <w:rPr>
          <w:color w:val="323232"/>
          <w:spacing w:val="-3"/>
        </w:rPr>
        <w:t>、对</w:t>
      </w:r>
      <w:r>
        <w:rPr>
          <w:rFonts w:hint="eastAsia"/>
          <w:color w:val="323232"/>
          <w:spacing w:val="-3"/>
          <w:lang w:eastAsia="zh-CN"/>
        </w:rPr>
        <w:t>牵头</w:t>
      </w:r>
      <w:r>
        <w:rPr>
          <w:color w:val="323232"/>
          <w:spacing w:val="-3"/>
        </w:rPr>
        <w:t>部门及</w:t>
      </w:r>
      <w:r>
        <w:rPr>
          <w:color w:val="323232"/>
          <w:spacing w:val="12"/>
        </w:rPr>
        <w:t>时通报批评，对提升行动不达标、未完成任务的，严肃追责问责。严肃工作作风，务求工作实效，既要使场镇面貌根本性改</w:t>
      </w:r>
      <w:r>
        <w:rPr>
          <w:color w:val="323232"/>
        </w:rPr>
        <w:t>善，又要防止好高骛远，借机大拆大建，加重基层和群众负担，坚决杜绝形象工程。</w:t>
      </w:r>
    </w:p>
    <w:p>
      <w:pPr>
        <w:pStyle w:val="5"/>
        <w:keepNext w:val="0"/>
        <w:keepLines w:val="0"/>
        <w:pageBreakBefore w:val="0"/>
        <w:widowControl w:val="0"/>
        <w:kinsoku/>
        <w:wordWrap/>
        <w:overflowPunct/>
        <w:topLinePunct w:val="0"/>
        <w:autoSpaceDE w:val="0"/>
        <w:autoSpaceDN w:val="0"/>
        <w:bidi w:val="0"/>
        <w:adjustRightInd/>
        <w:snapToGrid/>
        <w:spacing w:before="0" w:line="576" w:lineRule="exact"/>
        <w:ind w:left="0" w:leftChars="0" w:right="0" w:firstLine="692" w:firstLineChars="200"/>
        <w:jc w:val="left"/>
        <w:textAlignment w:val="auto"/>
      </w:pPr>
      <w:r>
        <w:rPr>
          <w:rFonts w:hint="eastAsia" w:ascii="楷体_GB2312" w:hAnsi="楷体_GB2312" w:eastAsia="楷体_GB2312"/>
          <w:spacing w:val="13"/>
        </w:rPr>
        <w:t>（</w:t>
      </w:r>
      <w:r>
        <w:rPr>
          <w:rFonts w:hint="eastAsia" w:ascii="楷体_GB2312" w:hAnsi="楷体_GB2312" w:eastAsia="楷体_GB2312"/>
          <w:spacing w:val="13"/>
          <w:lang w:eastAsia="zh-CN"/>
        </w:rPr>
        <w:t>三</w:t>
      </w:r>
      <w:r>
        <w:rPr>
          <w:rFonts w:hint="eastAsia" w:ascii="楷体_GB2312" w:hAnsi="楷体_GB2312" w:eastAsia="楷体_GB2312"/>
          <w:spacing w:val="13"/>
        </w:rPr>
        <w:t>）强化资金保障。</w:t>
      </w:r>
      <w:r>
        <w:rPr>
          <w:color w:val="323232"/>
          <w:spacing w:val="12"/>
        </w:rPr>
        <w:t>按照财政事权和支出责任相匹配原则，严格落实建制乡镇场镇建设管理</w:t>
      </w:r>
      <w:r>
        <w:rPr>
          <w:rFonts w:hint="eastAsia"/>
          <w:color w:val="323232"/>
          <w:spacing w:val="12"/>
          <w:lang w:eastAsia="zh-CN"/>
        </w:rPr>
        <w:t>经费，</w:t>
      </w:r>
      <w:r>
        <w:rPr>
          <w:color w:val="323232"/>
          <w:spacing w:val="12"/>
        </w:rPr>
        <w:t>县</w:t>
      </w:r>
      <w:r>
        <w:rPr>
          <w:rFonts w:hint="eastAsia"/>
          <w:color w:val="323232"/>
          <w:spacing w:val="12"/>
          <w:lang w:eastAsia="zh-CN"/>
        </w:rPr>
        <w:t>财政局</w:t>
      </w:r>
      <w:r>
        <w:rPr>
          <w:color w:val="323232"/>
          <w:spacing w:val="12"/>
        </w:rPr>
        <w:t>经费保障主体责任，建立县级财政</w:t>
      </w:r>
      <w:r>
        <w:rPr>
          <w:rFonts w:hint="eastAsia"/>
          <w:color w:val="323232"/>
          <w:spacing w:val="12"/>
          <w:lang w:eastAsia="zh-CN"/>
        </w:rPr>
        <w:t>对</w:t>
      </w:r>
      <w:r>
        <w:rPr>
          <w:color w:val="323232"/>
          <w:spacing w:val="12"/>
        </w:rPr>
        <w:t>每个乡镇</w:t>
      </w:r>
      <w:r>
        <w:rPr>
          <w:rFonts w:hint="eastAsia"/>
          <w:color w:val="323232"/>
          <w:spacing w:val="12"/>
          <w:lang w:eastAsia="zh-CN"/>
        </w:rPr>
        <w:t>定额</w:t>
      </w:r>
      <w:r>
        <w:rPr>
          <w:color w:val="323232"/>
          <w:spacing w:val="12"/>
        </w:rPr>
        <w:t>投入</w:t>
      </w:r>
      <w:r>
        <w:rPr>
          <w:rFonts w:hint="eastAsia"/>
          <w:color w:val="323232"/>
          <w:spacing w:val="12"/>
          <w:lang w:eastAsia="zh-CN"/>
        </w:rPr>
        <w:t>资金</w:t>
      </w:r>
      <w:r>
        <w:rPr>
          <w:color w:val="323232"/>
        </w:rPr>
        <w:t>、多渠道筹集资金的资金保障体系。加大中省专项资金和债券资金争取力度，统筹利用好交通建设、城乡建设等各领域上级专项资金</w:t>
      </w:r>
      <w:r>
        <w:rPr>
          <w:rFonts w:hint="eastAsia"/>
          <w:color w:val="323232"/>
          <w:lang w:eastAsia="zh-CN"/>
        </w:rPr>
        <w:t>，</w:t>
      </w:r>
      <w:r>
        <w:rPr>
          <w:color w:val="323232"/>
        </w:rPr>
        <w:t>探索实施场镇建管领域乡镇政府购买服务。鼓励和引导社会资本参与乡镇市政设施运营管理，积极探索生活污水垃圾处理收费权、特许经营权质押贷款等资金筹措方式。</w:t>
      </w:r>
    </w:p>
    <w:p>
      <w:pPr>
        <w:pStyle w:val="5"/>
        <w:keepNext w:val="0"/>
        <w:keepLines w:val="0"/>
        <w:pageBreakBefore w:val="0"/>
        <w:widowControl w:val="0"/>
        <w:kinsoku/>
        <w:wordWrap/>
        <w:overflowPunct/>
        <w:topLinePunct w:val="0"/>
        <w:autoSpaceDE w:val="0"/>
        <w:autoSpaceDN w:val="0"/>
        <w:bidi w:val="0"/>
        <w:adjustRightInd/>
        <w:snapToGrid/>
        <w:spacing w:before="0" w:line="560" w:lineRule="exact"/>
        <w:ind w:left="0" w:leftChars="0" w:right="0" w:firstLine="640" w:firstLineChars="200"/>
        <w:textAlignment w:val="auto"/>
        <w:rPr>
          <w:rFonts w:hint="eastAsia"/>
          <w:color w:val="323232"/>
          <w:lang w:val="en-US" w:eastAsia="zh-CN"/>
        </w:rPr>
      </w:pPr>
      <w:r>
        <w:rPr>
          <w:rFonts w:hint="eastAsia" w:ascii="楷体_GB2312" w:hAnsi="楷体_GB2312" w:eastAsia="楷体_GB2312"/>
        </w:rPr>
        <w:t>（</w:t>
      </w:r>
      <w:r>
        <w:rPr>
          <w:rFonts w:hint="eastAsia" w:ascii="楷体_GB2312" w:hAnsi="楷体_GB2312" w:eastAsia="楷体_GB2312"/>
          <w:lang w:eastAsia="zh-CN"/>
        </w:rPr>
        <w:t>四</w:t>
      </w:r>
      <w:r>
        <w:rPr>
          <w:rFonts w:hint="eastAsia" w:ascii="楷体_GB2312" w:hAnsi="楷体_GB2312" w:eastAsia="楷体_GB2312"/>
        </w:rPr>
        <w:t>）建立长效机制。</w:t>
      </w:r>
      <w:r>
        <w:rPr>
          <w:color w:val="323232"/>
        </w:rPr>
        <w:t>通过提升行动，建立“有制度、有标准、有措施、有人员、有经费、有督查、有考核”的场镇建设管理服务长效机制。各</w:t>
      </w:r>
      <w:r>
        <w:rPr>
          <w:rFonts w:hint="eastAsia"/>
          <w:color w:val="323232"/>
          <w:lang w:eastAsia="zh-CN"/>
        </w:rPr>
        <w:t>乡镇</w:t>
      </w:r>
      <w:r>
        <w:rPr>
          <w:color w:val="323232"/>
        </w:rPr>
        <w:t>在完成提升行动后，要坚持长效机制，进一步巩固拓展行动成果，杜绝反弹回潮。</w:t>
      </w:r>
      <w:r>
        <w:rPr>
          <w:rFonts w:hint="eastAsia"/>
          <w:color w:val="323232"/>
          <w:lang w:val="en-US" w:eastAsia="zh-CN"/>
        </w:rPr>
        <w:t xml:space="preserve"> </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firstLine="640" w:firstLineChars="200"/>
        <w:jc w:val="left"/>
        <w:rPr>
          <w:rFonts w:hint="eastAsia" w:ascii="仿宋_GB2312" w:hAnsi="仿宋_GB2312" w:eastAsia="仿宋_GB2312" w:cs="仿宋_GB2312"/>
          <w:color w:val="323232"/>
          <w:kern w:val="0"/>
          <w:sz w:val="32"/>
          <w:szCs w:val="32"/>
          <w:lang w:val="zh-CN" w:eastAsia="zh-CN" w:bidi="zh-CN"/>
        </w:rPr>
      </w:pPr>
      <w:r>
        <w:rPr>
          <w:rFonts w:hint="eastAsia" w:ascii="楷体_GB2312" w:hAnsi="楷体_GB2312" w:eastAsia="楷体_GB2312" w:cs="仿宋_GB2312"/>
          <w:kern w:val="0"/>
          <w:sz w:val="32"/>
          <w:szCs w:val="32"/>
          <w:lang w:val="zh-CN" w:eastAsia="zh-CN" w:bidi="zh-CN"/>
        </w:rPr>
        <w:t>（五）营造推进氛围。</w:t>
      </w:r>
      <w:r>
        <w:rPr>
          <w:rFonts w:hint="eastAsia" w:ascii="仿宋_GB2312" w:hAnsi="仿宋_GB2312" w:eastAsia="仿宋_GB2312" w:cs="仿宋_GB2312"/>
          <w:color w:val="323232"/>
          <w:kern w:val="0"/>
          <w:sz w:val="32"/>
          <w:szCs w:val="32"/>
          <w:lang w:val="zh-CN" w:eastAsia="zh-CN" w:bidi="zh-CN"/>
        </w:rPr>
        <w:t>各乡镇要充分利用广播、电视、报刊、网络等载体，积极开展“建制乡镇场镇建设管理服务提升行动”宣传，充分调动基层干部和居民群众的积极性、主动性和创造性，加快形成全民共建、共治、共享的良好氛围。引导教育广大居民养成良好的生产、生活方式和行为习惯，不断增强环境卫生意识和环境保护观念，全面提升文明素质。</w:t>
      </w:r>
    </w:p>
    <w:p>
      <w:pPr>
        <w:pStyle w:val="5"/>
        <w:keepNext w:val="0"/>
        <w:keepLines w:val="0"/>
        <w:pageBreakBefore w:val="0"/>
        <w:widowControl w:val="0"/>
        <w:kinsoku/>
        <w:wordWrap/>
        <w:overflowPunct/>
        <w:topLinePunct w:val="0"/>
        <w:autoSpaceDE w:val="0"/>
        <w:autoSpaceDN w:val="0"/>
        <w:bidi w:val="0"/>
        <w:adjustRightInd/>
        <w:snapToGrid/>
        <w:spacing w:before="0" w:line="560" w:lineRule="exact"/>
        <w:ind w:left="0" w:leftChars="0" w:right="0" w:firstLine="640" w:firstLineChars="200"/>
        <w:textAlignment w:val="auto"/>
        <w:rPr>
          <w:rFonts w:hint="eastAsia" w:ascii="仿宋_GB2312" w:hAnsi="仿宋_GB2312" w:eastAsia="仿宋_GB2312" w:cs="仿宋_GB2312"/>
          <w:color w:val="323232"/>
          <w:kern w:val="0"/>
          <w:sz w:val="32"/>
          <w:szCs w:val="32"/>
          <w:lang w:val="en-US" w:eastAsia="zh-CN" w:bidi="zh-CN"/>
        </w:rPr>
      </w:pPr>
    </w:p>
    <w:p>
      <w:pPr>
        <w:pStyle w:val="5"/>
        <w:keepNext w:val="0"/>
        <w:keepLines w:val="0"/>
        <w:pageBreakBefore w:val="0"/>
        <w:widowControl w:val="0"/>
        <w:kinsoku/>
        <w:wordWrap/>
        <w:overflowPunct/>
        <w:topLinePunct w:val="0"/>
        <w:autoSpaceDE w:val="0"/>
        <w:autoSpaceDN w:val="0"/>
        <w:bidi w:val="0"/>
        <w:adjustRightInd/>
        <w:snapToGrid/>
        <w:spacing w:before="0" w:line="560" w:lineRule="exact"/>
        <w:ind w:right="0" w:firstLine="640" w:firstLineChars="200"/>
        <w:textAlignment w:val="auto"/>
        <w:rPr>
          <w:rFonts w:hint="eastAsia"/>
          <w:color w:val="323232"/>
          <w:lang w:val="en-US" w:eastAsia="zh-CN"/>
        </w:rPr>
      </w:pPr>
      <w:r>
        <w:rPr>
          <w:rFonts w:hint="eastAsia"/>
          <w:color w:val="323232"/>
          <w:lang w:val="en-US" w:eastAsia="zh-CN"/>
        </w:rPr>
        <w:t>附件：峨边彝族自治县建制乡镇场镇建设管理服务提升</w:t>
      </w:r>
    </w:p>
    <w:p>
      <w:pPr>
        <w:pStyle w:val="5"/>
        <w:keepNext w:val="0"/>
        <w:keepLines w:val="0"/>
        <w:pageBreakBefore w:val="0"/>
        <w:widowControl w:val="0"/>
        <w:kinsoku/>
        <w:wordWrap/>
        <w:overflowPunct/>
        <w:topLinePunct w:val="0"/>
        <w:autoSpaceDE w:val="0"/>
        <w:autoSpaceDN w:val="0"/>
        <w:bidi w:val="0"/>
        <w:adjustRightInd/>
        <w:snapToGrid/>
        <w:spacing w:before="0" w:line="560" w:lineRule="exact"/>
        <w:ind w:right="0" w:firstLine="1600" w:firstLineChars="500"/>
        <w:textAlignment w:val="auto"/>
        <w:rPr>
          <w:rFonts w:hint="eastAsia"/>
          <w:color w:val="323232"/>
          <w:lang w:val="en-US" w:eastAsia="zh-CN"/>
        </w:rPr>
      </w:pPr>
      <w:r>
        <w:rPr>
          <w:rFonts w:hint="eastAsia"/>
          <w:color w:val="323232"/>
          <w:lang w:val="en-US" w:eastAsia="zh-CN"/>
        </w:rPr>
        <w:t>行动实施项目清单</w:t>
      </w:r>
    </w:p>
    <w:p>
      <w:pPr>
        <w:pStyle w:val="5"/>
        <w:keepNext w:val="0"/>
        <w:keepLines w:val="0"/>
        <w:pageBreakBefore w:val="0"/>
        <w:widowControl w:val="0"/>
        <w:kinsoku/>
        <w:wordWrap/>
        <w:overflowPunct/>
        <w:topLinePunct w:val="0"/>
        <w:autoSpaceDE w:val="0"/>
        <w:autoSpaceDN w:val="0"/>
        <w:bidi w:val="0"/>
        <w:adjustRightInd/>
        <w:snapToGrid/>
        <w:spacing w:before="0" w:line="560" w:lineRule="exact"/>
        <w:ind w:right="0" w:firstLine="1600" w:firstLineChars="500"/>
        <w:textAlignment w:val="auto"/>
        <w:rPr>
          <w:rFonts w:hint="eastAsia"/>
          <w:color w:val="323232"/>
          <w:lang w:val="en-US" w:eastAsia="zh-CN"/>
        </w:rPr>
      </w:pPr>
    </w:p>
    <w:p>
      <w:pPr>
        <w:pStyle w:val="5"/>
        <w:keepNext w:val="0"/>
        <w:keepLines w:val="0"/>
        <w:pageBreakBefore w:val="0"/>
        <w:widowControl w:val="0"/>
        <w:kinsoku/>
        <w:wordWrap/>
        <w:overflowPunct/>
        <w:topLinePunct w:val="0"/>
        <w:autoSpaceDE w:val="0"/>
        <w:autoSpaceDN w:val="0"/>
        <w:bidi w:val="0"/>
        <w:adjustRightInd/>
        <w:snapToGrid/>
        <w:spacing w:before="0" w:line="560" w:lineRule="exact"/>
        <w:ind w:right="0" w:firstLine="1600" w:firstLineChars="500"/>
        <w:textAlignment w:val="auto"/>
        <w:rPr>
          <w:rFonts w:hint="eastAsia"/>
          <w:color w:val="323232"/>
          <w:lang w:val="en-US" w:eastAsia="zh-CN"/>
        </w:rPr>
      </w:pPr>
    </w:p>
    <w:p>
      <w:pPr>
        <w:pStyle w:val="5"/>
        <w:keepNext w:val="0"/>
        <w:keepLines w:val="0"/>
        <w:pageBreakBefore w:val="0"/>
        <w:widowControl w:val="0"/>
        <w:kinsoku/>
        <w:wordWrap/>
        <w:overflowPunct/>
        <w:topLinePunct w:val="0"/>
        <w:autoSpaceDE w:val="0"/>
        <w:autoSpaceDN w:val="0"/>
        <w:bidi w:val="0"/>
        <w:adjustRightInd/>
        <w:snapToGrid/>
        <w:spacing w:before="0" w:line="560" w:lineRule="exact"/>
        <w:ind w:right="0" w:firstLine="1600" w:firstLineChars="500"/>
        <w:textAlignment w:val="auto"/>
        <w:rPr>
          <w:rFonts w:hint="eastAsia"/>
          <w:color w:val="323232"/>
          <w:lang w:val="en-US" w:eastAsia="zh-CN"/>
        </w:rPr>
      </w:pPr>
    </w:p>
    <w:p>
      <w:pPr>
        <w:pStyle w:val="5"/>
        <w:keepNext w:val="0"/>
        <w:keepLines w:val="0"/>
        <w:pageBreakBefore w:val="0"/>
        <w:widowControl w:val="0"/>
        <w:kinsoku/>
        <w:wordWrap/>
        <w:overflowPunct/>
        <w:topLinePunct w:val="0"/>
        <w:autoSpaceDE w:val="0"/>
        <w:autoSpaceDN w:val="0"/>
        <w:bidi w:val="0"/>
        <w:adjustRightInd/>
        <w:snapToGrid/>
        <w:spacing w:before="0" w:line="560" w:lineRule="exact"/>
        <w:ind w:right="0" w:firstLine="4160" w:firstLineChars="1300"/>
        <w:textAlignment w:val="auto"/>
        <w:rPr>
          <w:rFonts w:hint="eastAsia"/>
          <w:snapToGrid w:val="0"/>
          <w:color w:val="323232"/>
          <w:sz w:val="32"/>
          <w:lang w:val="en-US" w:eastAsia="zh-CN"/>
        </w:rPr>
      </w:pPr>
      <w:r>
        <w:rPr>
          <w:rFonts w:hint="eastAsia"/>
          <w:snapToGrid w:val="0"/>
          <w:color w:val="323232"/>
          <w:sz w:val="32"/>
          <w:lang w:val="en-US" w:eastAsia="zh-CN"/>
        </w:rPr>
        <w:t>峨边彝族自治县扶贫开发局</w:t>
      </w:r>
    </w:p>
    <w:p>
      <w:pPr>
        <w:pStyle w:val="5"/>
        <w:keepNext w:val="0"/>
        <w:keepLines w:val="0"/>
        <w:pageBreakBefore w:val="0"/>
        <w:widowControl w:val="0"/>
        <w:kinsoku/>
        <w:wordWrap/>
        <w:overflowPunct/>
        <w:topLinePunct w:val="0"/>
        <w:autoSpaceDE w:val="0"/>
        <w:autoSpaceDN w:val="0"/>
        <w:bidi w:val="0"/>
        <w:adjustRightInd/>
        <w:snapToGrid/>
        <w:spacing w:before="0" w:line="560" w:lineRule="exact"/>
        <w:ind w:right="0" w:firstLine="5120" w:firstLineChars="1600"/>
        <w:textAlignment w:val="auto"/>
        <w:rPr>
          <w:rFonts w:hint="default"/>
          <w:snapToGrid w:val="0"/>
          <w:color w:val="323232"/>
          <w:sz w:val="32"/>
          <w:lang w:val="en-US" w:eastAsia="zh-CN"/>
        </w:rPr>
      </w:pPr>
      <w:r>
        <w:rPr>
          <w:rFonts w:hint="eastAsia"/>
          <w:snapToGrid w:val="0"/>
          <w:color w:val="323232"/>
          <w:sz w:val="32"/>
          <w:lang w:val="en-US" w:eastAsia="zh-CN"/>
        </w:rPr>
        <w:t>2021年6月8日</w:t>
      </w:r>
    </w:p>
    <w:sectPr>
      <w:footerReference r:id="rId5" w:type="default"/>
      <w:footerReference r:id="rId6" w:type="even"/>
      <w:pgSz w:w="11910" w:h="16840"/>
      <w:pgMar w:top="2098" w:right="1474" w:bottom="1984" w:left="1587" w:header="0" w:footer="1257"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宋体" w:hAnsi="宋体" w:eastAsia="宋体" w:cs="宋体"/>
                              <w:sz w:val="28"/>
                              <w:szCs w:val="40"/>
                            </w:rPr>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PAGE  \* MERGEFORMAT </w:instrText>
                          </w:r>
                          <w:r>
                            <w:rPr>
                              <w:rFonts w:hint="eastAsia" w:ascii="宋体" w:hAnsi="宋体" w:eastAsia="宋体" w:cs="宋体"/>
                              <w:sz w:val="28"/>
                              <w:szCs w:val="40"/>
                            </w:rPr>
                            <w:fldChar w:fldCharType="separate"/>
                          </w:r>
                          <w:r>
                            <w:rPr>
                              <w:rFonts w:hint="eastAsia" w:ascii="宋体" w:hAnsi="宋体" w:eastAsia="宋体" w:cs="宋体"/>
                              <w:sz w:val="28"/>
                              <w:szCs w:val="40"/>
                            </w:rPr>
                            <w:t>- 1 -</w:t>
                          </w:r>
                          <w:r>
                            <w:rPr>
                              <w:rFonts w:hint="eastAsia" w:ascii="宋体" w:hAnsi="宋体" w:eastAsia="宋体" w:cs="宋体"/>
                              <w:sz w:val="28"/>
                              <w:szCs w:val="4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ascii="宋体" w:hAnsi="宋体" w:eastAsia="宋体" w:cs="宋体"/>
                        <w:sz w:val="28"/>
                        <w:szCs w:val="40"/>
                      </w:rPr>
                    </w:pP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PAGE  \* MERGEFORMAT </w:instrText>
                    </w:r>
                    <w:r>
                      <w:rPr>
                        <w:rFonts w:hint="eastAsia" w:ascii="宋体" w:hAnsi="宋体" w:eastAsia="宋体" w:cs="宋体"/>
                        <w:sz w:val="28"/>
                        <w:szCs w:val="40"/>
                      </w:rPr>
                      <w:fldChar w:fldCharType="separate"/>
                    </w:r>
                    <w:r>
                      <w:rPr>
                        <w:rFonts w:hint="eastAsia" w:ascii="宋体" w:hAnsi="宋体" w:eastAsia="宋体" w:cs="宋体"/>
                        <w:sz w:val="28"/>
                        <w:szCs w:val="40"/>
                      </w:rPr>
                      <w:t>- 1 -</w:t>
                    </w:r>
                    <w:r>
                      <w:rPr>
                        <w:rFonts w:hint="eastAsia" w:ascii="宋体" w:hAnsi="宋体" w:eastAsia="宋体" w:cs="宋体"/>
                        <w:sz w:val="28"/>
                        <w:szCs w:val="4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720"/>
  <w:evenAndOddHeaders w:val="1"/>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B42E0A"/>
    <w:rsid w:val="06D32087"/>
    <w:rsid w:val="075721A1"/>
    <w:rsid w:val="0B8C7278"/>
    <w:rsid w:val="0C3A1B1D"/>
    <w:rsid w:val="116F1DD9"/>
    <w:rsid w:val="11F540C7"/>
    <w:rsid w:val="12A2595C"/>
    <w:rsid w:val="14A2056E"/>
    <w:rsid w:val="16326CBC"/>
    <w:rsid w:val="164E1729"/>
    <w:rsid w:val="16E242DC"/>
    <w:rsid w:val="1B727310"/>
    <w:rsid w:val="1BA10EC2"/>
    <w:rsid w:val="1BE52835"/>
    <w:rsid w:val="1EA12D06"/>
    <w:rsid w:val="1F2B7C1C"/>
    <w:rsid w:val="1F4A1CAE"/>
    <w:rsid w:val="20E113FC"/>
    <w:rsid w:val="21574212"/>
    <w:rsid w:val="22013228"/>
    <w:rsid w:val="270C08BC"/>
    <w:rsid w:val="28EB6001"/>
    <w:rsid w:val="2AC378E6"/>
    <w:rsid w:val="2ADA69FA"/>
    <w:rsid w:val="2BF55228"/>
    <w:rsid w:val="2CDC3B05"/>
    <w:rsid w:val="31C13A23"/>
    <w:rsid w:val="31F53838"/>
    <w:rsid w:val="381B2411"/>
    <w:rsid w:val="3A1969E3"/>
    <w:rsid w:val="3AFA6FED"/>
    <w:rsid w:val="3B2C7C0A"/>
    <w:rsid w:val="3BD230BC"/>
    <w:rsid w:val="3D924694"/>
    <w:rsid w:val="3F660F49"/>
    <w:rsid w:val="3FE5436D"/>
    <w:rsid w:val="40652493"/>
    <w:rsid w:val="407132DE"/>
    <w:rsid w:val="41FB6B16"/>
    <w:rsid w:val="4243512B"/>
    <w:rsid w:val="435950BE"/>
    <w:rsid w:val="435C5A12"/>
    <w:rsid w:val="459B4154"/>
    <w:rsid w:val="46E4736B"/>
    <w:rsid w:val="47DE2E6B"/>
    <w:rsid w:val="4915011C"/>
    <w:rsid w:val="4A922643"/>
    <w:rsid w:val="4B261D71"/>
    <w:rsid w:val="4B91509C"/>
    <w:rsid w:val="4CC11214"/>
    <w:rsid w:val="4EA57BC7"/>
    <w:rsid w:val="4EB208CF"/>
    <w:rsid w:val="50254D45"/>
    <w:rsid w:val="5064668C"/>
    <w:rsid w:val="517852CB"/>
    <w:rsid w:val="51E639F3"/>
    <w:rsid w:val="531715DF"/>
    <w:rsid w:val="57603E6C"/>
    <w:rsid w:val="57607754"/>
    <w:rsid w:val="59656E35"/>
    <w:rsid w:val="5B424BAE"/>
    <w:rsid w:val="5D724984"/>
    <w:rsid w:val="5F013A37"/>
    <w:rsid w:val="5FFF1B16"/>
    <w:rsid w:val="61C50C1D"/>
    <w:rsid w:val="62C16070"/>
    <w:rsid w:val="67805A03"/>
    <w:rsid w:val="68C47A6C"/>
    <w:rsid w:val="6AFA280C"/>
    <w:rsid w:val="6BB206EE"/>
    <w:rsid w:val="6BB67341"/>
    <w:rsid w:val="6BFF79C9"/>
    <w:rsid w:val="6FCC17E5"/>
    <w:rsid w:val="71A84D71"/>
    <w:rsid w:val="753D1E55"/>
    <w:rsid w:val="785E71B1"/>
    <w:rsid w:val="787F1760"/>
    <w:rsid w:val="79842123"/>
    <w:rsid w:val="79E7622E"/>
    <w:rsid w:val="7B233EF2"/>
    <w:rsid w:val="7DB6352F"/>
    <w:rsid w:val="7E935EAA"/>
    <w:rsid w:val="7F1B41AF"/>
    <w:rsid w:val="7FEC47B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仿宋_GB2312" w:hAnsi="仿宋_GB2312" w:eastAsia="仿宋_GB2312" w:cs="仿宋_GB2312"/>
      <w:sz w:val="22"/>
      <w:szCs w:val="22"/>
      <w:lang w:val="zh-CN" w:eastAsia="zh-CN" w:bidi="zh-CN"/>
    </w:rPr>
  </w:style>
  <w:style w:type="paragraph" w:styleId="3">
    <w:name w:val="heading 1"/>
    <w:basedOn w:val="1"/>
    <w:next w:val="1"/>
    <w:qFormat/>
    <w:uiPriority w:val="1"/>
    <w:pPr>
      <w:spacing w:before="31"/>
      <w:ind w:left="193" w:right="350"/>
      <w:jc w:val="center"/>
      <w:outlineLvl w:val="1"/>
    </w:pPr>
    <w:rPr>
      <w:rFonts w:ascii="方正小标宋简体" w:hAnsi="方正小标宋简体" w:eastAsia="方正小标宋简体" w:cs="方正小标宋简体"/>
      <w:sz w:val="44"/>
      <w:szCs w:val="44"/>
      <w:lang w:val="zh-CN" w:eastAsia="zh-CN" w:bidi="zh-CN"/>
    </w:rPr>
  </w:style>
  <w:style w:type="character" w:default="1" w:styleId="10">
    <w:name w:val="Default Paragraph Font"/>
    <w:semiHidden/>
    <w:unhideWhenUsed/>
    <w:qFormat/>
    <w:uiPriority w:val="1"/>
  </w:style>
  <w:style w:type="table" w:default="1" w:styleId="9">
    <w:name w:val="Normal Table"/>
    <w:semiHidden/>
    <w:qFormat/>
    <w:uiPriority w:val="0"/>
    <w:tblPr>
      <w:tblCellMar>
        <w:top w:w="0" w:type="dxa"/>
        <w:left w:w="108" w:type="dxa"/>
        <w:bottom w:w="0" w:type="dxa"/>
        <w:right w:w="108" w:type="dxa"/>
      </w:tblCellMar>
    </w:tblPr>
  </w:style>
  <w:style w:type="paragraph" w:styleId="2">
    <w:name w:val="Title"/>
    <w:basedOn w:val="1"/>
    <w:qFormat/>
    <w:uiPriority w:val="0"/>
    <w:pPr>
      <w:spacing w:before="240" w:after="60"/>
      <w:jc w:val="center"/>
      <w:outlineLvl w:val="0"/>
    </w:pPr>
    <w:rPr>
      <w:rFonts w:ascii="Arial" w:hAnsi="Arial" w:cs="Arial"/>
      <w:b/>
      <w:bCs/>
      <w:sz w:val="32"/>
      <w:szCs w:val="32"/>
    </w:rPr>
  </w:style>
  <w:style w:type="paragraph" w:styleId="4">
    <w:name w:val="annotation text"/>
    <w:basedOn w:val="1"/>
    <w:qFormat/>
    <w:uiPriority w:val="0"/>
    <w:pPr>
      <w:jc w:val="left"/>
    </w:pPr>
  </w:style>
  <w:style w:type="paragraph" w:styleId="5">
    <w:name w:val="Body Text"/>
    <w:basedOn w:val="1"/>
    <w:qFormat/>
    <w:uiPriority w:val="1"/>
    <w:pPr>
      <w:ind w:left="108"/>
    </w:pPr>
    <w:rPr>
      <w:rFonts w:ascii="仿宋_GB2312" w:hAnsi="仿宋_GB2312" w:eastAsia="仿宋_GB2312" w:cs="仿宋_GB2312"/>
      <w:sz w:val="32"/>
      <w:szCs w:val="32"/>
      <w:lang w:val="zh-CN" w:eastAsia="zh-CN" w:bidi="zh-C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spacing w:before="190"/>
      <w:ind w:left="108" w:right="104" w:firstLine="639"/>
    </w:pPr>
    <w:rPr>
      <w:rFonts w:ascii="仿宋_GB2312" w:hAnsi="仿宋_GB2312" w:eastAsia="仿宋_GB2312" w:cs="仿宋_GB2312"/>
      <w:lang w:val="zh-CN" w:eastAsia="zh-CN" w:bidi="zh-CN"/>
    </w:rPr>
  </w:style>
  <w:style w:type="paragraph" w:customStyle="1" w:styleId="13">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ScaleCrop>false</ScaleCrop>
  <LinksUpToDate>false</LinksUpToDate>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2021-05-17T05:05:00Z</dcterms:created>
  <dc:creator>Administrator</dc:creator>
  <cp:lastModifiedBy>Administrator</cp:lastModifiedBy>
  <cp:lastPrinted>2021-06-08T04:10:00Z</cp:lastPrinted>
  <dcterms:modified xsi:type="dcterms:W3CDTF">2021-06-09T06:44:39Z</dcterms:modified>
  <dc:title>&lt;4D6963726F736F667420576F7264202D20CEDEBAC5CEC42D3436BAC5B9D8D3DAD5F7C7F3A1B6C0D6C9BDCAD0BDA8D6C6CFE7D5F2B3A1D5F2BDA8C9E8B9DCC0EDB7FECEF1CCE1C9FDC8FDC4EAD0D0B6AFCAB5CAA9B7BDB0B8A3A8D5F7C7F3D2E2BCFBB8E5A3A9A1B7D0DEB8C4D2E2BCFBB5C4CDA8D6AA2E6</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2021-04-29T00:00:00Z</vt:filetime>
  </property>
  <property fmtid="{D5CDD505-2E9C-101B-9397-08002B2CF9AE}" pid="3" name="Creator">
    <vt:lpwstr>PScript5.dll Version 5.2.2</vt:lpwstr>
  </property>
  <property fmtid="{D5CDD505-2E9C-101B-9397-08002B2CF9AE}" pid="4" name="LastSaved">
    <vt:filetime>2021-05-17T00:00:00Z</vt:filetime>
  </property>
  <property fmtid="{D5CDD505-2E9C-101B-9397-08002B2CF9AE}" pid="5" name="KSOProductBuildVer">
    <vt:lpwstr>2052-11.1.0.10495</vt:lpwstr>
  </property>
  <property fmtid="{D5CDD505-2E9C-101B-9397-08002B2CF9AE}" pid="6" name="ICV">
    <vt:lpwstr>C6554725137A4E99AFD5BD001FA3ADEB</vt:lpwstr>
  </property>
</Properties>
</file>