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A559E1">
      <w:pPr>
        <w:jc w:val="center"/>
        <w:rPr>
          <w:bCs/>
          <w:w w:val="90"/>
          <w:sz w:val="72"/>
          <w:szCs w:val="72"/>
        </w:rPr>
      </w:pPr>
    </w:p>
    <w:p w14:paraId="1A75D665">
      <w:pPr>
        <w:jc w:val="center"/>
        <w:rPr>
          <w:bCs/>
          <w:w w:val="90"/>
          <w:sz w:val="72"/>
          <w:szCs w:val="72"/>
        </w:rPr>
      </w:pPr>
    </w:p>
    <w:p w14:paraId="35AEA95F">
      <w:pPr>
        <w:jc w:val="center"/>
        <w:rPr>
          <w:bCs/>
          <w:w w:val="90"/>
          <w:sz w:val="72"/>
          <w:szCs w:val="72"/>
        </w:rPr>
      </w:pPr>
    </w:p>
    <w:p w14:paraId="08A482B3">
      <w:pPr>
        <w:spacing w:after="120" w:line="800" w:lineRule="exact"/>
        <w:jc w:val="center"/>
        <w:rPr>
          <w:b/>
          <w:sz w:val="72"/>
          <w:szCs w:val="72"/>
        </w:rPr>
      </w:pPr>
      <w:r>
        <w:rPr>
          <w:rFonts w:hint="eastAsia"/>
          <w:b/>
          <w:sz w:val="72"/>
          <w:szCs w:val="72"/>
        </w:rPr>
        <w:t>建设项目环境影响报告表</w:t>
      </w:r>
    </w:p>
    <w:p w14:paraId="2A36B0B2">
      <w:pPr>
        <w:rPr>
          <w:sz w:val="32"/>
        </w:rPr>
      </w:pPr>
    </w:p>
    <w:p w14:paraId="0F2561D4">
      <w:pPr>
        <w:jc w:val="center"/>
        <w:rPr>
          <w:color w:val="FF0000"/>
          <w:sz w:val="44"/>
          <w:szCs w:val="44"/>
        </w:rPr>
      </w:pPr>
      <w:r>
        <w:rPr>
          <w:rFonts w:hint="eastAsia"/>
          <w:b/>
          <w:color w:val="FF0000"/>
          <w:sz w:val="44"/>
          <w:szCs w:val="44"/>
        </w:rPr>
        <w:t>（报 批 件）</w:t>
      </w:r>
    </w:p>
    <w:p w14:paraId="2826A83B">
      <w:pPr>
        <w:jc w:val="center"/>
        <w:rPr>
          <w:bCs/>
          <w:w w:val="90"/>
          <w:sz w:val="72"/>
          <w:szCs w:val="72"/>
        </w:rPr>
      </w:pPr>
    </w:p>
    <w:p w14:paraId="247F4441">
      <w:pPr>
        <w:rPr>
          <w:sz w:val="32"/>
        </w:rPr>
      </w:pPr>
    </w:p>
    <w:p w14:paraId="6CAE00AC">
      <w:pPr>
        <w:rPr>
          <w:sz w:val="32"/>
        </w:rPr>
      </w:pPr>
    </w:p>
    <w:p w14:paraId="7FB2F422">
      <w:pPr>
        <w:rPr>
          <w:sz w:val="32"/>
        </w:rPr>
      </w:pPr>
    </w:p>
    <w:p w14:paraId="416A4037">
      <w:pPr>
        <w:spacing w:line="800" w:lineRule="exact"/>
        <w:ind w:left="1798" w:leftChars="49" w:hanging="1696" w:hangingChars="530"/>
        <w:rPr>
          <w:b/>
          <w:bCs/>
          <w:sz w:val="32"/>
          <w:szCs w:val="32"/>
          <w:u w:val="thick"/>
        </w:rPr>
      </w:pPr>
      <w:r>
        <w:rPr>
          <w:rFonts w:hint="eastAsia"/>
          <w:b/>
          <w:sz w:val="32"/>
          <w:szCs w:val="32"/>
        </w:rPr>
        <w:t>项目名称：</w:t>
      </w:r>
      <w:r>
        <w:rPr>
          <w:b/>
          <w:sz w:val="32"/>
          <w:szCs w:val="32"/>
          <w:u w:val="thick"/>
        </w:rPr>
        <w:t xml:space="preserve">           </w:t>
      </w:r>
      <w:r>
        <w:rPr>
          <w:rFonts w:hint="eastAsia"/>
          <w:b/>
          <w:sz w:val="32"/>
          <w:szCs w:val="32"/>
          <w:u w:val="thick"/>
        </w:rPr>
        <w:t xml:space="preserve">峨边永亮木材加工厂新建 </w:t>
      </w:r>
      <w:r>
        <w:rPr>
          <w:b/>
          <w:sz w:val="32"/>
          <w:szCs w:val="32"/>
          <w:u w:val="thick"/>
        </w:rPr>
        <w:t xml:space="preserve"> </w:t>
      </w:r>
      <w:r>
        <w:rPr>
          <w:rFonts w:hint="eastAsia"/>
          <w:b/>
          <w:sz w:val="32"/>
          <w:szCs w:val="32"/>
          <w:u w:val="thick"/>
        </w:rPr>
        <w:t xml:space="preserve"> </w:t>
      </w:r>
      <w:r>
        <w:rPr>
          <w:b/>
          <w:sz w:val="32"/>
          <w:szCs w:val="32"/>
          <w:u w:val="thick"/>
        </w:rPr>
        <w:t xml:space="preserve">   </w:t>
      </w:r>
      <w:r>
        <w:rPr>
          <w:b/>
          <w:bCs/>
          <w:sz w:val="32"/>
          <w:szCs w:val="32"/>
          <w:u w:val="thick"/>
        </w:rPr>
        <w:t xml:space="preserve">        </w:t>
      </w:r>
    </w:p>
    <w:p w14:paraId="242E4637">
      <w:pPr>
        <w:spacing w:line="800" w:lineRule="exact"/>
        <w:ind w:left="1798" w:leftChars="49" w:hanging="1696" w:hangingChars="530"/>
        <w:rPr>
          <w:b/>
          <w:sz w:val="32"/>
          <w:szCs w:val="32"/>
          <w:u w:val="thick"/>
        </w:rPr>
      </w:pPr>
    </w:p>
    <w:p w14:paraId="1E48635B">
      <w:pPr>
        <w:spacing w:line="800" w:lineRule="exact"/>
        <w:ind w:firstLine="156" w:firstLineChars="49"/>
        <w:rPr>
          <w:sz w:val="28"/>
          <w:u w:val="single"/>
        </w:rPr>
      </w:pPr>
      <w:r>
        <w:rPr>
          <w:rFonts w:hint="eastAsia"/>
          <w:b/>
          <w:sz w:val="32"/>
          <w:szCs w:val="32"/>
        </w:rPr>
        <w:t>建设单位</w:t>
      </w:r>
      <w:r>
        <w:rPr>
          <w:rFonts w:hint="eastAsia"/>
          <w:b/>
          <w:sz w:val="32"/>
          <w:szCs w:val="32"/>
          <w:lang w:eastAsia="zh-CN"/>
        </w:rPr>
        <w:t>（</w:t>
      </w:r>
      <w:r>
        <w:rPr>
          <w:rFonts w:hint="eastAsia"/>
          <w:b/>
          <w:sz w:val="32"/>
          <w:szCs w:val="32"/>
        </w:rPr>
        <w:t>盖章</w:t>
      </w:r>
      <w:r>
        <w:rPr>
          <w:rFonts w:hint="eastAsia"/>
          <w:b/>
          <w:sz w:val="32"/>
          <w:szCs w:val="32"/>
          <w:lang w:eastAsia="zh-CN"/>
        </w:rPr>
        <w:t>）</w:t>
      </w:r>
      <w:r>
        <w:rPr>
          <w:rFonts w:hint="eastAsia"/>
          <w:b/>
          <w:sz w:val="32"/>
          <w:szCs w:val="32"/>
        </w:rPr>
        <w:t>：</w:t>
      </w:r>
      <w:r>
        <w:rPr>
          <w:b/>
          <w:sz w:val="32"/>
          <w:szCs w:val="32"/>
          <w:u w:val="thick"/>
        </w:rPr>
        <w:t xml:space="preserve">       </w:t>
      </w:r>
      <w:r>
        <w:rPr>
          <w:rFonts w:hint="eastAsia"/>
          <w:b/>
          <w:sz w:val="32"/>
          <w:szCs w:val="32"/>
          <w:u w:val="thick"/>
        </w:rPr>
        <w:t>峨边永亮木材加工厂</w:t>
      </w:r>
      <w:r>
        <w:rPr>
          <w:b/>
          <w:sz w:val="32"/>
          <w:szCs w:val="32"/>
          <w:u w:val="thick"/>
        </w:rPr>
        <w:t xml:space="preserve"> </w:t>
      </w:r>
      <w:r>
        <w:rPr>
          <w:b/>
          <w:sz w:val="32"/>
          <w:u w:val="thick"/>
        </w:rPr>
        <w:t xml:space="preserve">          </w:t>
      </w:r>
      <w:r>
        <w:rPr>
          <w:b/>
          <w:bCs/>
          <w:sz w:val="32"/>
          <w:u w:val="thick"/>
        </w:rPr>
        <w:t xml:space="preserve">  </w:t>
      </w:r>
    </w:p>
    <w:p w14:paraId="5A185673">
      <w:pPr>
        <w:rPr>
          <w:sz w:val="32"/>
        </w:rPr>
      </w:pPr>
    </w:p>
    <w:p w14:paraId="72B9630C">
      <w:pPr>
        <w:rPr>
          <w:sz w:val="32"/>
        </w:rPr>
      </w:pPr>
    </w:p>
    <w:tbl>
      <w:tblPr>
        <w:tblStyle w:val="25"/>
        <w:tblW w:w="7054" w:type="dxa"/>
        <w:jc w:val="center"/>
        <w:tblLayout w:type="fixed"/>
        <w:tblCellMar>
          <w:top w:w="0" w:type="dxa"/>
          <w:left w:w="108" w:type="dxa"/>
          <w:bottom w:w="0" w:type="dxa"/>
          <w:right w:w="108" w:type="dxa"/>
        </w:tblCellMar>
      </w:tblPr>
      <w:tblGrid>
        <w:gridCol w:w="1977"/>
        <w:gridCol w:w="5077"/>
      </w:tblGrid>
      <w:tr w14:paraId="57C1D774">
        <w:tblPrEx>
          <w:tblCellMar>
            <w:top w:w="0" w:type="dxa"/>
            <w:left w:w="108" w:type="dxa"/>
            <w:bottom w:w="0" w:type="dxa"/>
            <w:right w:w="108" w:type="dxa"/>
          </w:tblCellMar>
        </w:tblPrEx>
        <w:trPr>
          <w:trHeight w:val="567" w:hRule="exact"/>
          <w:jc w:val="center"/>
        </w:trPr>
        <w:tc>
          <w:tcPr>
            <w:tcW w:w="1977" w:type="dxa"/>
            <w:vAlign w:val="center"/>
          </w:tcPr>
          <w:p w14:paraId="4D19CB6E">
            <w:pPr>
              <w:spacing w:line="240" w:lineRule="atLeast"/>
              <w:jc w:val="center"/>
              <w:rPr>
                <w:b/>
                <w:sz w:val="28"/>
                <w:szCs w:val="28"/>
              </w:rPr>
            </w:pPr>
          </w:p>
        </w:tc>
        <w:tc>
          <w:tcPr>
            <w:tcW w:w="5077" w:type="dxa"/>
            <w:vAlign w:val="center"/>
          </w:tcPr>
          <w:p w14:paraId="719E0F67">
            <w:pPr>
              <w:spacing w:line="240" w:lineRule="atLeast"/>
              <w:jc w:val="left"/>
              <w:rPr>
                <w:b/>
                <w:sz w:val="28"/>
                <w:szCs w:val="28"/>
              </w:rPr>
            </w:pPr>
          </w:p>
        </w:tc>
      </w:tr>
      <w:tr w14:paraId="34320647">
        <w:tblPrEx>
          <w:tblCellMar>
            <w:top w:w="0" w:type="dxa"/>
            <w:left w:w="108" w:type="dxa"/>
            <w:bottom w:w="0" w:type="dxa"/>
            <w:right w:w="108" w:type="dxa"/>
          </w:tblCellMar>
        </w:tblPrEx>
        <w:trPr>
          <w:trHeight w:val="567" w:hRule="exact"/>
          <w:jc w:val="center"/>
        </w:trPr>
        <w:tc>
          <w:tcPr>
            <w:tcW w:w="1977" w:type="dxa"/>
            <w:vAlign w:val="center"/>
          </w:tcPr>
          <w:p w14:paraId="427372DA">
            <w:pPr>
              <w:spacing w:line="240" w:lineRule="atLeast"/>
              <w:jc w:val="center"/>
              <w:rPr>
                <w:b/>
                <w:sz w:val="28"/>
                <w:szCs w:val="28"/>
              </w:rPr>
            </w:pPr>
            <w:r>
              <w:rPr>
                <w:rFonts w:hint="eastAsia"/>
                <w:b/>
                <w:sz w:val="28"/>
                <w:szCs w:val="28"/>
              </w:rPr>
              <w:t>编制单位：</w:t>
            </w:r>
          </w:p>
        </w:tc>
        <w:tc>
          <w:tcPr>
            <w:tcW w:w="5077" w:type="dxa"/>
            <w:vAlign w:val="center"/>
          </w:tcPr>
          <w:p w14:paraId="6209FCBF">
            <w:pPr>
              <w:spacing w:line="240" w:lineRule="atLeast"/>
              <w:jc w:val="left"/>
              <w:rPr>
                <w:b/>
                <w:sz w:val="28"/>
                <w:szCs w:val="28"/>
              </w:rPr>
            </w:pPr>
            <w:r>
              <w:rPr>
                <w:rFonts w:hint="eastAsia"/>
                <w:b/>
                <w:sz w:val="28"/>
                <w:szCs w:val="28"/>
              </w:rPr>
              <w:t>四川银励环保科技有限公司</w:t>
            </w:r>
          </w:p>
        </w:tc>
      </w:tr>
      <w:tr w14:paraId="4F1643E2">
        <w:tblPrEx>
          <w:tblCellMar>
            <w:top w:w="0" w:type="dxa"/>
            <w:left w:w="108" w:type="dxa"/>
            <w:bottom w:w="0" w:type="dxa"/>
            <w:right w:w="108" w:type="dxa"/>
          </w:tblCellMar>
        </w:tblPrEx>
        <w:trPr>
          <w:trHeight w:val="567" w:hRule="exact"/>
          <w:jc w:val="center"/>
        </w:trPr>
        <w:tc>
          <w:tcPr>
            <w:tcW w:w="7054" w:type="dxa"/>
            <w:gridSpan w:val="2"/>
            <w:vAlign w:val="center"/>
          </w:tcPr>
          <w:p w14:paraId="7E2791EE">
            <w:pPr>
              <w:spacing w:line="240" w:lineRule="atLeast"/>
              <w:jc w:val="center"/>
              <w:rPr>
                <w:b/>
                <w:sz w:val="28"/>
                <w:szCs w:val="28"/>
              </w:rPr>
            </w:pPr>
            <w:r>
              <w:rPr>
                <w:rFonts w:hint="eastAsia"/>
                <w:b/>
                <w:sz w:val="28"/>
                <w:szCs w:val="28"/>
              </w:rPr>
              <w:t>二〇二〇年</w:t>
            </w:r>
            <w:r>
              <w:rPr>
                <w:rFonts w:hint="eastAsia"/>
                <w:b/>
                <w:color w:val="FF0000"/>
                <w:sz w:val="28"/>
                <w:szCs w:val="28"/>
              </w:rPr>
              <w:t>十</w:t>
            </w:r>
            <w:r>
              <w:rPr>
                <w:rFonts w:hint="eastAsia"/>
                <w:b/>
                <w:sz w:val="28"/>
                <w:szCs w:val="28"/>
              </w:rPr>
              <w:t>月</w:t>
            </w:r>
          </w:p>
        </w:tc>
      </w:tr>
    </w:tbl>
    <w:p w14:paraId="243708A6">
      <w:pPr>
        <w:rPr>
          <w:b/>
          <w:bCs/>
          <w:sz w:val="32"/>
        </w:rPr>
      </w:pPr>
    </w:p>
    <w:p w14:paraId="6E539015">
      <w:pPr>
        <w:jc w:val="center"/>
      </w:pPr>
      <w:r>
        <w:rPr>
          <w:rFonts w:hint="eastAsia"/>
          <w:b/>
          <w:sz w:val="32"/>
        </w:rPr>
        <w:t>《建设项目环境影响报告表》编制说明</w:t>
      </w:r>
    </w:p>
    <w:p w14:paraId="16CB7649">
      <w:pPr>
        <w:pStyle w:val="14"/>
        <w:spacing w:line="240" w:lineRule="auto"/>
        <w:ind w:firstLine="560"/>
        <w:rPr>
          <w:rFonts w:ascii="Times New Roman" w:hAnsi="Times New Roman"/>
          <w:sz w:val="28"/>
        </w:rPr>
      </w:pPr>
      <w:r>
        <w:rPr>
          <w:rFonts w:hint="eastAsia" w:ascii="Times New Roman" w:hAnsi="Times New Roman"/>
          <w:sz w:val="28"/>
        </w:rPr>
        <w:t>《建设项目环境影响报告表》由具有从事环境影响评价工作资质的单位编制。</w:t>
      </w:r>
    </w:p>
    <w:p w14:paraId="16857D5A">
      <w:pPr>
        <w:ind w:firstLine="560" w:firstLineChars="200"/>
        <w:rPr>
          <w:sz w:val="28"/>
        </w:rPr>
      </w:pPr>
      <w:r>
        <w:rPr>
          <w:sz w:val="28"/>
        </w:rPr>
        <w:t>1.</w:t>
      </w:r>
      <w:r>
        <w:rPr>
          <w:rFonts w:hint="eastAsia"/>
          <w:sz w:val="28"/>
        </w:rPr>
        <w:t>项目名称</w:t>
      </w:r>
      <w:r>
        <w:rPr>
          <w:sz w:val="28"/>
        </w:rPr>
        <w:t>——</w:t>
      </w:r>
      <w:r>
        <w:rPr>
          <w:rFonts w:hint="eastAsia"/>
          <w:sz w:val="28"/>
        </w:rPr>
        <w:t>指项目立项批复时的名称，应不超过</w:t>
      </w:r>
      <w:r>
        <w:rPr>
          <w:sz w:val="28"/>
        </w:rPr>
        <w:t>30</w:t>
      </w:r>
      <w:r>
        <w:rPr>
          <w:rFonts w:hint="eastAsia"/>
          <w:sz w:val="28"/>
        </w:rPr>
        <w:t>个字（两个英文字段作一个汉字）。</w:t>
      </w:r>
    </w:p>
    <w:p w14:paraId="1A26AD54">
      <w:pPr>
        <w:ind w:firstLine="560" w:firstLineChars="200"/>
        <w:rPr>
          <w:sz w:val="28"/>
        </w:rPr>
      </w:pPr>
      <w:r>
        <w:rPr>
          <w:sz w:val="28"/>
        </w:rPr>
        <w:t>2.</w:t>
      </w:r>
      <w:r>
        <w:rPr>
          <w:rFonts w:hint="eastAsia"/>
          <w:sz w:val="28"/>
        </w:rPr>
        <w:t>建设地点</w:t>
      </w:r>
      <w:r>
        <w:rPr>
          <w:sz w:val="28"/>
        </w:rPr>
        <w:t>——</w:t>
      </w:r>
      <w:r>
        <w:rPr>
          <w:rFonts w:hint="eastAsia"/>
          <w:sz w:val="28"/>
        </w:rPr>
        <w:t>指项目所在地详细地址，公路、铁路应填写起止地点。</w:t>
      </w:r>
    </w:p>
    <w:p w14:paraId="58D43BDE">
      <w:pPr>
        <w:ind w:firstLine="560" w:firstLineChars="200"/>
        <w:rPr>
          <w:sz w:val="28"/>
        </w:rPr>
      </w:pPr>
      <w:r>
        <w:rPr>
          <w:sz w:val="28"/>
        </w:rPr>
        <w:t>3.</w:t>
      </w:r>
      <w:r>
        <w:rPr>
          <w:rFonts w:hint="eastAsia"/>
          <w:sz w:val="28"/>
        </w:rPr>
        <w:t>行业类别</w:t>
      </w:r>
      <w:r>
        <w:rPr>
          <w:sz w:val="28"/>
        </w:rPr>
        <w:t>——</w:t>
      </w:r>
      <w:r>
        <w:rPr>
          <w:rFonts w:hint="eastAsia"/>
          <w:sz w:val="28"/>
        </w:rPr>
        <w:t>按国标填写。</w:t>
      </w:r>
    </w:p>
    <w:p w14:paraId="61099102">
      <w:pPr>
        <w:ind w:firstLine="560" w:firstLineChars="200"/>
        <w:rPr>
          <w:sz w:val="28"/>
        </w:rPr>
      </w:pPr>
      <w:r>
        <w:rPr>
          <w:sz w:val="28"/>
        </w:rPr>
        <w:t>4.</w:t>
      </w:r>
      <w:r>
        <w:rPr>
          <w:rFonts w:hint="eastAsia"/>
          <w:sz w:val="28"/>
        </w:rPr>
        <w:t>总投资</w:t>
      </w:r>
      <w:r>
        <w:rPr>
          <w:sz w:val="28"/>
        </w:rPr>
        <w:t>——</w:t>
      </w:r>
      <w:r>
        <w:rPr>
          <w:rFonts w:hint="eastAsia"/>
          <w:sz w:val="28"/>
        </w:rPr>
        <w:t>指项目投资总额。</w:t>
      </w:r>
    </w:p>
    <w:p w14:paraId="470CE001">
      <w:pPr>
        <w:ind w:firstLine="560" w:firstLineChars="200"/>
        <w:rPr>
          <w:sz w:val="28"/>
        </w:rPr>
      </w:pPr>
      <w:r>
        <w:rPr>
          <w:sz w:val="28"/>
        </w:rPr>
        <w:t>5.</w:t>
      </w:r>
      <w:r>
        <w:rPr>
          <w:rFonts w:hint="eastAsia"/>
          <w:sz w:val="28"/>
        </w:rPr>
        <w:t>主要环境保护目标</w:t>
      </w:r>
      <w:r>
        <w:rPr>
          <w:sz w:val="28"/>
        </w:rPr>
        <w:t>——</w:t>
      </w:r>
      <w:r>
        <w:rPr>
          <w:rFonts w:hint="eastAsia"/>
          <w:sz w:val="28"/>
        </w:rPr>
        <w:t>指项目区周围一定范围内集中居民住宅区、学校、医院、保护文物、风景名胜区、水源地和生态敏感点等，应尽可能给出保护目标、性质、规模和距厂界距离等。</w:t>
      </w:r>
    </w:p>
    <w:p w14:paraId="53FA5DE1">
      <w:pPr>
        <w:ind w:firstLine="560" w:firstLineChars="200"/>
        <w:rPr>
          <w:sz w:val="28"/>
        </w:rPr>
      </w:pPr>
      <w:r>
        <w:rPr>
          <w:sz w:val="28"/>
        </w:rPr>
        <w:t>6.</w:t>
      </w:r>
      <w:r>
        <w:rPr>
          <w:rFonts w:hint="eastAsia"/>
          <w:sz w:val="28"/>
        </w:rPr>
        <w:t>结论与建议</w:t>
      </w:r>
      <w:r>
        <w:rPr>
          <w:sz w:val="28"/>
        </w:rPr>
        <w:t>——</w:t>
      </w:r>
      <w:r>
        <w:rPr>
          <w:rFonts w:hint="eastAsia"/>
          <w:sz w:val="28"/>
        </w:rPr>
        <w:t>给出本项目清洁生产、达标排放和总量控制的分析结论，确定污染防治措施的有效性，说明本项目对环境造成的影响，给出建设项目环境可行性的明确结论。同时提出减少环境影响的其它建议。</w:t>
      </w:r>
    </w:p>
    <w:p w14:paraId="46F06092">
      <w:pPr>
        <w:ind w:firstLine="560" w:firstLineChars="200"/>
        <w:rPr>
          <w:sz w:val="28"/>
        </w:rPr>
      </w:pPr>
      <w:r>
        <w:rPr>
          <w:sz w:val="28"/>
        </w:rPr>
        <w:t>7.</w:t>
      </w:r>
      <w:r>
        <w:rPr>
          <w:rFonts w:hint="eastAsia"/>
          <w:sz w:val="28"/>
        </w:rPr>
        <w:t>预审意见</w:t>
      </w:r>
      <w:r>
        <w:rPr>
          <w:sz w:val="28"/>
        </w:rPr>
        <w:t>——</w:t>
      </w:r>
      <w:r>
        <w:rPr>
          <w:rFonts w:hint="eastAsia"/>
          <w:sz w:val="28"/>
        </w:rPr>
        <w:t>由行业主管部门填写答复意见，无主管部门项目，可不填。</w:t>
      </w:r>
    </w:p>
    <w:p w14:paraId="0EB5A718">
      <w:pPr>
        <w:ind w:firstLine="560" w:firstLineChars="200"/>
        <w:rPr>
          <w:sz w:val="28"/>
        </w:rPr>
      </w:pPr>
      <w:r>
        <w:rPr>
          <w:sz w:val="28"/>
        </w:rPr>
        <w:t>8.</w:t>
      </w:r>
      <w:r>
        <w:rPr>
          <w:rFonts w:hint="eastAsia"/>
          <w:sz w:val="28"/>
        </w:rPr>
        <w:t>审批意见</w:t>
      </w:r>
      <w:r>
        <w:rPr>
          <w:sz w:val="28"/>
        </w:rPr>
        <w:t>——</w:t>
      </w:r>
      <w:r>
        <w:rPr>
          <w:rFonts w:hint="eastAsia"/>
          <w:sz w:val="28"/>
        </w:rPr>
        <w:t>由负责审批该项目的环境保护行政主管部门批复。</w:t>
      </w:r>
    </w:p>
    <w:p w14:paraId="7429C41F">
      <w:pPr>
        <w:widowControl/>
        <w:jc w:val="left"/>
        <w:rPr>
          <w:sz w:val="28"/>
        </w:rPr>
        <w:sectPr>
          <w:headerReference r:id="rId3" w:type="default"/>
          <w:footerReference r:id="rId4" w:type="default"/>
          <w:pgSz w:w="11906" w:h="16838"/>
          <w:pgMar w:top="1440" w:right="1797" w:bottom="1440" w:left="1797" w:header="851" w:footer="992" w:gutter="0"/>
          <w:pgNumType w:start="1"/>
          <w:cols w:space="720" w:num="1"/>
          <w:docGrid w:type="linesAndChars" w:linePitch="312" w:charSpace="0"/>
        </w:sectPr>
      </w:pPr>
    </w:p>
    <w:p w14:paraId="0AFFFE9B">
      <w:pPr>
        <w:outlineLvl w:val="0"/>
        <w:rPr>
          <w:b/>
        </w:rPr>
      </w:pPr>
      <w:r>
        <w:rPr>
          <w:rFonts w:hint="eastAsia"/>
          <w:b/>
          <w:sz w:val="32"/>
        </w:rPr>
        <w:t>建设项目基本情况</w:t>
      </w:r>
      <w:r>
        <w:rPr>
          <w:b/>
          <w:sz w:val="32"/>
        </w:rPr>
        <w:t xml:space="preserve">                             </w:t>
      </w:r>
      <w:r>
        <w:rPr>
          <w:rFonts w:hint="eastAsia"/>
          <w:b/>
          <w:sz w:val="32"/>
          <w:lang w:eastAsia="zh-CN"/>
        </w:rPr>
        <w:t>（</w:t>
      </w:r>
      <w:r>
        <w:rPr>
          <w:rFonts w:hint="eastAsia"/>
          <w:b/>
          <w:sz w:val="30"/>
          <w:szCs w:val="30"/>
        </w:rPr>
        <w:t>表一</w:t>
      </w:r>
      <w:r>
        <w:rPr>
          <w:rFonts w:hint="eastAsia"/>
          <w:b/>
          <w:sz w:val="30"/>
          <w:szCs w:val="30"/>
          <w:lang w:eastAsia="zh-CN"/>
        </w:rPr>
        <w:t>）</w:t>
      </w:r>
    </w:p>
    <w:tbl>
      <w:tblPr>
        <w:tblStyle w:val="25"/>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1536"/>
        <w:gridCol w:w="1159"/>
        <w:gridCol w:w="1352"/>
        <w:gridCol w:w="1272"/>
        <w:gridCol w:w="1978"/>
      </w:tblGrid>
      <w:tr w14:paraId="3046A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19D73CDA">
            <w:pPr>
              <w:spacing w:line="360" w:lineRule="auto"/>
              <w:jc w:val="center"/>
              <w:rPr>
                <w:sz w:val="24"/>
              </w:rPr>
            </w:pPr>
            <w:r>
              <w:rPr>
                <w:rFonts w:hint="eastAsia"/>
                <w:sz w:val="24"/>
              </w:rPr>
              <w:t>项目名称</w:t>
            </w:r>
          </w:p>
        </w:tc>
        <w:tc>
          <w:tcPr>
            <w:tcW w:w="7297" w:type="dxa"/>
            <w:gridSpan w:val="5"/>
            <w:vAlign w:val="center"/>
          </w:tcPr>
          <w:p w14:paraId="7146480A">
            <w:pPr>
              <w:spacing w:line="360" w:lineRule="auto"/>
              <w:jc w:val="center"/>
              <w:rPr>
                <w:bCs/>
                <w:sz w:val="24"/>
              </w:rPr>
            </w:pPr>
            <w:r>
              <w:rPr>
                <w:rFonts w:hint="eastAsia"/>
                <w:bCs/>
                <w:sz w:val="24"/>
              </w:rPr>
              <w:t>峨边永亮木材加工厂新建</w:t>
            </w:r>
          </w:p>
        </w:tc>
      </w:tr>
      <w:tr w14:paraId="241EF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21932F36">
            <w:pPr>
              <w:spacing w:line="360" w:lineRule="auto"/>
              <w:jc w:val="center"/>
              <w:rPr>
                <w:sz w:val="24"/>
              </w:rPr>
            </w:pPr>
            <w:r>
              <w:rPr>
                <w:rFonts w:hint="eastAsia"/>
                <w:sz w:val="24"/>
              </w:rPr>
              <w:t>建设单位</w:t>
            </w:r>
          </w:p>
        </w:tc>
        <w:tc>
          <w:tcPr>
            <w:tcW w:w="7297" w:type="dxa"/>
            <w:gridSpan w:val="5"/>
            <w:vAlign w:val="center"/>
          </w:tcPr>
          <w:p w14:paraId="26870030">
            <w:pPr>
              <w:spacing w:line="360" w:lineRule="auto"/>
              <w:jc w:val="center"/>
              <w:rPr>
                <w:bCs/>
                <w:sz w:val="24"/>
              </w:rPr>
            </w:pPr>
            <w:r>
              <w:rPr>
                <w:rFonts w:hint="eastAsia"/>
                <w:bCs/>
                <w:sz w:val="24"/>
              </w:rPr>
              <w:t>峨边永亮木材加工厂</w:t>
            </w:r>
          </w:p>
        </w:tc>
      </w:tr>
      <w:tr w14:paraId="47D17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52BED9F8">
            <w:pPr>
              <w:spacing w:line="360" w:lineRule="auto"/>
              <w:jc w:val="center"/>
              <w:rPr>
                <w:bCs/>
                <w:sz w:val="24"/>
              </w:rPr>
            </w:pPr>
            <w:r>
              <w:rPr>
                <w:rFonts w:hint="eastAsia"/>
                <w:bCs/>
                <w:sz w:val="24"/>
              </w:rPr>
              <w:t>负责人</w:t>
            </w:r>
          </w:p>
        </w:tc>
        <w:tc>
          <w:tcPr>
            <w:tcW w:w="2695" w:type="dxa"/>
            <w:gridSpan w:val="2"/>
            <w:vAlign w:val="center"/>
          </w:tcPr>
          <w:p w14:paraId="7EBCDE53">
            <w:pPr>
              <w:spacing w:line="360" w:lineRule="auto"/>
              <w:jc w:val="center"/>
              <w:rPr>
                <w:bCs/>
                <w:sz w:val="24"/>
              </w:rPr>
            </w:pPr>
            <w:r>
              <w:rPr>
                <w:rFonts w:hint="eastAsia"/>
                <w:bCs/>
                <w:sz w:val="24"/>
              </w:rPr>
              <w:t>毛永华</w:t>
            </w:r>
          </w:p>
        </w:tc>
        <w:tc>
          <w:tcPr>
            <w:tcW w:w="1352" w:type="dxa"/>
            <w:vAlign w:val="center"/>
          </w:tcPr>
          <w:p w14:paraId="2EAA1130">
            <w:pPr>
              <w:spacing w:line="360" w:lineRule="auto"/>
              <w:jc w:val="center"/>
              <w:rPr>
                <w:sz w:val="24"/>
              </w:rPr>
            </w:pPr>
            <w:r>
              <w:rPr>
                <w:rFonts w:hint="eastAsia"/>
                <w:sz w:val="24"/>
              </w:rPr>
              <w:t>联系人</w:t>
            </w:r>
          </w:p>
        </w:tc>
        <w:tc>
          <w:tcPr>
            <w:tcW w:w="3250" w:type="dxa"/>
            <w:gridSpan w:val="2"/>
            <w:vAlign w:val="center"/>
          </w:tcPr>
          <w:p w14:paraId="4D621BCE">
            <w:pPr>
              <w:jc w:val="center"/>
              <w:rPr>
                <w:sz w:val="24"/>
              </w:rPr>
            </w:pPr>
            <w:r>
              <w:rPr>
                <w:rFonts w:hint="eastAsia"/>
                <w:bCs/>
                <w:sz w:val="24"/>
              </w:rPr>
              <w:t>毛永华</w:t>
            </w:r>
          </w:p>
        </w:tc>
      </w:tr>
      <w:tr w14:paraId="4FC92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4AF2F92B">
            <w:pPr>
              <w:spacing w:line="360" w:lineRule="auto"/>
              <w:jc w:val="center"/>
              <w:rPr>
                <w:sz w:val="24"/>
              </w:rPr>
            </w:pPr>
            <w:r>
              <w:rPr>
                <w:rFonts w:hint="eastAsia"/>
                <w:sz w:val="24"/>
              </w:rPr>
              <w:t>通讯地址</w:t>
            </w:r>
          </w:p>
        </w:tc>
        <w:tc>
          <w:tcPr>
            <w:tcW w:w="7297" w:type="dxa"/>
            <w:gridSpan w:val="5"/>
            <w:vAlign w:val="center"/>
          </w:tcPr>
          <w:p w14:paraId="664DBFEF">
            <w:pPr>
              <w:spacing w:line="360" w:lineRule="auto"/>
              <w:jc w:val="center"/>
              <w:rPr>
                <w:bCs/>
                <w:sz w:val="24"/>
              </w:rPr>
            </w:pPr>
            <w:r>
              <w:rPr>
                <w:rFonts w:hint="eastAsia"/>
                <w:bCs/>
                <w:sz w:val="24"/>
              </w:rPr>
              <w:t>峨边彝族自治县平等乡观慈村三组</w:t>
            </w:r>
          </w:p>
        </w:tc>
      </w:tr>
      <w:tr w14:paraId="6E73C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7214E249">
            <w:pPr>
              <w:spacing w:line="360" w:lineRule="auto"/>
              <w:jc w:val="center"/>
              <w:rPr>
                <w:sz w:val="24"/>
              </w:rPr>
            </w:pPr>
            <w:r>
              <w:rPr>
                <w:rFonts w:hint="eastAsia"/>
                <w:sz w:val="24"/>
              </w:rPr>
              <w:t>联系电话</w:t>
            </w:r>
          </w:p>
        </w:tc>
        <w:tc>
          <w:tcPr>
            <w:tcW w:w="1536" w:type="dxa"/>
            <w:vAlign w:val="center"/>
          </w:tcPr>
          <w:p w14:paraId="2639FC7D">
            <w:pPr>
              <w:spacing w:line="360" w:lineRule="auto"/>
              <w:rPr>
                <w:sz w:val="24"/>
              </w:rPr>
            </w:pPr>
            <w:r>
              <w:rPr>
                <w:sz w:val="24"/>
              </w:rPr>
              <w:t>15520330888</w:t>
            </w:r>
          </w:p>
        </w:tc>
        <w:tc>
          <w:tcPr>
            <w:tcW w:w="1159" w:type="dxa"/>
            <w:vAlign w:val="center"/>
          </w:tcPr>
          <w:p w14:paraId="19980587">
            <w:pPr>
              <w:spacing w:line="360" w:lineRule="auto"/>
              <w:jc w:val="center"/>
              <w:rPr>
                <w:sz w:val="24"/>
              </w:rPr>
            </w:pPr>
            <w:r>
              <w:rPr>
                <w:rFonts w:hint="eastAsia"/>
                <w:sz w:val="24"/>
              </w:rPr>
              <w:t>传</w:t>
            </w:r>
            <w:r>
              <w:rPr>
                <w:sz w:val="24"/>
              </w:rPr>
              <w:t xml:space="preserve"> </w:t>
            </w:r>
            <w:r>
              <w:rPr>
                <w:rFonts w:hint="eastAsia"/>
                <w:sz w:val="24"/>
              </w:rPr>
              <w:t>真</w:t>
            </w:r>
          </w:p>
        </w:tc>
        <w:tc>
          <w:tcPr>
            <w:tcW w:w="1352" w:type="dxa"/>
            <w:vAlign w:val="center"/>
          </w:tcPr>
          <w:p w14:paraId="7818D5C5">
            <w:pPr>
              <w:spacing w:line="360" w:lineRule="auto"/>
              <w:jc w:val="center"/>
              <w:rPr>
                <w:sz w:val="24"/>
              </w:rPr>
            </w:pPr>
            <w:r>
              <w:t>/</w:t>
            </w:r>
          </w:p>
        </w:tc>
        <w:tc>
          <w:tcPr>
            <w:tcW w:w="1272" w:type="dxa"/>
            <w:vAlign w:val="center"/>
          </w:tcPr>
          <w:p w14:paraId="6BCDDC93">
            <w:pPr>
              <w:jc w:val="center"/>
              <w:rPr>
                <w:sz w:val="24"/>
              </w:rPr>
            </w:pPr>
            <w:r>
              <w:rPr>
                <w:rFonts w:hint="eastAsia"/>
                <w:sz w:val="24"/>
              </w:rPr>
              <w:t>邮政编码</w:t>
            </w:r>
          </w:p>
        </w:tc>
        <w:tc>
          <w:tcPr>
            <w:tcW w:w="1978" w:type="dxa"/>
            <w:vAlign w:val="center"/>
          </w:tcPr>
          <w:p w14:paraId="5393F6E7">
            <w:pPr>
              <w:jc w:val="center"/>
              <w:rPr>
                <w:sz w:val="24"/>
              </w:rPr>
            </w:pPr>
            <w:r>
              <w:rPr>
                <w:sz w:val="24"/>
              </w:rPr>
              <w:t>614300</w:t>
            </w:r>
          </w:p>
        </w:tc>
      </w:tr>
      <w:tr w14:paraId="52F8A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6B9A53A1">
            <w:pPr>
              <w:spacing w:line="360" w:lineRule="auto"/>
              <w:jc w:val="center"/>
              <w:rPr>
                <w:sz w:val="24"/>
              </w:rPr>
            </w:pPr>
            <w:r>
              <w:rPr>
                <w:rFonts w:hint="eastAsia"/>
                <w:sz w:val="24"/>
              </w:rPr>
              <w:t>建设地点</w:t>
            </w:r>
          </w:p>
        </w:tc>
        <w:tc>
          <w:tcPr>
            <w:tcW w:w="7297" w:type="dxa"/>
            <w:gridSpan w:val="5"/>
            <w:vAlign w:val="center"/>
          </w:tcPr>
          <w:p w14:paraId="1A874898">
            <w:pPr>
              <w:spacing w:line="360" w:lineRule="auto"/>
              <w:jc w:val="center"/>
              <w:rPr>
                <w:sz w:val="24"/>
              </w:rPr>
            </w:pPr>
            <w:r>
              <w:rPr>
                <w:rFonts w:hint="eastAsia"/>
                <w:bCs/>
                <w:sz w:val="24"/>
              </w:rPr>
              <w:t>峨边彝族自治县平等乡观慈村三组（中心坐标东经：</w:t>
            </w:r>
            <w:r>
              <w:rPr>
                <w:bCs/>
                <w:sz w:val="24"/>
              </w:rPr>
              <w:t>103.5304°</w:t>
            </w:r>
            <w:r>
              <w:rPr>
                <w:rFonts w:hint="eastAsia"/>
                <w:bCs/>
                <w:sz w:val="24"/>
              </w:rPr>
              <w:t>，北纬：</w:t>
            </w:r>
            <w:r>
              <w:rPr>
                <w:bCs/>
                <w:sz w:val="24"/>
              </w:rPr>
              <w:t>29.1505°</w:t>
            </w:r>
            <w:r>
              <w:rPr>
                <w:rFonts w:hint="eastAsia"/>
                <w:bCs/>
                <w:sz w:val="24"/>
              </w:rPr>
              <w:t>）</w:t>
            </w:r>
          </w:p>
        </w:tc>
      </w:tr>
      <w:tr w14:paraId="059D1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27585A68">
            <w:pPr>
              <w:jc w:val="center"/>
              <w:rPr>
                <w:spacing w:val="-2"/>
                <w:kern w:val="15"/>
                <w:sz w:val="24"/>
              </w:rPr>
            </w:pPr>
            <w:r>
              <w:rPr>
                <w:rFonts w:hint="eastAsia"/>
                <w:spacing w:val="-2"/>
                <w:kern w:val="15"/>
                <w:sz w:val="24"/>
              </w:rPr>
              <w:t>立项审批部门</w:t>
            </w:r>
          </w:p>
        </w:tc>
        <w:tc>
          <w:tcPr>
            <w:tcW w:w="2695" w:type="dxa"/>
            <w:gridSpan w:val="2"/>
            <w:vAlign w:val="center"/>
          </w:tcPr>
          <w:p w14:paraId="03911663">
            <w:pPr>
              <w:jc w:val="center"/>
              <w:rPr>
                <w:sz w:val="24"/>
              </w:rPr>
            </w:pPr>
            <w:r>
              <w:rPr>
                <w:rFonts w:hint="eastAsia"/>
                <w:sz w:val="24"/>
              </w:rPr>
              <w:t>峨边彝族自治县发展和改革局</w:t>
            </w:r>
          </w:p>
        </w:tc>
        <w:tc>
          <w:tcPr>
            <w:tcW w:w="1352" w:type="dxa"/>
            <w:vAlign w:val="center"/>
          </w:tcPr>
          <w:p w14:paraId="701475D4">
            <w:pPr>
              <w:jc w:val="center"/>
              <w:rPr>
                <w:sz w:val="24"/>
              </w:rPr>
            </w:pPr>
            <w:r>
              <w:rPr>
                <w:rFonts w:hint="eastAsia"/>
                <w:sz w:val="24"/>
              </w:rPr>
              <w:t>批准文号</w:t>
            </w:r>
          </w:p>
        </w:tc>
        <w:tc>
          <w:tcPr>
            <w:tcW w:w="3250" w:type="dxa"/>
            <w:gridSpan w:val="2"/>
            <w:vAlign w:val="center"/>
          </w:tcPr>
          <w:p w14:paraId="5BF94A1D">
            <w:pPr>
              <w:jc w:val="center"/>
              <w:rPr>
                <w:sz w:val="24"/>
              </w:rPr>
            </w:pPr>
            <w:r>
              <w:rPr>
                <w:rFonts w:hint="eastAsia"/>
                <w:spacing w:val="-6"/>
                <w:kern w:val="0"/>
                <w:sz w:val="24"/>
              </w:rPr>
              <w:t>川投资备【2017-511132-02-03-225992】FGQB-0138号</w:t>
            </w:r>
          </w:p>
        </w:tc>
      </w:tr>
      <w:tr w14:paraId="0236F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777C6906">
            <w:pPr>
              <w:jc w:val="center"/>
              <w:rPr>
                <w:sz w:val="24"/>
              </w:rPr>
            </w:pPr>
            <w:r>
              <w:rPr>
                <w:rFonts w:hint="eastAsia"/>
                <w:sz w:val="24"/>
              </w:rPr>
              <w:t>建设性质</w:t>
            </w:r>
          </w:p>
        </w:tc>
        <w:tc>
          <w:tcPr>
            <w:tcW w:w="2695" w:type="dxa"/>
            <w:gridSpan w:val="2"/>
            <w:vAlign w:val="center"/>
          </w:tcPr>
          <w:p w14:paraId="7AD60F20">
            <w:pPr>
              <w:jc w:val="center"/>
              <w:rPr>
                <w:sz w:val="24"/>
              </w:rPr>
            </w:pPr>
            <w:r>
              <w:rPr>
                <w:rFonts w:hint="eastAsia"/>
                <w:sz w:val="24"/>
              </w:rPr>
              <w:t>新建</w:t>
            </w:r>
            <w:r>
              <w:rPr>
                <w:sz w:val="18"/>
                <w:szCs w:val="18"/>
              </w:rPr>
              <w:sym w:font="Wingdings" w:char="F0FE"/>
            </w:r>
            <w:r>
              <w:rPr>
                <w:rFonts w:hint="eastAsia"/>
                <w:sz w:val="24"/>
              </w:rPr>
              <w:t>改扩建</w:t>
            </w:r>
            <w:r>
              <w:rPr>
                <w:sz w:val="24"/>
              </w:rPr>
              <w:t>□</w:t>
            </w:r>
            <w:r>
              <w:rPr>
                <w:rFonts w:hint="eastAsia"/>
                <w:sz w:val="24"/>
              </w:rPr>
              <w:t>技改</w:t>
            </w:r>
            <w:r>
              <w:rPr>
                <w:sz w:val="24"/>
              </w:rPr>
              <w:t>□</w:t>
            </w:r>
          </w:p>
        </w:tc>
        <w:tc>
          <w:tcPr>
            <w:tcW w:w="1352" w:type="dxa"/>
            <w:vAlign w:val="center"/>
          </w:tcPr>
          <w:p w14:paraId="010F39E3">
            <w:pPr>
              <w:jc w:val="center"/>
              <w:rPr>
                <w:sz w:val="24"/>
              </w:rPr>
            </w:pPr>
            <w:r>
              <w:rPr>
                <w:rFonts w:hint="eastAsia"/>
                <w:sz w:val="24"/>
              </w:rPr>
              <w:t>行业类别及代码</w:t>
            </w:r>
          </w:p>
        </w:tc>
        <w:tc>
          <w:tcPr>
            <w:tcW w:w="3250" w:type="dxa"/>
            <w:gridSpan w:val="2"/>
            <w:vAlign w:val="center"/>
          </w:tcPr>
          <w:p w14:paraId="402C654C">
            <w:pPr>
              <w:spacing w:line="240" w:lineRule="atLeast"/>
              <w:jc w:val="center"/>
              <w:rPr>
                <w:sz w:val="24"/>
              </w:rPr>
            </w:pPr>
            <w:r>
              <w:rPr>
                <w:sz w:val="24"/>
              </w:rPr>
              <w:t>C2011</w:t>
            </w:r>
            <w:r>
              <w:rPr>
                <w:rFonts w:hint="eastAsia"/>
                <w:sz w:val="24"/>
              </w:rPr>
              <w:t>锯材加工</w:t>
            </w:r>
          </w:p>
        </w:tc>
      </w:tr>
      <w:tr w14:paraId="21F52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11E4DDB7">
            <w:pPr>
              <w:jc w:val="center"/>
              <w:rPr>
                <w:sz w:val="24"/>
              </w:rPr>
            </w:pPr>
            <w:r>
              <w:rPr>
                <w:rFonts w:hint="eastAsia"/>
                <w:sz w:val="24"/>
              </w:rPr>
              <w:t>占地面积</w:t>
            </w:r>
          </w:p>
        </w:tc>
        <w:tc>
          <w:tcPr>
            <w:tcW w:w="1536" w:type="dxa"/>
            <w:vAlign w:val="center"/>
          </w:tcPr>
          <w:p w14:paraId="141A7BD8">
            <w:pPr>
              <w:jc w:val="center"/>
              <w:rPr>
                <w:kern w:val="0"/>
                <w:sz w:val="24"/>
              </w:rPr>
            </w:pPr>
            <w:r>
              <w:rPr>
                <w:kern w:val="0"/>
                <w:sz w:val="24"/>
              </w:rPr>
              <w:t>6101.1m</w:t>
            </w:r>
            <w:r>
              <w:rPr>
                <w:kern w:val="0"/>
                <w:sz w:val="24"/>
                <w:vertAlign w:val="superscript"/>
              </w:rPr>
              <w:t>2</w:t>
            </w:r>
          </w:p>
        </w:tc>
        <w:tc>
          <w:tcPr>
            <w:tcW w:w="1159" w:type="dxa"/>
            <w:vAlign w:val="center"/>
          </w:tcPr>
          <w:p w14:paraId="570DC716">
            <w:pPr>
              <w:jc w:val="center"/>
              <w:rPr>
                <w:sz w:val="24"/>
              </w:rPr>
            </w:pPr>
            <w:r>
              <w:rPr>
                <w:rFonts w:hint="eastAsia"/>
                <w:sz w:val="24"/>
              </w:rPr>
              <w:t>绿化面积</w:t>
            </w:r>
            <w:r>
              <w:rPr>
                <w:rFonts w:hint="eastAsia"/>
                <w:sz w:val="24"/>
                <w:lang w:eastAsia="zh-CN"/>
              </w:rPr>
              <w:t>（</w:t>
            </w:r>
            <w:r>
              <w:rPr>
                <w:sz w:val="24"/>
              </w:rPr>
              <w:t>m</w:t>
            </w:r>
            <w:r>
              <w:rPr>
                <w:sz w:val="24"/>
                <w:vertAlign w:val="superscript"/>
              </w:rPr>
              <w:t>2</w:t>
            </w:r>
            <w:r>
              <w:rPr>
                <w:rFonts w:hint="eastAsia"/>
                <w:sz w:val="24"/>
                <w:vertAlign w:val="superscript"/>
                <w:lang w:eastAsia="zh-CN"/>
              </w:rPr>
              <w:t>）</w:t>
            </w:r>
          </w:p>
        </w:tc>
        <w:tc>
          <w:tcPr>
            <w:tcW w:w="1352" w:type="dxa"/>
            <w:vAlign w:val="center"/>
          </w:tcPr>
          <w:p w14:paraId="469B8AFB">
            <w:pPr>
              <w:jc w:val="center"/>
              <w:rPr>
                <w:sz w:val="24"/>
              </w:rPr>
            </w:pPr>
            <w:r>
              <w:rPr>
                <w:kern w:val="0"/>
                <w:sz w:val="24"/>
              </w:rPr>
              <w:t>/</w:t>
            </w:r>
          </w:p>
        </w:tc>
        <w:tc>
          <w:tcPr>
            <w:tcW w:w="1272" w:type="dxa"/>
            <w:vAlign w:val="center"/>
          </w:tcPr>
          <w:p w14:paraId="582F9FEA">
            <w:pPr>
              <w:jc w:val="center"/>
              <w:rPr>
                <w:sz w:val="24"/>
              </w:rPr>
            </w:pPr>
            <w:r>
              <w:rPr>
                <w:rFonts w:hint="eastAsia"/>
                <w:sz w:val="24"/>
              </w:rPr>
              <w:t>绿化率</w:t>
            </w:r>
          </w:p>
        </w:tc>
        <w:tc>
          <w:tcPr>
            <w:tcW w:w="1978" w:type="dxa"/>
            <w:vAlign w:val="center"/>
          </w:tcPr>
          <w:p w14:paraId="3616C0F4">
            <w:pPr>
              <w:jc w:val="center"/>
              <w:rPr>
                <w:sz w:val="24"/>
              </w:rPr>
            </w:pPr>
            <w:r>
              <w:rPr>
                <w:sz w:val="24"/>
              </w:rPr>
              <w:t>/</w:t>
            </w:r>
          </w:p>
        </w:tc>
      </w:tr>
      <w:tr w14:paraId="1F252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5606BB5F">
            <w:pPr>
              <w:jc w:val="center"/>
              <w:rPr>
                <w:sz w:val="24"/>
              </w:rPr>
            </w:pPr>
            <w:r>
              <w:rPr>
                <w:rFonts w:hint="eastAsia"/>
                <w:sz w:val="24"/>
              </w:rPr>
              <w:t>总投资</w:t>
            </w:r>
          </w:p>
          <w:p w14:paraId="5B4F0C8B">
            <w:pPr>
              <w:jc w:val="center"/>
              <w:rPr>
                <w:sz w:val="24"/>
              </w:rPr>
            </w:pPr>
            <w:r>
              <w:rPr>
                <w:rFonts w:hint="eastAsia"/>
                <w:sz w:val="24"/>
                <w:lang w:eastAsia="zh-CN"/>
              </w:rPr>
              <w:t>（</w:t>
            </w:r>
            <w:r>
              <w:rPr>
                <w:rFonts w:hint="eastAsia"/>
                <w:sz w:val="24"/>
              </w:rPr>
              <w:t>万元</w:t>
            </w:r>
            <w:r>
              <w:rPr>
                <w:rFonts w:hint="eastAsia"/>
                <w:sz w:val="24"/>
                <w:lang w:eastAsia="zh-CN"/>
              </w:rPr>
              <w:t>）</w:t>
            </w:r>
          </w:p>
        </w:tc>
        <w:tc>
          <w:tcPr>
            <w:tcW w:w="1536" w:type="dxa"/>
            <w:vAlign w:val="center"/>
          </w:tcPr>
          <w:p w14:paraId="02A112F5">
            <w:pPr>
              <w:jc w:val="center"/>
              <w:rPr>
                <w:sz w:val="24"/>
              </w:rPr>
            </w:pPr>
            <w:r>
              <w:rPr>
                <w:sz w:val="24"/>
              </w:rPr>
              <w:t>50</w:t>
            </w:r>
          </w:p>
        </w:tc>
        <w:tc>
          <w:tcPr>
            <w:tcW w:w="1159" w:type="dxa"/>
            <w:vAlign w:val="center"/>
          </w:tcPr>
          <w:p w14:paraId="7860E80A">
            <w:pPr>
              <w:jc w:val="center"/>
              <w:rPr>
                <w:sz w:val="24"/>
              </w:rPr>
            </w:pPr>
            <w:r>
              <w:rPr>
                <w:rFonts w:hint="eastAsia"/>
                <w:sz w:val="24"/>
              </w:rPr>
              <w:t>环保投资</w:t>
            </w:r>
            <w:r>
              <w:rPr>
                <w:rFonts w:hint="eastAsia"/>
                <w:sz w:val="24"/>
                <w:lang w:eastAsia="zh-CN"/>
              </w:rPr>
              <w:t>（</w:t>
            </w:r>
            <w:r>
              <w:rPr>
                <w:rFonts w:hint="eastAsia"/>
                <w:sz w:val="24"/>
              </w:rPr>
              <w:t>万元</w:t>
            </w:r>
            <w:r>
              <w:rPr>
                <w:rFonts w:hint="eastAsia"/>
                <w:sz w:val="24"/>
                <w:lang w:eastAsia="zh-CN"/>
              </w:rPr>
              <w:t>）</w:t>
            </w:r>
          </w:p>
        </w:tc>
        <w:tc>
          <w:tcPr>
            <w:tcW w:w="1352" w:type="dxa"/>
            <w:vAlign w:val="center"/>
          </w:tcPr>
          <w:p w14:paraId="38B2B9D4">
            <w:pPr>
              <w:jc w:val="center"/>
              <w:rPr>
                <w:sz w:val="24"/>
              </w:rPr>
            </w:pPr>
            <w:r>
              <w:rPr>
                <w:sz w:val="24"/>
              </w:rPr>
              <w:t>2.75</w:t>
            </w:r>
          </w:p>
        </w:tc>
        <w:tc>
          <w:tcPr>
            <w:tcW w:w="1272" w:type="dxa"/>
            <w:vAlign w:val="center"/>
          </w:tcPr>
          <w:p w14:paraId="3B8FBDAD">
            <w:pPr>
              <w:jc w:val="center"/>
              <w:rPr>
                <w:sz w:val="24"/>
              </w:rPr>
            </w:pPr>
            <w:r>
              <w:rPr>
                <w:rFonts w:hint="eastAsia"/>
                <w:sz w:val="24"/>
              </w:rPr>
              <w:t>所占比例</w:t>
            </w:r>
          </w:p>
        </w:tc>
        <w:tc>
          <w:tcPr>
            <w:tcW w:w="1978" w:type="dxa"/>
            <w:vAlign w:val="center"/>
          </w:tcPr>
          <w:p w14:paraId="146C7084">
            <w:pPr>
              <w:spacing w:line="360" w:lineRule="auto"/>
              <w:jc w:val="center"/>
              <w:rPr>
                <w:sz w:val="24"/>
              </w:rPr>
            </w:pPr>
            <w:r>
              <w:rPr>
                <w:sz w:val="24"/>
              </w:rPr>
              <w:t>5.5%</w:t>
            </w:r>
          </w:p>
        </w:tc>
      </w:tr>
      <w:tr w14:paraId="1CC96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6EC3BADB">
            <w:pPr>
              <w:jc w:val="center"/>
              <w:rPr>
                <w:sz w:val="24"/>
              </w:rPr>
            </w:pPr>
            <w:r>
              <w:rPr>
                <w:rFonts w:hint="eastAsia"/>
                <w:sz w:val="24"/>
              </w:rPr>
              <w:t>评价经费</w:t>
            </w:r>
          </w:p>
          <w:p w14:paraId="65E45C44">
            <w:pPr>
              <w:jc w:val="center"/>
              <w:rPr>
                <w:sz w:val="24"/>
              </w:rPr>
            </w:pPr>
            <w:r>
              <w:rPr>
                <w:rFonts w:hint="eastAsia"/>
                <w:sz w:val="24"/>
                <w:lang w:eastAsia="zh-CN"/>
              </w:rPr>
              <w:t>（</w:t>
            </w:r>
            <w:r>
              <w:rPr>
                <w:rFonts w:hint="eastAsia"/>
                <w:sz w:val="24"/>
              </w:rPr>
              <w:t>万元</w:t>
            </w:r>
            <w:r>
              <w:rPr>
                <w:rFonts w:hint="eastAsia"/>
                <w:sz w:val="24"/>
                <w:lang w:eastAsia="zh-CN"/>
              </w:rPr>
              <w:t>）</w:t>
            </w:r>
          </w:p>
        </w:tc>
        <w:tc>
          <w:tcPr>
            <w:tcW w:w="1536" w:type="dxa"/>
            <w:vAlign w:val="center"/>
          </w:tcPr>
          <w:p w14:paraId="04B48E86">
            <w:pPr>
              <w:jc w:val="center"/>
              <w:rPr>
                <w:sz w:val="24"/>
              </w:rPr>
            </w:pPr>
            <w:r>
              <w:rPr>
                <w:sz w:val="24"/>
              </w:rPr>
              <w:t>/</w:t>
            </w:r>
          </w:p>
        </w:tc>
        <w:tc>
          <w:tcPr>
            <w:tcW w:w="1159" w:type="dxa"/>
            <w:vAlign w:val="center"/>
          </w:tcPr>
          <w:p w14:paraId="1DCC5AC9">
            <w:pPr>
              <w:jc w:val="center"/>
              <w:rPr>
                <w:sz w:val="24"/>
              </w:rPr>
            </w:pPr>
            <w:r>
              <w:rPr>
                <w:rFonts w:hint="eastAsia"/>
                <w:sz w:val="24"/>
              </w:rPr>
              <w:t>投产日期</w:t>
            </w:r>
          </w:p>
        </w:tc>
        <w:tc>
          <w:tcPr>
            <w:tcW w:w="4602" w:type="dxa"/>
            <w:gridSpan w:val="3"/>
            <w:vAlign w:val="center"/>
          </w:tcPr>
          <w:p w14:paraId="43C39C06">
            <w:pPr>
              <w:jc w:val="center"/>
              <w:rPr>
                <w:sz w:val="24"/>
              </w:rPr>
            </w:pPr>
            <w:r>
              <w:rPr>
                <w:sz w:val="24"/>
              </w:rPr>
              <w:t>2020</w:t>
            </w:r>
            <w:r>
              <w:rPr>
                <w:rFonts w:hint="eastAsia"/>
                <w:sz w:val="24"/>
              </w:rPr>
              <w:t>年</w:t>
            </w:r>
            <w:r>
              <w:rPr>
                <w:sz w:val="24"/>
              </w:rPr>
              <w:t>12</w:t>
            </w:r>
            <w:r>
              <w:rPr>
                <w:rFonts w:hint="eastAsia"/>
                <w:sz w:val="24"/>
              </w:rPr>
              <w:t>月</w:t>
            </w:r>
          </w:p>
        </w:tc>
      </w:tr>
      <w:tr w14:paraId="49A60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8" w:type="dxa"/>
            <w:gridSpan w:val="6"/>
          </w:tcPr>
          <w:p w14:paraId="75EABD65">
            <w:pPr>
              <w:snapToGrid w:val="0"/>
              <w:spacing w:line="360" w:lineRule="auto"/>
              <w:ind w:left="-1" w:leftChars="-6" w:hanging="11" w:hangingChars="4"/>
              <w:rPr>
                <w:b/>
                <w:bCs/>
                <w:sz w:val="28"/>
              </w:rPr>
            </w:pPr>
            <w:r>
              <w:rPr>
                <w:rFonts w:hint="eastAsia"/>
                <w:b/>
                <w:bCs/>
                <w:sz w:val="28"/>
              </w:rPr>
              <w:t>项目内容及规模：</w:t>
            </w:r>
          </w:p>
          <w:p w14:paraId="4970B2F1">
            <w:pPr>
              <w:pStyle w:val="98"/>
              <w:numPr>
                <w:ilvl w:val="0"/>
                <w:numId w:val="1"/>
              </w:numPr>
              <w:snapToGrid w:val="0"/>
              <w:spacing w:line="360" w:lineRule="auto"/>
              <w:ind w:firstLineChars="0"/>
              <w:rPr>
                <w:b/>
                <w:bCs/>
                <w:sz w:val="28"/>
              </w:rPr>
            </w:pPr>
            <w:r>
              <w:rPr>
                <w:rFonts w:hint="eastAsia"/>
                <w:b/>
                <w:bCs/>
                <w:sz w:val="28"/>
              </w:rPr>
              <w:t>项目由来</w:t>
            </w:r>
          </w:p>
          <w:p w14:paraId="0C23D575">
            <w:pPr>
              <w:spacing w:line="360" w:lineRule="auto"/>
              <w:ind w:firstLine="504" w:firstLineChars="210"/>
              <w:rPr>
                <w:bCs/>
                <w:sz w:val="24"/>
              </w:rPr>
            </w:pPr>
            <w:r>
              <w:rPr>
                <w:rFonts w:hint="eastAsia"/>
                <w:bCs/>
                <w:sz w:val="24"/>
              </w:rPr>
              <w:t>峨边彝族自治县五渡镇、平等乡地理位置优越，对外交通方便，区域森林覆盖率极高，木材资源十分丰富，为项目建设奠定了坚实的原料来源。为实现资源综合利用，促进当地居民就业，推动经济发展。同时，随着我国工业生产及经济的飞速发展，人民生活水平提高，人们生活品质需求也有新的要求，木质家具备受欢迎，由此带动中国国内木制品加工市场的发展。为满足市场日益突出的需求，峨边永亮木材加工厂逐步建设成一套木材加工系统进行木材加工生产，年粗加工木材1</w:t>
            </w:r>
            <w:r>
              <w:rPr>
                <w:bCs/>
                <w:sz w:val="24"/>
              </w:rPr>
              <w:t>5000</w:t>
            </w:r>
            <w:r>
              <w:rPr>
                <w:rFonts w:hint="eastAsia"/>
                <w:bCs/>
                <w:sz w:val="24"/>
              </w:rPr>
              <w:t>m</w:t>
            </w:r>
            <w:r>
              <w:rPr>
                <w:bCs/>
                <w:sz w:val="24"/>
                <w:vertAlign w:val="superscript"/>
              </w:rPr>
              <w:t>3</w:t>
            </w:r>
            <w:r>
              <w:rPr>
                <w:rFonts w:hint="eastAsia"/>
                <w:bCs/>
                <w:sz w:val="24"/>
              </w:rPr>
              <w:t>。</w:t>
            </w:r>
          </w:p>
          <w:p w14:paraId="4B6A6AC6">
            <w:pPr>
              <w:pStyle w:val="64"/>
              <w:ind w:firstLine="480"/>
              <w:rPr>
                <w:rFonts w:ascii="Times New Roman" w:hAnsi="Times New Roman"/>
              </w:rPr>
            </w:pPr>
            <w:r>
              <w:rPr>
                <w:rFonts w:hint="eastAsia"/>
                <w:bCs/>
              </w:rPr>
              <w:t>根据《中华人民共和国环境保护法</w:t>
            </w:r>
            <w:r>
              <w:rPr>
                <w:rFonts w:hint="eastAsia"/>
                <w:bCs/>
                <w:lang w:eastAsia="zh-CN"/>
              </w:rPr>
              <w:t>》《</w:t>
            </w:r>
            <w:r>
              <w:rPr>
                <w:rFonts w:hint="eastAsia"/>
                <w:bCs/>
              </w:rPr>
              <w:t>关于修改</w:t>
            </w:r>
            <w:r>
              <w:rPr>
                <w:rFonts w:hint="eastAsia"/>
                <w:bCs/>
                <w:lang w:eastAsia="zh-CN"/>
              </w:rPr>
              <w:t>〈</w:t>
            </w:r>
            <w:r>
              <w:rPr>
                <w:rFonts w:hint="eastAsia"/>
                <w:bCs/>
              </w:rPr>
              <w:t>建设项目环境保护管理条例</w:t>
            </w:r>
            <w:r>
              <w:rPr>
                <w:rFonts w:hint="eastAsia"/>
                <w:bCs/>
                <w:lang w:eastAsia="zh-CN"/>
              </w:rPr>
              <w:t>〉</w:t>
            </w:r>
            <w:r>
              <w:rPr>
                <w:rFonts w:hint="eastAsia"/>
                <w:bCs/>
              </w:rPr>
              <w:t>的决定》（中华人民共和国国务院令</w:t>
            </w:r>
            <w:r>
              <w:rPr>
                <w:bCs/>
              </w:rPr>
              <w:t xml:space="preserve"> </w:t>
            </w:r>
            <w:r>
              <w:rPr>
                <w:rFonts w:hint="eastAsia"/>
                <w:bCs/>
              </w:rPr>
              <w:t>第</w:t>
            </w:r>
            <w:r>
              <w:rPr>
                <w:bCs/>
              </w:rPr>
              <w:t>682</w:t>
            </w:r>
            <w:r>
              <w:rPr>
                <w:rFonts w:hint="eastAsia"/>
                <w:bCs/>
              </w:rPr>
              <w:t>号）、《中华人民共和国环境影响评价法》及国务院</w:t>
            </w:r>
            <w:r>
              <w:rPr>
                <w:bCs/>
              </w:rPr>
              <w:t>253</w:t>
            </w:r>
            <w:r>
              <w:rPr>
                <w:rFonts w:hint="eastAsia"/>
                <w:bCs/>
              </w:rPr>
              <w:t>号令的要求，本项目应进行环境影响评价工作，查阅《建设项目环境影响评价分类管理名录》（部令第</w:t>
            </w:r>
            <w:r>
              <w:rPr>
                <w:bCs/>
              </w:rPr>
              <w:t>44</w:t>
            </w:r>
            <w:r>
              <w:rPr>
                <w:rFonts w:hint="eastAsia"/>
                <w:bCs/>
              </w:rPr>
              <w:t>号</w:t>
            </w:r>
            <w:r>
              <w:rPr>
                <w:rFonts w:hint="eastAsia"/>
              </w:rPr>
              <w:t>及部令第</w:t>
            </w:r>
            <w:r>
              <w:t>1</w:t>
            </w:r>
            <w:r>
              <w:rPr>
                <w:rFonts w:hint="eastAsia"/>
              </w:rPr>
              <w:t>号</w:t>
            </w:r>
            <w:r>
              <w:rPr>
                <w:rFonts w:hint="eastAsia"/>
                <w:bCs/>
              </w:rPr>
              <w:t>），本项目属于</w:t>
            </w:r>
            <w:r>
              <w:rPr>
                <w:b/>
                <w:bCs/>
              </w:rPr>
              <w:t>“</w:t>
            </w:r>
            <w:r>
              <w:rPr>
                <w:rFonts w:hint="eastAsia"/>
                <w:b/>
                <w:bCs/>
              </w:rPr>
              <w:t>九、木材加工和木、竹、藤、棕、草制品业</w:t>
            </w:r>
            <w:r>
              <w:rPr>
                <w:b/>
                <w:bCs/>
              </w:rPr>
              <w:t>”</w:t>
            </w:r>
            <w:r>
              <w:rPr>
                <w:rFonts w:hint="eastAsia"/>
                <w:b/>
                <w:bCs/>
              </w:rPr>
              <w:t>中的</w:t>
            </w:r>
            <w:r>
              <w:rPr>
                <w:b/>
                <w:bCs/>
              </w:rPr>
              <w:t xml:space="preserve">“24 </w:t>
            </w:r>
            <w:r>
              <w:rPr>
                <w:rFonts w:hint="eastAsia"/>
                <w:b/>
                <w:bCs/>
              </w:rPr>
              <w:t>锯材、木片加工、木制品制造</w:t>
            </w:r>
            <w:r>
              <w:rPr>
                <w:b/>
                <w:bCs/>
              </w:rPr>
              <w:t xml:space="preserve">  </w:t>
            </w:r>
            <w:r>
              <w:rPr>
                <w:rFonts w:hint="eastAsia"/>
                <w:b/>
                <w:bCs/>
              </w:rPr>
              <w:t>其他</w:t>
            </w:r>
            <w:r>
              <w:rPr>
                <w:b/>
                <w:bCs/>
              </w:rPr>
              <w:t>”</w:t>
            </w:r>
            <w:r>
              <w:rPr>
                <w:rFonts w:hint="eastAsia"/>
                <w:b/>
                <w:bCs/>
              </w:rPr>
              <w:t>，</w:t>
            </w:r>
            <w:r>
              <w:rPr>
                <w:rFonts w:hint="eastAsia"/>
                <w:bCs/>
              </w:rPr>
              <w:t>应编制环境影响报告表。</w:t>
            </w:r>
            <w:r>
              <w:rPr>
                <w:rFonts w:hint="eastAsia" w:ascii="Times New Roman" w:hAnsi="Times New Roman"/>
              </w:rPr>
              <w:t>根据本项目建设情况分析，污染物能够达标排放并且重点污染物排放符合总量控制要求，风险可控。</w:t>
            </w:r>
          </w:p>
          <w:p w14:paraId="4C8EFDE1">
            <w:pPr>
              <w:spacing w:line="360" w:lineRule="auto"/>
              <w:ind w:firstLine="480" w:firstLineChars="200"/>
              <w:rPr>
                <w:sz w:val="24"/>
              </w:rPr>
            </w:pPr>
            <w:r>
              <w:rPr>
                <w:bCs/>
                <w:sz w:val="24"/>
              </w:rPr>
              <w:t>为完善环评</w:t>
            </w:r>
            <w:r>
              <w:rPr>
                <w:sz w:val="24"/>
              </w:rPr>
              <w:t>手续</w:t>
            </w:r>
            <w:r>
              <w:t>，</w:t>
            </w:r>
            <w:r>
              <w:rPr>
                <w:rFonts w:hint="eastAsia"/>
                <w:sz w:val="24"/>
              </w:rPr>
              <w:t>业主委托四川银励环保科技有限公司承担该项目的环境影响评价工作，我单位接受委托后，通过现场勘察、收集资料等工作，结合本项目的特点，按照国家有关技术规范要求，对该项目编制《</w:t>
            </w:r>
            <w:r>
              <w:rPr>
                <w:rFonts w:hint="eastAsia"/>
                <w:bCs/>
                <w:sz w:val="24"/>
              </w:rPr>
              <w:t>峨边永亮木材加工厂新建</w:t>
            </w:r>
            <w:r>
              <w:rPr>
                <w:rFonts w:hint="eastAsia"/>
                <w:sz w:val="24"/>
              </w:rPr>
              <w:t>》环境影响报告表，现呈报审查，待审批后作为开展项目建设环保设计及主管部门环境管理工作的依据。</w:t>
            </w:r>
          </w:p>
          <w:p w14:paraId="24AE7350">
            <w:pPr>
              <w:spacing w:line="360" w:lineRule="auto"/>
              <w:ind w:right="77" w:rightChars="37"/>
              <w:rPr>
                <w:b/>
                <w:sz w:val="24"/>
              </w:rPr>
            </w:pPr>
            <w:r>
              <w:rPr>
                <w:rFonts w:hint="eastAsia"/>
                <w:b/>
                <w:sz w:val="24"/>
              </w:rPr>
              <w:t>二、产业政策、规划及选址合理性</w:t>
            </w:r>
          </w:p>
          <w:p w14:paraId="538A7DFB">
            <w:pPr>
              <w:spacing w:line="360" w:lineRule="auto"/>
              <w:ind w:right="77" w:rightChars="37" w:firstLine="480" w:firstLineChars="200"/>
              <w:rPr>
                <w:b/>
                <w:sz w:val="24"/>
              </w:rPr>
            </w:pPr>
            <w:r>
              <w:rPr>
                <w:b/>
                <w:sz w:val="24"/>
              </w:rPr>
              <w:t>1</w:t>
            </w:r>
            <w:r>
              <w:rPr>
                <w:rFonts w:hint="eastAsia"/>
                <w:b/>
                <w:sz w:val="24"/>
              </w:rPr>
              <w:t>、产业政策</w:t>
            </w:r>
          </w:p>
          <w:p w14:paraId="030FEFB0">
            <w:pPr>
              <w:widowControl/>
              <w:spacing w:line="360" w:lineRule="auto"/>
              <w:ind w:firstLine="480" w:firstLineChars="200"/>
              <w:rPr>
                <w:sz w:val="24"/>
              </w:rPr>
            </w:pPr>
            <w:r>
              <w:rPr>
                <w:rFonts w:hint="eastAsia"/>
                <w:sz w:val="24"/>
              </w:rPr>
              <w:t>根据国民经济行业分类与代码（</w:t>
            </w:r>
            <w:r>
              <w:rPr>
                <w:sz w:val="24"/>
              </w:rPr>
              <w:t>GB/T4754</w:t>
            </w:r>
            <w:r>
              <w:rPr>
                <w:rFonts w:hint="eastAsia"/>
                <w:sz w:val="24"/>
              </w:rPr>
              <w:t>－</w:t>
            </w:r>
            <w:r>
              <w:rPr>
                <w:sz w:val="24"/>
              </w:rPr>
              <w:t>2011</w:t>
            </w:r>
            <w:r>
              <w:rPr>
                <w:rFonts w:hint="eastAsia"/>
                <w:sz w:val="24"/>
              </w:rPr>
              <w:t>），本项目属于</w:t>
            </w:r>
            <w:r>
              <w:rPr>
                <w:rFonts w:hint="eastAsia"/>
                <w:b/>
                <w:sz w:val="24"/>
              </w:rPr>
              <w:t>C2011锯材加工</w:t>
            </w:r>
            <w:r>
              <w:rPr>
                <w:rFonts w:hint="eastAsia"/>
                <w:sz w:val="24"/>
              </w:rPr>
              <w:t>，根据</w:t>
            </w:r>
            <w:r>
              <w:rPr>
                <w:rFonts w:hint="eastAsia"/>
                <w:sz w:val="24"/>
                <w:lang w:eastAsia="zh-CN"/>
              </w:rPr>
              <w:t>中华人民共和国</w:t>
            </w:r>
            <w:r>
              <w:rPr>
                <w:rFonts w:hint="eastAsia"/>
                <w:sz w:val="24"/>
              </w:rPr>
              <w:t>国家发展和改革委员会</w:t>
            </w:r>
            <w:r>
              <w:rPr>
                <w:sz w:val="24"/>
              </w:rPr>
              <w:t xml:space="preserve"> </w:t>
            </w:r>
            <w:r>
              <w:rPr>
                <w:rFonts w:hint="eastAsia"/>
                <w:sz w:val="24"/>
              </w:rPr>
              <w:t>第</w:t>
            </w:r>
            <w:r>
              <w:rPr>
                <w:sz w:val="24"/>
              </w:rPr>
              <w:t xml:space="preserve"> 29 </w:t>
            </w:r>
            <w:r>
              <w:rPr>
                <w:rFonts w:hint="eastAsia"/>
                <w:sz w:val="24"/>
              </w:rPr>
              <w:t>号令</w:t>
            </w:r>
            <w:r>
              <w:rPr>
                <w:sz w:val="24"/>
              </w:rPr>
              <w:t xml:space="preserve"> </w:t>
            </w:r>
            <w:r>
              <w:rPr>
                <w:rFonts w:hint="eastAsia"/>
                <w:sz w:val="24"/>
              </w:rPr>
              <w:t>《</w:t>
            </w:r>
            <w:r>
              <w:rPr>
                <w:rFonts w:hint="eastAsia"/>
                <w:sz w:val="24"/>
                <w:lang w:eastAsia="zh-CN"/>
              </w:rPr>
              <w:t>国家</w:t>
            </w:r>
            <w:r>
              <w:rPr>
                <w:rFonts w:hint="eastAsia"/>
                <w:sz w:val="24"/>
              </w:rPr>
              <w:t>产业结构调整指导目录（</w:t>
            </w:r>
            <w:r>
              <w:rPr>
                <w:sz w:val="24"/>
              </w:rPr>
              <w:t>2019</w:t>
            </w:r>
            <w:r>
              <w:rPr>
                <w:rFonts w:hint="eastAsia"/>
                <w:sz w:val="24"/>
              </w:rPr>
              <w:t>年本）》，本项目产品为非一次性木制品，不属于“限制类</w:t>
            </w:r>
            <w:r>
              <w:rPr>
                <w:sz w:val="24"/>
              </w:rPr>
              <w:t xml:space="preserve"> </w:t>
            </w:r>
            <w:r>
              <w:rPr>
                <w:rFonts w:hint="eastAsia"/>
                <w:sz w:val="24"/>
              </w:rPr>
              <w:t xml:space="preserve">一、农林类 </w:t>
            </w:r>
            <w:r>
              <w:rPr>
                <w:sz w:val="24"/>
              </w:rPr>
              <w:t>8</w:t>
            </w:r>
            <w:r>
              <w:rPr>
                <w:rFonts w:hint="eastAsia"/>
                <w:sz w:val="24"/>
              </w:rPr>
              <w:t>、以优质林木为原料的一次性木制品与木制包装的生产和使用以及木竹加工综合利用率偏低的木竹加工项目”。因此，本项目不属于鼓励类、限制类、淘汰类。根据国务院《促进产业结构调整暂行规定》（国发</w:t>
            </w:r>
            <w:r>
              <w:rPr>
                <w:rFonts w:hint="eastAsia"/>
                <w:sz w:val="24"/>
                <w:lang w:eastAsia="zh-CN"/>
              </w:rPr>
              <w:t>〔2005〕40号</w:t>
            </w:r>
            <w:r>
              <w:rPr>
                <w:rFonts w:hint="eastAsia"/>
                <w:sz w:val="24"/>
              </w:rPr>
              <w:t>）第十三条“不属于鼓励类、限制类和淘汰类，且符合国家有关</w:t>
            </w:r>
            <w:r>
              <w:rPr>
                <w:rFonts w:hint="eastAsia"/>
                <w:sz w:val="24"/>
                <w:lang w:eastAsia="zh-CN"/>
              </w:rPr>
              <w:t>法律法规</w:t>
            </w:r>
            <w:r>
              <w:rPr>
                <w:rFonts w:hint="eastAsia"/>
                <w:sz w:val="24"/>
              </w:rPr>
              <w:t>和政策规定，为允许类”，因此，本项目属于</w:t>
            </w:r>
            <w:r>
              <w:rPr>
                <w:rFonts w:hint="eastAsia"/>
                <w:b/>
                <w:bCs/>
                <w:sz w:val="24"/>
              </w:rPr>
              <w:t>允许类</w:t>
            </w:r>
            <w:r>
              <w:rPr>
                <w:rFonts w:hint="eastAsia"/>
                <w:sz w:val="24"/>
              </w:rPr>
              <w:t>。</w:t>
            </w:r>
          </w:p>
          <w:p w14:paraId="156ADCD3">
            <w:pPr>
              <w:widowControl/>
              <w:spacing w:line="360" w:lineRule="auto"/>
              <w:ind w:firstLine="480" w:firstLineChars="200"/>
              <w:rPr>
                <w:sz w:val="24"/>
              </w:rPr>
            </w:pPr>
            <w:r>
              <w:rPr>
                <w:rFonts w:hint="eastAsia"/>
                <w:sz w:val="24"/>
              </w:rPr>
              <w:t>同时，峨边彝族自治县发展和改革局以《四川省技术改造投资项目备案表》（</w:t>
            </w:r>
            <w:r>
              <w:rPr>
                <w:rFonts w:hint="eastAsia"/>
                <w:spacing w:val="-6"/>
                <w:kern w:val="0"/>
                <w:sz w:val="24"/>
              </w:rPr>
              <w:t>川投资备【2017-511132-02-03-225992】FGQB-0138号</w:t>
            </w:r>
            <w:r>
              <w:rPr>
                <w:rFonts w:hint="eastAsia"/>
                <w:sz w:val="24"/>
              </w:rPr>
              <w:t>）对本项目进行立项，允许本项目实施。具体见附件</w:t>
            </w:r>
            <w:r>
              <w:rPr>
                <w:sz w:val="24"/>
              </w:rPr>
              <w:t>2</w:t>
            </w:r>
            <w:r>
              <w:rPr>
                <w:rFonts w:hint="eastAsia"/>
                <w:sz w:val="24"/>
              </w:rPr>
              <w:t>。</w:t>
            </w:r>
          </w:p>
          <w:p w14:paraId="3FA652BC">
            <w:pPr>
              <w:widowControl/>
              <w:spacing w:line="360" w:lineRule="auto"/>
              <w:ind w:firstLine="480" w:firstLineChars="200"/>
              <w:rPr>
                <w:b/>
                <w:sz w:val="24"/>
              </w:rPr>
            </w:pPr>
            <w:r>
              <w:rPr>
                <w:rFonts w:hint="eastAsia"/>
                <w:b/>
                <w:sz w:val="24"/>
              </w:rPr>
              <w:t>综上所述，本项目的建设符合国家现行的产业政策。</w:t>
            </w:r>
          </w:p>
          <w:p w14:paraId="6AC0DD19">
            <w:pPr>
              <w:spacing w:line="360" w:lineRule="auto"/>
              <w:rPr>
                <w:b/>
                <w:sz w:val="28"/>
                <w:szCs w:val="28"/>
              </w:rPr>
            </w:pPr>
            <w:r>
              <w:rPr>
                <w:rFonts w:hint="eastAsia"/>
                <w:b/>
                <w:sz w:val="28"/>
                <w:szCs w:val="28"/>
              </w:rPr>
              <w:t>三、规划符合性分析</w:t>
            </w:r>
          </w:p>
          <w:p w14:paraId="03EEEA04">
            <w:pPr>
              <w:spacing w:line="360" w:lineRule="auto"/>
              <w:ind w:firstLine="480" w:firstLineChars="200"/>
              <w:rPr>
                <w:b/>
                <w:sz w:val="24"/>
              </w:rPr>
            </w:pPr>
            <w:r>
              <w:rPr>
                <w:b/>
                <w:sz w:val="24"/>
              </w:rPr>
              <w:fldChar w:fldCharType="begin"/>
            </w:r>
            <w:r>
              <w:rPr>
                <w:b/>
                <w:sz w:val="24"/>
              </w:rPr>
              <w:instrText xml:space="preserve"> = 1 \* GB3 </w:instrText>
            </w:r>
            <w:r>
              <w:rPr>
                <w:b/>
                <w:sz w:val="24"/>
              </w:rPr>
              <w:fldChar w:fldCharType="separate"/>
            </w:r>
            <w:r>
              <w:rPr>
                <w:rFonts w:hint="eastAsia" w:ascii="宋体" w:hAnsi="宋体" w:cs="宋体"/>
                <w:b/>
                <w:sz w:val="24"/>
              </w:rPr>
              <w:t>①</w:t>
            </w:r>
            <w:r>
              <w:rPr>
                <w:b/>
                <w:sz w:val="24"/>
              </w:rPr>
              <w:fldChar w:fldCharType="end"/>
            </w:r>
            <w:r>
              <w:rPr>
                <w:rFonts w:hint="eastAsia"/>
                <w:b/>
                <w:sz w:val="24"/>
              </w:rPr>
              <w:t>乐山市打赢蓝天保卫战等九个实施方案符性分析</w:t>
            </w:r>
          </w:p>
          <w:p w14:paraId="79F7D75C">
            <w:pPr>
              <w:spacing w:line="360" w:lineRule="auto"/>
              <w:ind w:firstLine="480" w:firstLineChars="200"/>
              <w:rPr>
                <w:sz w:val="24"/>
              </w:rPr>
            </w:pPr>
            <w:r>
              <w:rPr>
                <w:rFonts w:hint="eastAsia"/>
                <w:sz w:val="24"/>
              </w:rPr>
              <w:t>乐山市关于“乐山市打赢蓝天保卫战</w:t>
            </w:r>
            <w:r>
              <w:rPr>
                <w:rFonts w:hint="eastAsia"/>
                <w:sz w:val="24"/>
                <w:lang w:eastAsia="zh-CN"/>
              </w:rPr>
              <w:t>”“</w:t>
            </w:r>
            <w:r>
              <w:rPr>
                <w:rFonts w:hint="eastAsia"/>
                <w:sz w:val="24"/>
              </w:rPr>
              <w:t>打赢碧水保卫战</w:t>
            </w:r>
            <w:r>
              <w:rPr>
                <w:rFonts w:hint="eastAsia"/>
                <w:sz w:val="24"/>
                <w:lang w:eastAsia="zh-CN"/>
              </w:rPr>
              <w:t>”“</w:t>
            </w:r>
            <w:r>
              <w:rPr>
                <w:rFonts w:hint="eastAsia"/>
                <w:sz w:val="24"/>
              </w:rPr>
              <w:t>打好长江保护修复攻坚战役</w:t>
            </w:r>
            <w:r>
              <w:rPr>
                <w:rFonts w:hint="eastAsia"/>
                <w:sz w:val="24"/>
                <w:lang w:eastAsia="zh-CN"/>
              </w:rPr>
              <w:t>”“</w:t>
            </w:r>
            <w:r>
              <w:rPr>
                <w:rFonts w:hint="eastAsia"/>
                <w:sz w:val="24"/>
              </w:rPr>
              <w:t>打好城市黑臭水体治理攻坚战役</w:t>
            </w:r>
            <w:r>
              <w:rPr>
                <w:rFonts w:hint="eastAsia"/>
                <w:sz w:val="24"/>
                <w:lang w:eastAsia="zh-CN"/>
              </w:rPr>
              <w:t>”“</w:t>
            </w:r>
            <w:r>
              <w:rPr>
                <w:rFonts w:hint="eastAsia"/>
                <w:sz w:val="24"/>
              </w:rPr>
              <w:t>打好饮用水水源地环境问题整治攻坚战役</w:t>
            </w:r>
            <w:r>
              <w:rPr>
                <w:rFonts w:hint="eastAsia"/>
                <w:sz w:val="24"/>
                <w:lang w:eastAsia="zh-CN"/>
              </w:rPr>
              <w:t>”“</w:t>
            </w:r>
            <w:r>
              <w:rPr>
                <w:rFonts w:hint="eastAsia"/>
                <w:sz w:val="24"/>
              </w:rPr>
              <w:t>打好环保基础建设攻坚战役</w:t>
            </w:r>
            <w:r>
              <w:rPr>
                <w:rFonts w:hint="eastAsia"/>
                <w:sz w:val="24"/>
                <w:lang w:eastAsia="zh-CN"/>
              </w:rPr>
              <w:t>”“</w:t>
            </w:r>
            <w:r>
              <w:rPr>
                <w:rFonts w:hint="eastAsia"/>
                <w:sz w:val="24"/>
              </w:rPr>
              <w:t>打好农业农村污染治理攻坚战役</w:t>
            </w:r>
            <w:r>
              <w:rPr>
                <w:rFonts w:hint="eastAsia"/>
                <w:sz w:val="24"/>
                <w:lang w:eastAsia="zh-CN"/>
              </w:rPr>
              <w:t>”“</w:t>
            </w:r>
            <w:r>
              <w:rPr>
                <w:rFonts w:hint="eastAsia"/>
                <w:sz w:val="24"/>
              </w:rPr>
              <w:t>打好‘散乱污’企业整治攻坚战役”和“完善生态环境准入促进绿色发展”</w:t>
            </w:r>
            <w:r>
              <w:rPr>
                <w:sz w:val="24"/>
              </w:rPr>
              <w:t>9</w:t>
            </w:r>
            <w:r>
              <w:rPr>
                <w:rFonts w:hint="eastAsia"/>
                <w:sz w:val="24"/>
              </w:rPr>
              <w:t>个实施方案。</w:t>
            </w:r>
          </w:p>
          <w:p w14:paraId="728468FC">
            <w:pPr>
              <w:spacing w:line="360" w:lineRule="auto"/>
              <w:ind w:firstLine="480" w:firstLineChars="200"/>
              <w:rPr>
                <w:sz w:val="24"/>
              </w:rPr>
            </w:pPr>
            <w:r>
              <w:rPr>
                <w:sz w:val="24"/>
              </w:rPr>
              <w:t>本项目为锯材加工项目，项目将</w:t>
            </w:r>
            <w:r>
              <w:rPr>
                <w:rFonts w:hint="eastAsia"/>
                <w:sz w:val="24"/>
              </w:rPr>
              <w:t>修建</w:t>
            </w:r>
            <w:r>
              <w:rPr>
                <w:sz w:val="24"/>
              </w:rPr>
              <w:t>固废堆场，</w:t>
            </w:r>
            <w:r>
              <w:rPr>
                <w:rFonts w:hint="eastAsia"/>
                <w:sz w:val="24"/>
              </w:rPr>
              <w:t>对</w:t>
            </w:r>
            <w:r>
              <w:rPr>
                <w:sz w:val="24"/>
              </w:rPr>
              <w:t>厂区主要道路硬化并定期清扫或湿式清扫，及时收集清理堆场外道路上撒落的物料，符合“乐山市打赢蓝天保卫战”实施方案要求。</w:t>
            </w:r>
          </w:p>
          <w:p w14:paraId="6341F025">
            <w:pPr>
              <w:spacing w:line="360" w:lineRule="auto"/>
              <w:ind w:firstLine="480" w:firstLineChars="200"/>
              <w:rPr>
                <w:sz w:val="24"/>
              </w:rPr>
            </w:pPr>
            <w:r>
              <w:rPr>
                <w:b/>
                <w:sz w:val="24"/>
              </w:rPr>
              <w:fldChar w:fldCharType="begin"/>
            </w:r>
            <w:r>
              <w:rPr>
                <w:b/>
                <w:sz w:val="24"/>
              </w:rPr>
              <w:instrText xml:space="preserve"> = 2 \* GB3 </w:instrText>
            </w:r>
            <w:r>
              <w:rPr>
                <w:b/>
                <w:sz w:val="24"/>
              </w:rPr>
              <w:fldChar w:fldCharType="separate"/>
            </w:r>
            <w:r>
              <w:rPr>
                <w:rFonts w:hint="eastAsia" w:ascii="宋体" w:hAnsi="宋体" w:cs="宋体"/>
                <w:b/>
                <w:sz w:val="24"/>
              </w:rPr>
              <w:t>②</w:t>
            </w:r>
            <w:r>
              <w:rPr>
                <w:b/>
                <w:sz w:val="24"/>
              </w:rPr>
              <w:fldChar w:fldCharType="end"/>
            </w:r>
            <w:r>
              <w:rPr>
                <w:sz w:val="24"/>
              </w:rPr>
              <w:t xml:space="preserve"> </w:t>
            </w:r>
            <w:r>
              <w:rPr>
                <w:b/>
                <w:sz w:val="24"/>
              </w:rPr>
              <w:t>“</w:t>
            </w:r>
            <w:r>
              <w:rPr>
                <w:rFonts w:hint="eastAsia"/>
                <w:b/>
                <w:bCs/>
                <w:sz w:val="24"/>
              </w:rPr>
              <w:t>三线一单</w:t>
            </w:r>
            <w:r>
              <w:rPr>
                <w:b/>
                <w:bCs/>
                <w:sz w:val="24"/>
              </w:rPr>
              <w:t>”</w:t>
            </w:r>
            <w:r>
              <w:rPr>
                <w:rFonts w:hint="eastAsia"/>
                <w:b/>
                <w:bCs/>
                <w:sz w:val="24"/>
              </w:rPr>
              <w:t>符合性分析</w:t>
            </w:r>
          </w:p>
          <w:p w14:paraId="613DA581">
            <w:pPr>
              <w:spacing w:line="480" w:lineRule="exact"/>
              <w:ind w:firstLine="480" w:firstLineChars="200"/>
              <w:rPr>
                <w:sz w:val="24"/>
              </w:rPr>
            </w:pPr>
            <w:r>
              <w:rPr>
                <w:rFonts w:hint="eastAsia"/>
                <w:sz w:val="24"/>
              </w:rPr>
              <w:t>为更好</w:t>
            </w:r>
            <w:r>
              <w:rPr>
                <w:rFonts w:hint="eastAsia"/>
                <w:sz w:val="24"/>
                <w:lang w:eastAsia="zh-CN"/>
              </w:rPr>
              <w:t>地</w:t>
            </w:r>
            <w:r>
              <w:rPr>
                <w:rFonts w:hint="eastAsia"/>
                <w:sz w:val="24"/>
              </w:rPr>
              <w:t>建立项目环评审批与规划环评、现有项目环境管理、区域环境质量联动机制，更好地发挥环评制度从源头防范环境污染和生态破坏的作用，加快推进改善环境质量，环保部于 2016 年 10 月 27 日印发了《关于以改善环境质量为核心加强环境影响评价管理的通知》（环环评【2016】150 号），该《通知》明确环境影响评价需要落实“生态保护红线、环境质量底线、资源利用上限和环境准入负面清单”（简称“三线一单”）约束。本项目与《通知》的符合性分析见下表：</w:t>
            </w:r>
          </w:p>
          <w:p w14:paraId="19EB5FAD">
            <w:pPr>
              <w:widowControl/>
              <w:adjustRightInd w:val="0"/>
              <w:snapToGrid w:val="0"/>
              <w:spacing w:line="480" w:lineRule="exact"/>
              <w:ind w:right="92" w:rightChars="44"/>
              <w:jc w:val="center"/>
              <w:rPr>
                <w:rFonts w:eastAsia="黑体"/>
                <w:snapToGrid w:val="0"/>
                <w:kern w:val="0"/>
                <w:sz w:val="24"/>
              </w:rPr>
            </w:pPr>
            <w:r>
              <w:rPr>
                <w:rFonts w:eastAsia="黑体"/>
                <w:snapToGrid w:val="0"/>
                <w:kern w:val="0"/>
                <w:sz w:val="24"/>
              </w:rPr>
              <w:t>表1-1  项目“三线一单”符合性分析表</w:t>
            </w:r>
          </w:p>
          <w:tbl>
            <w:tblPr>
              <w:tblStyle w:val="25"/>
              <w:tblW w:w="8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6568"/>
              <w:gridCol w:w="946"/>
            </w:tblGrid>
            <w:tr w14:paraId="26CF2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0" w:type="dxa"/>
                  <w:tcBorders>
                    <w:top w:val="single" w:color="auto" w:sz="12" w:space="0"/>
                    <w:left w:val="single" w:color="auto" w:sz="12" w:space="0"/>
                  </w:tcBorders>
                  <w:vAlign w:val="center"/>
                </w:tcPr>
                <w:p w14:paraId="75C239A6">
                  <w:pPr>
                    <w:widowControl/>
                    <w:adjustRightInd w:val="0"/>
                    <w:jc w:val="center"/>
                    <w:rPr>
                      <w:b/>
                      <w:snapToGrid w:val="0"/>
                      <w:kern w:val="0"/>
                      <w:szCs w:val="21"/>
                    </w:rPr>
                  </w:pPr>
                  <w:r>
                    <w:rPr>
                      <w:b/>
                      <w:snapToGrid w:val="0"/>
                      <w:kern w:val="0"/>
                      <w:szCs w:val="21"/>
                    </w:rPr>
                    <w:t>“三线一单”</w:t>
                  </w:r>
                </w:p>
              </w:tc>
              <w:tc>
                <w:tcPr>
                  <w:tcW w:w="6568" w:type="dxa"/>
                  <w:tcBorders>
                    <w:top w:val="single" w:color="auto" w:sz="12" w:space="0"/>
                  </w:tcBorders>
                  <w:vAlign w:val="center"/>
                </w:tcPr>
                <w:p w14:paraId="372A9249">
                  <w:pPr>
                    <w:widowControl/>
                    <w:adjustRightInd w:val="0"/>
                    <w:jc w:val="center"/>
                    <w:rPr>
                      <w:b/>
                      <w:snapToGrid w:val="0"/>
                      <w:kern w:val="0"/>
                      <w:szCs w:val="21"/>
                    </w:rPr>
                  </w:pPr>
                  <w:r>
                    <w:rPr>
                      <w:b/>
                      <w:snapToGrid w:val="0"/>
                      <w:kern w:val="0"/>
                      <w:szCs w:val="21"/>
                    </w:rPr>
                    <w:t>符合性</w:t>
                  </w:r>
                </w:p>
              </w:tc>
              <w:tc>
                <w:tcPr>
                  <w:tcW w:w="946" w:type="dxa"/>
                  <w:tcBorders>
                    <w:top w:val="single" w:color="auto" w:sz="12" w:space="0"/>
                    <w:right w:val="single" w:color="auto" w:sz="12" w:space="0"/>
                  </w:tcBorders>
                  <w:vAlign w:val="center"/>
                </w:tcPr>
                <w:p w14:paraId="773AD375">
                  <w:pPr>
                    <w:widowControl/>
                    <w:adjustRightInd w:val="0"/>
                    <w:jc w:val="center"/>
                    <w:rPr>
                      <w:b/>
                      <w:snapToGrid w:val="0"/>
                      <w:kern w:val="0"/>
                      <w:szCs w:val="21"/>
                    </w:rPr>
                  </w:pPr>
                  <w:r>
                    <w:rPr>
                      <w:rFonts w:hint="eastAsia"/>
                      <w:b/>
                      <w:snapToGrid w:val="0"/>
                      <w:kern w:val="0"/>
                      <w:szCs w:val="21"/>
                    </w:rPr>
                    <w:t>备注</w:t>
                  </w:r>
                </w:p>
              </w:tc>
            </w:tr>
            <w:tr w14:paraId="65BE0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0" w:type="dxa"/>
                  <w:tcBorders>
                    <w:left w:val="single" w:color="auto" w:sz="12" w:space="0"/>
                  </w:tcBorders>
                  <w:vAlign w:val="center"/>
                </w:tcPr>
                <w:p w14:paraId="73243E91">
                  <w:pPr>
                    <w:widowControl/>
                    <w:adjustRightInd w:val="0"/>
                    <w:jc w:val="center"/>
                    <w:rPr>
                      <w:snapToGrid w:val="0"/>
                      <w:kern w:val="0"/>
                      <w:szCs w:val="21"/>
                    </w:rPr>
                  </w:pPr>
                  <w:r>
                    <w:rPr>
                      <w:snapToGrid w:val="0"/>
                      <w:kern w:val="0"/>
                      <w:szCs w:val="21"/>
                    </w:rPr>
                    <w:t>生态保护</w:t>
                  </w:r>
                  <w:r>
                    <w:rPr>
                      <w:rFonts w:hint="eastAsia"/>
                      <w:snapToGrid w:val="0"/>
                      <w:kern w:val="0"/>
                      <w:szCs w:val="21"/>
                    </w:rPr>
                    <w:t>红线</w:t>
                  </w:r>
                </w:p>
              </w:tc>
              <w:tc>
                <w:tcPr>
                  <w:tcW w:w="6568" w:type="dxa"/>
                  <w:vAlign w:val="center"/>
                </w:tcPr>
                <w:p w14:paraId="073CC8DE">
                  <w:pPr>
                    <w:widowControl/>
                    <w:adjustRightInd w:val="0"/>
                    <w:jc w:val="left"/>
                    <w:rPr>
                      <w:snapToGrid w:val="0"/>
                      <w:kern w:val="0"/>
                      <w:szCs w:val="21"/>
                    </w:rPr>
                  </w:pPr>
                  <w:r>
                    <w:rPr>
                      <w:snapToGrid w:val="0"/>
                      <w:kern w:val="0"/>
                      <w:szCs w:val="21"/>
                    </w:rPr>
                    <w:t>本项目</w:t>
                  </w:r>
                  <w:r>
                    <w:rPr>
                      <w:rFonts w:hint="eastAsia"/>
                      <w:snapToGrid w:val="0"/>
                      <w:kern w:val="0"/>
                      <w:szCs w:val="21"/>
                    </w:rPr>
                    <w:t>位于峨边彝族自治县平等乡观慈村三组（中心坐标东经：103.5304°，北纬：29.1505°，详见附图1），根据</w:t>
                  </w:r>
                  <w:r>
                    <w:rPr>
                      <w:rFonts w:hint="eastAsia"/>
                      <w:snapToGrid w:val="0"/>
                      <w:kern w:val="0"/>
                      <w:szCs w:val="21"/>
                      <w:lang w:eastAsia="zh-CN"/>
                    </w:rPr>
                    <w:t>中华人民共和国</w:t>
                  </w:r>
                  <w:r>
                    <w:rPr>
                      <w:rFonts w:hint="eastAsia"/>
                      <w:snapToGrid w:val="0"/>
                      <w:kern w:val="0"/>
                      <w:szCs w:val="21"/>
                    </w:rPr>
                    <w:t>国家发展和改革委员会 第 29 号令 《</w:t>
                  </w:r>
                  <w:r>
                    <w:rPr>
                      <w:rFonts w:hint="eastAsia"/>
                      <w:snapToGrid w:val="0"/>
                      <w:kern w:val="0"/>
                      <w:szCs w:val="21"/>
                      <w:lang w:eastAsia="zh-CN"/>
                    </w:rPr>
                    <w:t>国家</w:t>
                  </w:r>
                  <w:r>
                    <w:rPr>
                      <w:rFonts w:hint="eastAsia"/>
                      <w:snapToGrid w:val="0"/>
                      <w:kern w:val="0"/>
                      <w:szCs w:val="21"/>
                    </w:rPr>
                    <w:t>产业结构调整指导目录（2019年本）》，本项目属于允许类，符合国家现行的产业政策。</w:t>
                  </w:r>
                </w:p>
                <w:p w14:paraId="094F6D50">
                  <w:pPr>
                    <w:widowControl/>
                    <w:adjustRightInd w:val="0"/>
                    <w:jc w:val="left"/>
                    <w:rPr>
                      <w:snapToGrid w:val="0"/>
                      <w:kern w:val="0"/>
                      <w:szCs w:val="21"/>
                    </w:rPr>
                  </w:pPr>
                  <w:r>
                    <w:rPr>
                      <w:rFonts w:hint="eastAsia"/>
                      <w:snapToGrid w:val="0"/>
                      <w:kern w:val="0"/>
                      <w:szCs w:val="21"/>
                    </w:rPr>
                    <w:t>根据《乐山市生态红线图》，项目建设不涉及划定的生态红线区域，项目建设符合乐山市生态红线图及实施意见的相关要求。</w:t>
                  </w:r>
                </w:p>
              </w:tc>
              <w:tc>
                <w:tcPr>
                  <w:tcW w:w="946" w:type="dxa"/>
                  <w:tcBorders>
                    <w:right w:val="single" w:color="auto" w:sz="12" w:space="0"/>
                  </w:tcBorders>
                  <w:vAlign w:val="center"/>
                </w:tcPr>
                <w:p w14:paraId="47215B72">
                  <w:pPr>
                    <w:widowControl/>
                    <w:adjustRightInd w:val="0"/>
                    <w:jc w:val="left"/>
                    <w:rPr>
                      <w:snapToGrid w:val="0"/>
                      <w:kern w:val="0"/>
                      <w:szCs w:val="21"/>
                    </w:rPr>
                  </w:pPr>
                  <w:r>
                    <w:rPr>
                      <w:rFonts w:hint="eastAsia"/>
                      <w:snapToGrid w:val="0"/>
                      <w:kern w:val="0"/>
                      <w:szCs w:val="21"/>
                    </w:rPr>
                    <w:t>符合</w:t>
                  </w:r>
                </w:p>
              </w:tc>
            </w:tr>
            <w:tr w14:paraId="4672D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0" w:type="dxa"/>
                  <w:tcBorders>
                    <w:left w:val="single" w:color="auto" w:sz="12" w:space="0"/>
                  </w:tcBorders>
                  <w:vAlign w:val="center"/>
                </w:tcPr>
                <w:p w14:paraId="45F50818">
                  <w:pPr>
                    <w:widowControl/>
                    <w:adjustRightInd w:val="0"/>
                    <w:jc w:val="center"/>
                    <w:rPr>
                      <w:snapToGrid w:val="0"/>
                      <w:kern w:val="0"/>
                      <w:szCs w:val="21"/>
                    </w:rPr>
                  </w:pPr>
                  <w:r>
                    <w:rPr>
                      <w:snapToGrid w:val="0"/>
                      <w:kern w:val="0"/>
                      <w:szCs w:val="21"/>
                    </w:rPr>
                    <w:t>环境质量</w:t>
                  </w:r>
                  <w:r>
                    <w:rPr>
                      <w:rFonts w:hint="eastAsia"/>
                      <w:snapToGrid w:val="0"/>
                      <w:kern w:val="0"/>
                      <w:szCs w:val="21"/>
                    </w:rPr>
                    <w:t>底线</w:t>
                  </w:r>
                </w:p>
              </w:tc>
              <w:tc>
                <w:tcPr>
                  <w:tcW w:w="6568" w:type="dxa"/>
                  <w:vAlign w:val="center"/>
                </w:tcPr>
                <w:p w14:paraId="64445BC1">
                  <w:pPr>
                    <w:widowControl/>
                    <w:adjustRightInd w:val="0"/>
                    <w:jc w:val="left"/>
                    <w:rPr>
                      <w:snapToGrid w:val="0"/>
                      <w:kern w:val="0"/>
                      <w:szCs w:val="21"/>
                    </w:rPr>
                  </w:pPr>
                  <w:r>
                    <w:rPr>
                      <w:rFonts w:hint="eastAsia"/>
                      <w:snapToGrid w:val="0"/>
                      <w:kern w:val="0"/>
                      <w:szCs w:val="21"/>
                    </w:rPr>
                    <w:t>根据《乐山市201</w:t>
                  </w:r>
                  <w:r>
                    <w:rPr>
                      <w:snapToGrid w:val="0"/>
                      <w:kern w:val="0"/>
                      <w:szCs w:val="21"/>
                    </w:rPr>
                    <w:t>9</w:t>
                  </w:r>
                  <w:r>
                    <w:rPr>
                      <w:rFonts w:hint="eastAsia"/>
                      <w:snapToGrid w:val="0"/>
                      <w:kern w:val="0"/>
                      <w:szCs w:val="21"/>
                    </w:rPr>
                    <w:t>年环境质量公报》，项目所在区域空气质量不达标。项目所在区域内环境空气中二氧化硫、二氧化氮、臭氧和一氧化碳年平均浓度优于国家环境空气二级，细颗粒物和可吸入颗粒物平均浓度均超过国家环境空气二级标准。由《峨边彝族自治县环境空气质量限期达标规划（2018年</w:t>
                  </w:r>
                  <w:r>
                    <w:rPr>
                      <w:rFonts w:hint="eastAsia"/>
                      <w:snapToGrid w:val="0"/>
                      <w:kern w:val="0"/>
                      <w:szCs w:val="21"/>
                      <w:lang w:eastAsia="zh-CN"/>
                    </w:rPr>
                    <w:t>—</w:t>
                  </w:r>
                  <w:r>
                    <w:rPr>
                      <w:rFonts w:hint="eastAsia"/>
                      <w:snapToGrid w:val="0"/>
                      <w:kern w:val="0"/>
                      <w:szCs w:val="21"/>
                    </w:rPr>
                    <w:t>2025年）》，力争到2025年，PM</w:t>
                  </w:r>
                  <w:r>
                    <w:rPr>
                      <w:rFonts w:hint="eastAsia"/>
                      <w:snapToGrid w:val="0"/>
                      <w:kern w:val="0"/>
                      <w:szCs w:val="21"/>
                      <w:vertAlign w:val="subscript"/>
                    </w:rPr>
                    <w:t>10</w:t>
                  </w:r>
                  <w:r>
                    <w:rPr>
                      <w:rFonts w:hint="eastAsia"/>
                      <w:snapToGrid w:val="0"/>
                      <w:kern w:val="0"/>
                      <w:szCs w:val="21"/>
                    </w:rPr>
                    <w:t>控制在70μg/m</w:t>
                  </w:r>
                  <w:r>
                    <w:rPr>
                      <w:rFonts w:hint="eastAsia"/>
                      <w:snapToGrid w:val="0"/>
                      <w:kern w:val="0"/>
                      <w:szCs w:val="21"/>
                      <w:vertAlign w:val="superscript"/>
                    </w:rPr>
                    <w:t>3</w:t>
                  </w:r>
                  <w:r>
                    <w:rPr>
                      <w:rFonts w:hint="eastAsia"/>
                      <w:snapToGrid w:val="0"/>
                      <w:kern w:val="0"/>
                      <w:szCs w:val="21"/>
                    </w:rPr>
                    <w:t>以内，PM</w:t>
                  </w:r>
                  <w:r>
                    <w:rPr>
                      <w:rFonts w:hint="eastAsia"/>
                      <w:snapToGrid w:val="0"/>
                      <w:kern w:val="0"/>
                      <w:szCs w:val="21"/>
                      <w:vertAlign w:val="subscript"/>
                    </w:rPr>
                    <w:t>2.5</w:t>
                  </w:r>
                  <w:r>
                    <w:rPr>
                      <w:rFonts w:hint="eastAsia"/>
                      <w:snapToGrid w:val="0"/>
                      <w:kern w:val="0"/>
                      <w:szCs w:val="21"/>
                    </w:rPr>
                    <w:t>控制在35μg/m</w:t>
                  </w:r>
                  <w:r>
                    <w:rPr>
                      <w:rFonts w:hint="eastAsia"/>
                      <w:snapToGrid w:val="0"/>
                      <w:kern w:val="0"/>
                      <w:szCs w:val="21"/>
                      <w:vertAlign w:val="superscript"/>
                    </w:rPr>
                    <w:t>3</w:t>
                  </w:r>
                  <w:r>
                    <w:rPr>
                      <w:rFonts w:hint="eastAsia"/>
                      <w:snapToGrid w:val="0"/>
                      <w:kern w:val="0"/>
                      <w:szCs w:val="21"/>
                    </w:rPr>
                    <w:t>以内，达到国家二级标准要求；</w:t>
                  </w:r>
                  <w:r>
                    <w:rPr>
                      <w:snapToGrid w:val="0"/>
                      <w:kern w:val="0"/>
                      <w:szCs w:val="21"/>
                    </w:rPr>
                    <w:t>根据现状监测区域声环境质量</w:t>
                  </w:r>
                  <w:r>
                    <w:rPr>
                      <w:rFonts w:hint="eastAsia"/>
                      <w:snapToGrid w:val="0"/>
                      <w:kern w:val="0"/>
                      <w:szCs w:val="21"/>
                    </w:rPr>
                    <w:t>昼间监测值</w:t>
                  </w:r>
                  <w:r>
                    <w:rPr>
                      <w:snapToGrid w:val="0"/>
                      <w:kern w:val="0"/>
                      <w:szCs w:val="21"/>
                    </w:rPr>
                    <w:t>满足《声环境质量标准》（GB3096-2008）中的2类标准限值；项目为</w:t>
                  </w:r>
                  <w:r>
                    <w:rPr>
                      <w:rFonts w:hint="eastAsia"/>
                      <w:snapToGrid w:val="0"/>
                      <w:kern w:val="0"/>
                      <w:szCs w:val="21"/>
                    </w:rPr>
                    <w:t>非金属废料和碎屑加工处理</w:t>
                  </w:r>
                  <w:r>
                    <w:rPr>
                      <w:snapToGrid w:val="0"/>
                      <w:kern w:val="0"/>
                      <w:szCs w:val="21"/>
                    </w:rPr>
                    <w:t>，无废水外排；固废均得到合理处置，处置率为100%。项目的建设不触及环境质量底线。</w:t>
                  </w:r>
                </w:p>
              </w:tc>
              <w:tc>
                <w:tcPr>
                  <w:tcW w:w="946" w:type="dxa"/>
                  <w:tcBorders>
                    <w:right w:val="single" w:color="auto" w:sz="12" w:space="0"/>
                  </w:tcBorders>
                  <w:vAlign w:val="center"/>
                </w:tcPr>
                <w:p w14:paraId="2D80EF8E">
                  <w:pPr>
                    <w:widowControl/>
                    <w:adjustRightInd w:val="0"/>
                    <w:jc w:val="left"/>
                    <w:rPr>
                      <w:snapToGrid w:val="0"/>
                      <w:kern w:val="0"/>
                      <w:szCs w:val="21"/>
                    </w:rPr>
                  </w:pPr>
                  <w:r>
                    <w:rPr>
                      <w:rFonts w:hint="eastAsia"/>
                      <w:snapToGrid w:val="0"/>
                      <w:kern w:val="0"/>
                      <w:szCs w:val="21"/>
                    </w:rPr>
                    <w:t>符合</w:t>
                  </w:r>
                </w:p>
              </w:tc>
            </w:tr>
            <w:tr w14:paraId="31AB1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840" w:type="dxa"/>
                  <w:tcBorders>
                    <w:left w:val="single" w:color="auto" w:sz="12" w:space="0"/>
                  </w:tcBorders>
                  <w:vAlign w:val="center"/>
                </w:tcPr>
                <w:p w14:paraId="3EE4BBA3">
                  <w:pPr>
                    <w:widowControl/>
                    <w:adjustRightInd w:val="0"/>
                    <w:jc w:val="center"/>
                    <w:rPr>
                      <w:snapToGrid w:val="0"/>
                      <w:kern w:val="0"/>
                      <w:szCs w:val="21"/>
                    </w:rPr>
                  </w:pPr>
                  <w:r>
                    <w:rPr>
                      <w:snapToGrid w:val="0"/>
                      <w:kern w:val="0"/>
                      <w:szCs w:val="21"/>
                    </w:rPr>
                    <w:t>资源利用上线</w:t>
                  </w:r>
                </w:p>
              </w:tc>
              <w:tc>
                <w:tcPr>
                  <w:tcW w:w="6568" w:type="dxa"/>
                  <w:vAlign w:val="center"/>
                </w:tcPr>
                <w:p w14:paraId="67FF3C59">
                  <w:pPr>
                    <w:widowControl/>
                    <w:adjustRightInd w:val="0"/>
                    <w:jc w:val="center"/>
                    <w:rPr>
                      <w:snapToGrid w:val="0"/>
                      <w:kern w:val="0"/>
                      <w:szCs w:val="21"/>
                    </w:rPr>
                  </w:pPr>
                  <w:r>
                    <w:rPr>
                      <w:snapToGrid w:val="0"/>
                      <w:kern w:val="0"/>
                      <w:szCs w:val="21"/>
                    </w:rPr>
                    <w:t>本项目</w:t>
                  </w:r>
                  <w:r>
                    <w:rPr>
                      <w:rFonts w:hint="eastAsia"/>
                      <w:snapToGrid w:val="0"/>
                      <w:kern w:val="0"/>
                      <w:szCs w:val="21"/>
                    </w:rPr>
                    <w:t>能</w:t>
                  </w:r>
                  <w:r>
                    <w:rPr>
                      <w:snapToGrid w:val="0"/>
                      <w:kern w:val="0"/>
                      <w:szCs w:val="21"/>
                    </w:rPr>
                    <w:t>源消耗合理分配，不触及资源利用</w:t>
                  </w:r>
                  <w:r>
                    <w:rPr>
                      <w:rFonts w:hint="eastAsia"/>
                      <w:snapToGrid w:val="0"/>
                      <w:kern w:val="0"/>
                      <w:szCs w:val="21"/>
                      <w:lang w:eastAsia="zh-CN"/>
                    </w:rPr>
                    <w:t>上限</w:t>
                  </w:r>
                  <w:r>
                    <w:rPr>
                      <w:snapToGrid w:val="0"/>
                      <w:kern w:val="0"/>
                      <w:szCs w:val="21"/>
                    </w:rPr>
                    <w:t>。</w:t>
                  </w:r>
                </w:p>
              </w:tc>
              <w:tc>
                <w:tcPr>
                  <w:tcW w:w="946" w:type="dxa"/>
                  <w:tcBorders>
                    <w:right w:val="single" w:color="auto" w:sz="12" w:space="0"/>
                  </w:tcBorders>
                  <w:vAlign w:val="center"/>
                </w:tcPr>
                <w:p w14:paraId="45BAFDE5">
                  <w:pPr>
                    <w:widowControl/>
                    <w:adjustRightInd w:val="0"/>
                    <w:jc w:val="center"/>
                    <w:rPr>
                      <w:snapToGrid w:val="0"/>
                      <w:kern w:val="0"/>
                      <w:szCs w:val="21"/>
                    </w:rPr>
                  </w:pPr>
                  <w:r>
                    <w:rPr>
                      <w:rFonts w:hint="eastAsia"/>
                      <w:snapToGrid w:val="0"/>
                      <w:kern w:val="0"/>
                      <w:szCs w:val="21"/>
                    </w:rPr>
                    <w:t>符合</w:t>
                  </w:r>
                </w:p>
              </w:tc>
            </w:tr>
            <w:tr w14:paraId="09B86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840" w:type="dxa"/>
                  <w:tcBorders>
                    <w:left w:val="single" w:color="auto" w:sz="12" w:space="0"/>
                    <w:bottom w:val="single" w:color="auto" w:sz="12" w:space="0"/>
                  </w:tcBorders>
                  <w:vAlign w:val="center"/>
                </w:tcPr>
                <w:p w14:paraId="0AF88AE9">
                  <w:pPr>
                    <w:widowControl/>
                    <w:adjustRightInd w:val="0"/>
                    <w:jc w:val="center"/>
                    <w:rPr>
                      <w:snapToGrid w:val="0"/>
                      <w:kern w:val="0"/>
                      <w:szCs w:val="21"/>
                    </w:rPr>
                  </w:pPr>
                  <w:r>
                    <w:rPr>
                      <w:snapToGrid w:val="0"/>
                      <w:kern w:val="0"/>
                      <w:szCs w:val="21"/>
                    </w:rPr>
                    <w:t>负面清单</w:t>
                  </w:r>
                </w:p>
              </w:tc>
              <w:tc>
                <w:tcPr>
                  <w:tcW w:w="6568" w:type="dxa"/>
                  <w:tcBorders>
                    <w:bottom w:val="single" w:color="auto" w:sz="12" w:space="0"/>
                  </w:tcBorders>
                  <w:vAlign w:val="center"/>
                </w:tcPr>
                <w:p w14:paraId="1D653C1C">
                  <w:pPr>
                    <w:widowControl/>
                    <w:adjustRightInd w:val="0"/>
                    <w:jc w:val="left"/>
                    <w:rPr>
                      <w:snapToGrid w:val="0"/>
                      <w:kern w:val="0"/>
                      <w:szCs w:val="21"/>
                    </w:rPr>
                  </w:pPr>
                  <w:r>
                    <w:rPr>
                      <w:snapToGrid w:val="0"/>
                      <w:kern w:val="0"/>
                      <w:szCs w:val="21"/>
                    </w:rPr>
                    <w:t>本项目属于</w:t>
                  </w:r>
                  <w:r>
                    <w:rPr>
                      <w:rFonts w:hint="eastAsia"/>
                      <w:snapToGrid w:val="0"/>
                      <w:kern w:val="0"/>
                      <w:szCs w:val="21"/>
                    </w:rPr>
                    <w:t>锯材加工项目</w:t>
                  </w:r>
                  <w:r>
                    <w:rPr>
                      <w:snapToGrid w:val="0"/>
                      <w:kern w:val="0"/>
                      <w:szCs w:val="21"/>
                    </w:rPr>
                    <w:t>，</w:t>
                  </w:r>
                  <w:r>
                    <w:rPr>
                      <w:rFonts w:hint="eastAsia"/>
                      <w:snapToGrid w:val="0"/>
                      <w:kern w:val="0"/>
                      <w:szCs w:val="21"/>
                    </w:rPr>
                    <w:t>符合现行产业政策，符合《乐山市建设项目环境准入负面清单</w:t>
                  </w:r>
                  <w:r>
                    <w:rPr>
                      <w:rFonts w:hint="eastAsia"/>
                      <w:snapToGrid w:val="0"/>
                      <w:kern w:val="0"/>
                      <w:szCs w:val="21"/>
                      <w:lang w:eastAsia="zh-CN"/>
                    </w:rPr>
                    <w:t>（</w:t>
                  </w:r>
                  <w:r>
                    <w:rPr>
                      <w:rFonts w:hint="eastAsia"/>
                      <w:snapToGrid w:val="0"/>
                      <w:kern w:val="0"/>
                      <w:szCs w:val="21"/>
                    </w:rPr>
                    <w:t>试行</w:t>
                  </w:r>
                  <w:r>
                    <w:rPr>
                      <w:rFonts w:hint="eastAsia"/>
                      <w:snapToGrid w:val="0"/>
                      <w:kern w:val="0"/>
                      <w:szCs w:val="21"/>
                      <w:lang w:eastAsia="zh-CN"/>
                    </w:rPr>
                    <w:t>）</w:t>
                  </w:r>
                  <w:r>
                    <w:rPr>
                      <w:rFonts w:hint="eastAsia"/>
                      <w:snapToGrid w:val="0"/>
                      <w:kern w:val="0"/>
                      <w:szCs w:val="21"/>
                    </w:rPr>
                    <w:t>》</w:t>
                  </w:r>
                  <w:r>
                    <w:rPr>
                      <w:snapToGrid w:val="0"/>
                      <w:kern w:val="0"/>
                      <w:szCs w:val="21"/>
                    </w:rPr>
                    <w:t>。</w:t>
                  </w:r>
                </w:p>
              </w:tc>
              <w:tc>
                <w:tcPr>
                  <w:tcW w:w="946" w:type="dxa"/>
                  <w:tcBorders>
                    <w:bottom w:val="single" w:color="auto" w:sz="12" w:space="0"/>
                    <w:right w:val="single" w:color="auto" w:sz="12" w:space="0"/>
                  </w:tcBorders>
                  <w:vAlign w:val="center"/>
                </w:tcPr>
                <w:p w14:paraId="4FBFBCBD">
                  <w:pPr>
                    <w:widowControl/>
                    <w:adjustRightInd w:val="0"/>
                    <w:jc w:val="center"/>
                    <w:rPr>
                      <w:snapToGrid w:val="0"/>
                      <w:kern w:val="0"/>
                      <w:szCs w:val="21"/>
                    </w:rPr>
                  </w:pPr>
                  <w:r>
                    <w:rPr>
                      <w:rFonts w:hint="eastAsia"/>
                      <w:snapToGrid w:val="0"/>
                      <w:kern w:val="0"/>
                      <w:szCs w:val="21"/>
                    </w:rPr>
                    <w:t>符合</w:t>
                  </w:r>
                </w:p>
              </w:tc>
            </w:tr>
          </w:tbl>
          <w:p w14:paraId="2C6FD2EA">
            <w:pPr>
              <w:spacing w:line="360" w:lineRule="auto"/>
              <w:ind w:firstLine="480" w:firstLineChars="200"/>
              <w:rPr>
                <w:sz w:val="24"/>
              </w:rPr>
            </w:pPr>
            <w:r>
              <w:rPr>
                <w:rFonts w:hint="eastAsia"/>
                <w:sz w:val="24"/>
              </w:rPr>
              <w:t>综上，本项目不涉及饮用水源、生态保护区、自然保护区、风景旅游区等环境敏感区，项目符合当地发展规划。</w:t>
            </w:r>
          </w:p>
          <w:p w14:paraId="58FB1826">
            <w:pPr>
              <w:spacing w:line="276" w:lineRule="auto"/>
              <w:rPr>
                <w:b/>
                <w:sz w:val="28"/>
                <w:szCs w:val="28"/>
              </w:rPr>
            </w:pPr>
            <w:r>
              <w:rPr>
                <w:rFonts w:hint="eastAsia"/>
                <w:b/>
                <w:sz w:val="28"/>
                <w:szCs w:val="28"/>
              </w:rPr>
              <w:t>四、项目选址和总图布置合理性分析</w:t>
            </w:r>
          </w:p>
          <w:p w14:paraId="33DA4C09">
            <w:pPr>
              <w:spacing w:line="360" w:lineRule="auto"/>
              <w:ind w:firstLine="470" w:firstLineChars="196"/>
              <w:rPr>
                <w:bCs/>
                <w:sz w:val="24"/>
              </w:rPr>
            </w:pPr>
            <w:r>
              <w:rPr>
                <w:bCs/>
                <w:sz w:val="24"/>
              </w:rPr>
              <w:t>1</w:t>
            </w:r>
            <w:r>
              <w:rPr>
                <w:rFonts w:hint="eastAsia"/>
                <w:bCs/>
                <w:sz w:val="24"/>
              </w:rPr>
              <w:t>、项目外环境相容性分析</w:t>
            </w:r>
          </w:p>
          <w:p w14:paraId="58A3D421">
            <w:pPr>
              <w:spacing w:line="360" w:lineRule="auto"/>
              <w:ind w:firstLine="470" w:firstLineChars="196"/>
              <w:rPr>
                <w:bCs/>
                <w:sz w:val="24"/>
              </w:rPr>
            </w:pPr>
            <w:r>
              <w:rPr>
                <w:rFonts w:hint="eastAsia"/>
                <w:bCs/>
                <w:sz w:val="24"/>
              </w:rPr>
              <w:t>项目选址位于峨边彝族自治县平等乡观慈村三组（中心坐标东经：103.5304°，北纬：29.1505°），</w:t>
            </w:r>
            <w:r>
              <w:rPr>
                <w:bCs/>
                <w:sz w:val="24"/>
              </w:rPr>
              <w:t>项目</w:t>
            </w:r>
            <w:r>
              <w:rPr>
                <w:rFonts w:hint="eastAsia"/>
                <w:bCs/>
                <w:sz w:val="24"/>
              </w:rPr>
              <w:t>原为木材堆料场，</w:t>
            </w:r>
            <w:r>
              <w:rPr>
                <w:bCs/>
                <w:sz w:val="24"/>
              </w:rPr>
              <w:t>施工场地为已平整用地</w:t>
            </w:r>
            <w:r>
              <w:rPr>
                <w:rFonts w:hint="eastAsia"/>
                <w:bCs/>
                <w:sz w:val="24"/>
              </w:rPr>
              <w:t>，新建生产厂房、仓库及附属用房，办公及生活用房依托自有住房。项目外环境关系简单，除项目西南侧距离厂界约35m为</w:t>
            </w:r>
            <w:r>
              <w:rPr>
                <w:rFonts w:hint="eastAsia"/>
                <w:bCs/>
                <w:sz w:val="24"/>
                <w:lang w:eastAsia="zh-CN"/>
              </w:rPr>
              <w:t>自有住房</w:t>
            </w:r>
            <w:r>
              <w:rPr>
                <w:rFonts w:hint="eastAsia"/>
                <w:bCs/>
                <w:sz w:val="24"/>
              </w:rPr>
              <w:t>外，周边皆为林地，周边皆为林地，项目临近公路，周边无特殊敏感点。</w:t>
            </w:r>
          </w:p>
          <w:p w14:paraId="33FD0648">
            <w:pPr>
              <w:spacing w:line="360" w:lineRule="auto"/>
              <w:ind w:firstLine="470" w:firstLineChars="196"/>
              <w:rPr>
                <w:bCs/>
                <w:sz w:val="24"/>
              </w:rPr>
            </w:pPr>
            <w:r>
              <w:rPr>
                <w:rFonts w:hint="eastAsia"/>
                <w:bCs/>
                <w:sz w:val="24"/>
              </w:rPr>
              <w:t>从外环境来看，项目周边无主要敏感点，本项目运营后主要影响为噪声和废气，项目加工生产区周边无住户敏感点，厂区除加工区外其余皆布置为原料及成品堆场，经治理后可以实现达标排放，通过距离和阻隔衰减，对其的废气影响将进一步削弱；噪声经距离衰减和林地隔声后对其影响较小。外环境关系图详见附图</w:t>
            </w:r>
            <w:r>
              <w:rPr>
                <w:bCs/>
                <w:sz w:val="24"/>
              </w:rPr>
              <w:t>3</w:t>
            </w:r>
            <w:r>
              <w:rPr>
                <w:rFonts w:hint="eastAsia"/>
                <w:bCs/>
                <w:sz w:val="24"/>
              </w:rPr>
              <w:t>。项目周边敏感点较少，故项目外环境对本项目不制约，项目与外环境相容。</w:t>
            </w:r>
          </w:p>
          <w:p w14:paraId="0CE6C4D0">
            <w:pPr>
              <w:spacing w:line="360" w:lineRule="auto"/>
              <w:ind w:firstLine="470" w:firstLineChars="196"/>
              <w:rPr>
                <w:sz w:val="24"/>
              </w:rPr>
            </w:pPr>
            <w:r>
              <w:rPr>
                <w:sz w:val="24"/>
              </w:rPr>
              <w:t>2</w:t>
            </w:r>
            <w:r>
              <w:rPr>
                <w:rFonts w:hint="eastAsia"/>
                <w:sz w:val="24"/>
              </w:rPr>
              <w:t>、平面布置合理性分析</w:t>
            </w:r>
          </w:p>
          <w:p w14:paraId="37F0E455">
            <w:pPr>
              <w:spacing w:line="360" w:lineRule="auto"/>
              <w:ind w:firstLine="470" w:firstLineChars="196"/>
              <w:rPr>
                <w:bCs/>
                <w:sz w:val="24"/>
              </w:rPr>
            </w:pPr>
            <w:r>
              <w:rPr>
                <w:rFonts w:hint="eastAsia"/>
                <w:bCs/>
                <w:sz w:val="24"/>
              </w:rPr>
              <w:t>结合同类型项目，项目生产区平面布局应满足以下原则：</w:t>
            </w:r>
            <w:r>
              <w:rPr>
                <w:bCs/>
                <w:sz w:val="24"/>
              </w:rPr>
              <w:t>i</w:t>
            </w:r>
            <w:r>
              <w:rPr>
                <w:rFonts w:hint="eastAsia"/>
                <w:bCs/>
                <w:sz w:val="24"/>
              </w:rPr>
              <w:t>、“因地制宜、就地取材”的原则，在满足生产工艺流程和物流、车流、人流的合理安排；功能分区明确、合理、得当，布局紧凑，节约用地，管理方便；</w:t>
            </w:r>
            <w:r>
              <w:rPr>
                <w:bCs/>
                <w:sz w:val="24"/>
              </w:rPr>
              <w:t>ii</w:t>
            </w:r>
            <w:r>
              <w:rPr>
                <w:rFonts w:hint="eastAsia"/>
                <w:bCs/>
                <w:sz w:val="24"/>
              </w:rPr>
              <w:t>、生产区与外界保持良好的交通联系；</w:t>
            </w:r>
            <w:r>
              <w:rPr>
                <w:rFonts w:hint="eastAsia"/>
                <w:bCs/>
                <w:sz w:val="24"/>
                <w:lang w:eastAsia="zh-CN"/>
              </w:rPr>
              <w:t>Ⅲ</w:t>
            </w:r>
            <w:r>
              <w:rPr>
                <w:rFonts w:hint="eastAsia"/>
                <w:bCs/>
                <w:sz w:val="24"/>
              </w:rPr>
              <w:t>、建筑物布置应考虑当地的景观，与周边环境相协调；</w:t>
            </w:r>
            <w:r>
              <w:rPr>
                <w:rFonts w:hint="eastAsia"/>
                <w:bCs/>
                <w:sz w:val="24"/>
                <w:lang w:eastAsia="zh-CN"/>
              </w:rPr>
              <w:t>Ⅳ</w:t>
            </w:r>
            <w:r>
              <w:rPr>
                <w:rFonts w:hint="eastAsia"/>
                <w:bCs/>
                <w:sz w:val="24"/>
              </w:rPr>
              <w:t>、充分利用当地给水、供电、通讯等基础设施。</w:t>
            </w:r>
          </w:p>
          <w:p w14:paraId="2F7469E5">
            <w:pPr>
              <w:spacing w:line="360" w:lineRule="auto"/>
              <w:ind w:right="77" w:rightChars="37" w:firstLine="480" w:firstLineChars="200"/>
              <w:rPr>
                <w:sz w:val="24"/>
              </w:rPr>
            </w:pPr>
            <w:r>
              <w:rPr>
                <w:rFonts w:hint="eastAsia"/>
                <w:sz w:val="24"/>
              </w:rPr>
              <w:t>在上述原则下，项目结合地形而建，厂区呈不规则形状，生产区整体布局简单，厂区进出场大门位于厂区西南角，项目西部从北到南依次布设为：成品仓库、附属用房、办公及生活区，中部区域主要布置为加工区、成品仓库，其余部分主要布置为原料堆场及一般固废堆场。各个部分根据功能分开，遵循闹静分开的原则。本项目在总体布局上，遵循</w:t>
            </w:r>
            <w:r>
              <w:rPr>
                <w:sz w:val="24"/>
              </w:rPr>
              <w:t>“</w:t>
            </w:r>
            <w:r>
              <w:rPr>
                <w:rFonts w:hint="eastAsia"/>
                <w:sz w:val="24"/>
              </w:rPr>
              <w:t>分区合理、工艺流畅、物流短捷；突出环保与安全</w:t>
            </w:r>
            <w:r>
              <w:rPr>
                <w:sz w:val="24"/>
              </w:rPr>
              <w:t>”</w:t>
            </w:r>
            <w:r>
              <w:rPr>
                <w:rFonts w:hint="eastAsia"/>
                <w:sz w:val="24"/>
              </w:rPr>
              <w:t>的原则，结合场地的用地条件及生产工艺，综合考虑环保、消防、劳动卫生等要求，进行了平面布置统筹安排，总图布置从环保角度合理</w:t>
            </w:r>
            <w:r>
              <w:rPr>
                <w:rFonts w:hint="eastAsia"/>
                <w:bCs/>
                <w:sz w:val="24"/>
              </w:rPr>
              <w:t>。详见</w:t>
            </w:r>
            <w:r>
              <w:rPr>
                <w:rFonts w:hint="eastAsia"/>
                <w:sz w:val="24"/>
              </w:rPr>
              <w:t>附图</w:t>
            </w:r>
            <w:r>
              <w:rPr>
                <w:sz w:val="24"/>
              </w:rPr>
              <w:t>2</w:t>
            </w:r>
            <w:r>
              <w:rPr>
                <w:rFonts w:hint="eastAsia"/>
                <w:sz w:val="24"/>
              </w:rPr>
              <w:t>项目平面布置图。</w:t>
            </w:r>
          </w:p>
          <w:p w14:paraId="200F47F1">
            <w:pPr>
              <w:spacing w:line="360" w:lineRule="auto"/>
              <w:ind w:firstLine="470" w:firstLineChars="196"/>
              <w:rPr>
                <w:sz w:val="24"/>
              </w:rPr>
            </w:pPr>
            <w:r>
              <w:rPr>
                <w:sz w:val="24"/>
              </w:rPr>
              <w:t>3</w:t>
            </w:r>
            <w:r>
              <w:rPr>
                <w:rFonts w:hint="eastAsia"/>
                <w:sz w:val="24"/>
              </w:rPr>
              <w:t>、选址合理性分析</w:t>
            </w:r>
          </w:p>
          <w:p w14:paraId="0547A28D">
            <w:pPr>
              <w:spacing w:line="360" w:lineRule="auto"/>
              <w:ind w:firstLine="470" w:firstLineChars="196"/>
              <w:rPr>
                <w:sz w:val="24"/>
              </w:rPr>
            </w:pPr>
            <w:r>
              <w:rPr>
                <w:rFonts w:hint="eastAsia"/>
                <w:sz w:val="24"/>
              </w:rPr>
              <w:t>本项目利用现有自有场地进行建设；利用已建的城乡供电系统依托周边办公生活设施满足项目需要；项目所在地邻近通乡公路，交通方便迅捷。另，项目用地性</w:t>
            </w:r>
            <w:r>
              <w:rPr>
                <w:rFonts w:hint="eastAsia"/>
                <w:sz w:val="24"/>
                <w:lang w:eastAsia="zh-CN"/>
              </w:rPr>
              <w:t>质为</w:t>
            </w:r>
            <w:r>
              <w:rPr>
                <w:rFonts w:hint="eastAsia"/>
                <w:sz w:val="24"/>
              </w:rPr>
              <w:t>建设用地，项目周围无名胜古迹和重点文物保护单位，也无自然保护区、风景名胜区、无学校、医院等需要特殊保护的对象。项目的主要污染物为噪声、颗粒物，主要来源于生产车间，项目通过合理布局，</w:t>
            </w:r>
            <w:r>
              <w:rPr>
                <w:rFonts w:hint="eastAsia"/>
                <w:bCs/>
                <w:sz w:val="24"/>
              </w:rPr>
              <w:t>项目加工生产区与周边居民之间经林地阻隔；</w:t>
            </w:r>
            <w:r>
              <w:rPr>
                <w:rFonts w:hint="eastAsia"/>
                <w:sz w:val="24"/>
              </w:rPr>
              <w:t>经采取环保措施后能实现达标排放，对附近居民影响较小。项目选址符合当地规划和土地利用性质，外环境无明显制约因素。</w:t>
            </w:r>
          </w:p>
          <w:p w14:paraId="28339EF7">
            <w:pPr>
              <w:spacing w:line="500" w:lineRule="exact"/>
              <w:ind w:firstLine="480" w:firstLineChars="200"/>
              <w:rPr>
                <w:b/>
                <w:sz w:val="24"/>
              </w:rPr>
            </w:pPr>
            <w:r>
              <w:rPr>
                <w:rFonts w:hint="eastAsia"/>
                <w:b/>
                <w:sz w:val="24"/>
              </w:rPr>
              <w:t>综上所述，本项目选址合理，从环境保护的角度分析该项目选址是可行的。</w:t>
            </w:r>
          </w:p>
          <w:p w14:paraId="5F6635DB">
            <w:pPr>
              <w:spacing w:line="360" w:lineRule="auto"/>
              <w:textAlignment w:val="baseline"/>
              <w:rPr>
                <w:b/>
                <w:kern w:val="0"/>
                <w:sz w:val="28"/>
                <w:szCs w:val="28"/>
              </w:rPr>
            </w:pPr>
            <w:r>
              <w:rPr>
                <w:rFonts w:hint="eastAsia"/>
                <w:b/>
                <w:sz w:val="28"/>
                <w:szCs w:val="28"/>
              </w:rPr>
              <w:t>五、</w:t>
            </w:r>
            <w:r>
              <w:rPr>
                <w:rFonts w:hint="eastAsia"/>
                <w:b/>
                <w:kern w:val="0"/>
                <w:sz w:val="28"/>
                <w:szCs w:val="28"/>
              </w:rPr>
              <w:t>项目概况</w:t>
            </w:r>
          </w:p>
          <w:p w14:paraId="6F2D0160">
            <w:pPr>
              <w:spacing w:line="360" w:lineRule="auto"/>
              <w:textAlignment w:val="baseline"/>
              <w:rPr>
                <w:b/>
                <w:sz w:val="24"/>
              </w:rPr>
            </w:pPr>
            <w:r>
              <w:rPr>
                <w:b/>
                <w:sz w:val="24"/>
              </w:rPr>
              <w:t>1</w:t>
            </w:r>
            <w:r>
              <w:rPr>
                <w:rFonts w:hint="eastAsia"/>
                <w:b/>
                <w:sz w:val="24"/>
              </w:rPr>
              <w:t>、项目名称、建设单位、性质</w:t>
            </w:r>
          </w:p>
          <w:p w14:paraId="15628B5C">
            <w:pPr>
              <w:spacing w:line="360" w:lineRule="auto"/>
              <w:ind w:firstLine="480" w:firstLineChars="200"/>
              <w:textAlignment w:val="baseline"/>
              <w:rPr>
                <w:sz w:val="24"/>
              </w:rPr>
            </w:pPr>
            <w:r>
              <w:rPr>
                <w:rFonts w:hint="eastAsia"/>
                <w:sz w:val="24"/>
              </w:rPr>
              <w:t>项目名称：峨边永亮木材加工厂新建</w:t>
            </w:r>
          </w:p>
          <w:p w14:paraId="45BF487F">
            <w:pPr>
              <w:spacing w:line="360" w:lineRule="auto"/>
              <w:ind w:firstLine="480" w:firstLineChars="200"/>
              <w:textAlignment w:val="baseline"/>
              <w:rPr>
                <w:sz w:val="24"/>
              </w:rPr>
            </w:pPr>
            <w:r>
              <w:rPr>
                <w:rFonts w:hint="eastAsia"/>
                <w:sz w:val="24"/>
              </w:rPr>
              <w:t>建设单位：峨边永亮木材加工厂</w:t>
            </w:r>
          </w:p>
          <w:p w14:paraId="564D021B">
            <w:pPr>
              <w:spacing w:line="360" w:lineRule="auto"/>
              <w:ind w:firstLine="480" w:firstLineChars="200"/>
              <w:textAlignment w:val="baseline"/>
              <w:rPr>
                <w:sz w:val="24"/>
              </w:rPr>
            </w:pPr>
            <w:r>
              <w:rPr>
                <w:rFonts w:hint="eastAsia"/>
                <w:sz w:val="24"/>
              </w:rPr>
              <w:t>项目性质：新建</w:t>
            </w:r>
          </w:p>
          <w:p w14:paraId="6356BB12">
            <w:pPr>
              <w:spacing w:line="360" w:lineRule="auto"/>
              <w:ind w:firstLine="480" w:firstLineChars="200"/>
              <w:textAlignment w:val="baseline"/>
              <w:rPr>
                <w:bCs/>
                <w:sz w:val="24"/>
              </w:rPr>
            </w:pPr>
            <w:r>
              <w:rPr>
                <w:rFonts w:hint="eastAsia"/>
                <w:sz w:val="24"/>
              </w:rPr>
              <w:t>建设地点：</w:t>
            </w:r>
            <w:r>
              <w:rPr>
                <w:rFonts w:hint="eastAsia"/>
                <w:bCs/>
                <w:sz w:val="24"/>
              </w:rPr>
              <w:t>峨边彝族自治县平等乡观慈村三组（中心坐标东经：103.5304°，北纬：29.1505°）</w:t>
            </w:r>
          </w:p>
          <w:p w14:paraId="115385A5">
            <w:pPr>
              <w:spacing w:line="360" w:lineRule="auto"/>
              <w:ind w:firstLine="480" w:firstLineChars="200"/>
              <w:textAlignment w:val="baseline"/>
              <w:rPr>
                <w:sz w:val="24"/>
              </w:rPr>
            </w:pPr>
            <w:r>
              <w:rPr>
                <w:rFonts w:hint="eastAsia"/>
                <w:sz w:val="24"/>
              </w:rPr>
              <w:t>建设规模及内容：</w:t>
            </w:r>
            <w:bookmarkStart w:id="0" w:name="_Hlk17291005"/>
            <w:r>
              <w:rPr>
                <w:rFonts w:hint="eastAsia"/>
                <w:sz w:val="24"/>
              </w:rPr>
              <w:t>本项目利用自有建设用地</w:t>
            </w:r>
            <w:r>
              <w:rPr>
                <w:kern w:val="0"/>
                <w:sz w:val="24"/>
              </w:rPr>
              <w:t>6101.1m</w:t>
            </w:r>
            <w:r>
              <w:rPr>
                <w:kern w:val="0"/>
                <w:sz w:val="24"/>
                <w:vertAlign w:val="superscript"/>
              </w:rPr>
              <w:t>2</w:t>
            </w:r>
            <w:r>
              <w:rPr>
                <w:rFonts w:hint="eastAsia"/>
                <w:sz w:val="24"/>
              </w:rPr>
              <w:t>，新建</w:t>
            </w:r>
            <w:r>
              <w:rPr>
                <w:rFonts w:hint="eastAsia"/>
                <w:bCs/>
                <w:sz w:val="24"/>
              </w:rPr>
              <w:t>木材粗加工项目</w:t>
            </w:r>
            <w:r>
              <w:rPr>
                <w:rFonts w:hint="eastAsia"/>
                <w:sz w:val="24"/>
              </w:rPr>
              <w:t>，配套建设抓木机、圆木机、边皮锯、多片锯、带锯、修边锯、削片机、圆盘锯、叉车等生产设备及配套附属设备，形成年产粗加工木材</w:t>
            </w:r>
            <w:r>
              <w:rPr>
                <w:sz w:val="24"/>
              </w:rPr>
              <w:t>15000</w:t>
            </w:r>
            <w:r>
              <w:rPr>
                <w:rFonts w:hint="eastAsia"/>
                <w:sz w:val="24"/>
              </w:rPr>
              <w:t>立方米的产能。</w:t>
            </w:r>
          </w:p>
          <w:bookmarkEnd w:id="0"/>
          <w:p w14:paraId="4C3AD831">
            <w:pPr>
              <w:widowControl/>
              <w:adjustRightInd w:val="0"/>
              <w:snapToGrid w:val="0"/>
              <w:spacing w:line="360" w:lineRule="auto"/>
              <w:ind w:right="92" w:rightChars="44" w:firstLine="480"/>
              <w:jc w:val="left"/>
              <w:rPr>
                <w:b/>
                <w:snapToGrid w:val="0"/>
                <w:kern w:val="0"/>
                <w:sz w:val="24"/>
              </w:rPr>
            </w:pPr>
            <w:r>
              <w:rPr>
                <w:rFonts w:hint="eastAsia"/>
                <w:b/>
                <w:snapToGrid w:val="0"/>
                <w:kern w:val="0"/>
                <w:sz w:val="24"/>
              </w:rPr>
              <w:t>项目投资：</w:t>
            </w:r>
            <w:r>
              <w:rPr>
                <w:rFonts w:hint="eastAsia"/>
                <w:snapToGrid w:val="0"/>
                <w:kern w:val="0"/>
                <w:sz w:val="24"/>
              </w:rPr>
              <w:t>项目总投资</w:t>
            </w:r>
            <w:r>
              <w:rPr>
                <w:snapToGrid w:val="0"/>
                <w:kern w:val="0"/>
                <w:sz w:val="24"/>
              </w:rPr>
              <w:t>50</w:t>
            </w:r>
            <w:r>
              <w:rPr>
                <w:rFonts w:hint="eastAsia"/>
                <w:snapToGrid w:val="0"/>
                <w:kern w:val="0"/>
                <w:sz w:val="24"/>
              </w:rPr>
              <w:t>万元，业主自筹</w:t>
            </w:r>
            <w:r>
              <w:rPr>
                <w:snapToGrid w:val="0"/>
                <w:kern w:val="0"/>
                <w:sz w:val="24"/>
              </w:rPr>
              <w:t>50</w:t>
            </w:r>
            <w:r>
              <w:rPr>
                <w:rFonts w:hint="eastAsia"/>
                <w:snapToGrid w:val="0"/>
                <w:kern w:val="0"/>
                <w:sz w:val="24"/>
              </w:rPr>
              <w:t>万元。</w:t>
            </w:r>
          </w:p>
          <w:p w14:paraId="0884B40F">
            <w:pPr>
              <w:widowControl/>
              <w:adjustRightInd w:val="0"/>
              <w:snapToGrid w:val="0"/>
              <w:spacing w:line="360" w:lineRule="auto"/>
              <w:ind w:right="92" w:rightChars="44" w:firstLine="480"/>
              <w:jc w:val="left"/>
              <w:rPr>
                <w:b/>
                <w:snapToGrid w:val="0"/>
                <w:kern w:val="0"/>
                <w:sz w:val="24"/>
              </w:rPr>
            </w:pPr>
            <w:r>
              <w:rPr>
                <w:b/>
                <w:sz w:val="24"/>
              </w:rPr>
              <w:t>2</w:t>
            </w:r>
            <w:r>
              <w:rPr>
                <w:rFonts w:hint="eastAsia"/>
                <w:b/>
                <w:sz w:val="24"/>
              </w:rPr>
              <w:t>、工作制度及劳动定员</w:t>
            </w:r>
          </w:p>
          <w:p w14:paraId="79F9BBC2">
            <w:pPr>
              <w:spacing w:line="360" w:lineRule="auto"/>
              <w:ind w:firstLine="480" w:firstLineChars="200"/>
              <w:textAlignment w:val="baseline"/>
              <w:rPr>
                <w:sz w:val="24"/>
              </w:rPr>
            </w:pPr>
            <w:r>
              <w:rPr>
                <w:rFonts w:hint="eastAsia"/>
                <w:sz w:val="24"/>
              </w:rPr>
              <w:t>劳动定员及工作制度：本项目劳动定员</w:t>
            </w:r>
            <w:r>
              <w:rPr>
                <w:sz w:val="24"/>
              </w:rPr>
              <w:t>8</w:t>
            </w:r>
            <w:r>
              <w:rPr>
                <w:rFonts w:hint="eastAsia"/>
                <w:sz w:val="24"/>
              </w:rPr>
              <w:t>人，均不在厂区内食宿。工作制度为8小时工作制，年生产天数300天，夜间不生产。</w:t>
            </w:r>
          </w:p>
          <w:p w14:paraId="1CD35172">
            <w:pPr>
              <w:spacing w:line="360" w:lineRule="auto"/>
              <w:ind w:firstLine="480" w:firstLineChars="200"/>
              <w:textAlignment w:val="baseline"/>
              <w:rPr>
                <w:b/>
                <w:sz w:val="24"/>
              </w:rPr>
            </w:pPr>
            <w:r>
              <w:rPr>
                <w:b/>
                <w:sz w:val="24"/>
              </w:rPr>
              <w:t>3</w:t>
            </w:r>
            <w:r>
              <w:rPr>
                <w:rFonts w:hint="eastAsia"/>
                <w:b/>
                <w:sz w:val="24"/>
              </w:rPr>
              <w:t>、项目组成及主要环境问题</w:t>
            </w:r>
          </w:p>
          <w:p w14:paraId="71E837FC">
            <w:pPr>
              <w:spacing w:line="360" w:lineRule="auto"/>
              <w:ind w:firstLine="480" w:firstLineChars="200"/>
              <w:textAlignment w:val="baseline"/>
              <w:rPr>
                <w:sz w:val="24"/>
              </w:rPr>
            </w:pPr>
            <w:r>
              <w:rPr>
                <w:rFonts w:hint="eastAsia"/>
                <w:sz w:val="24"/>
              </w:rPr>
              <w:t>本项目主要为主体工程、辅助工程、公用工程、储运工程、环保工程。本项目组成及主要环境问题详见表</w:t>
            </w:r>
            <w:r>
              <w:rPr>
                <w:sz w:val="24"/>
              </w:rPr>
              <w:t>1-2</w:t>
            </w:r>
            <w:r>
              <w:rPr>
                <w:rFonts w:hint="eastAsia"/>
                <w:sz w:val="24"/>
              </w:rPr>
              <w:t>。</w:t>
            </w:r>
          </w:p>
          <w:p w14:paraId="74B8B9E0">
            <w:pPr>
              <w:widowControl/>
              <w:adjustRightInd w:val="0"/>
              <w:snapToGrid w:val="0"/>
              <w:ind w:left="63" w:leftChars="30" w:right="92" w:rightChars="44" w:firstLine="480" w:firstLineChars="200"/>
              <w:jc w:val="center"/>
              <w:rPr>
                <w:rFonts w:ascii="黑体" w:hAnsi="黑体" w:eastAsia="黑体"/>
                <w:snapToGrid w:val="0"/>
                <w:kern w:val="0"/>
                <w:sz w:val="24"/>
                <w:szCs w:val="21"/>
              </w:rPr>
            </w:pPr>
            <w:r>
              <w:rPr>
                <w:rFonts w:hint="eastAsia" w:ascii="黑体" w:hAnsi="黑体" w:eastAsia="黑体"/>
                <w:snapToGrid w:val="0"/>
                <w:kern w:val="0"/>
                <w:sz w:val="24"/>
                <w:szCs w:val="21"/>
              </w:rPr>
              <w:t>表</w:t>
            </w:r>
            <w:r>
              <w:rPr>
                <w:rFonts w:ascii="黑体" w:hAnsi="黑体" w:eastAsia="黑体"/>
                <w:snapToGrid w:val="0"/>
                <w:kern w:val="0"/>
                <w:sz w:val="24"/>
                <w:szCs w:val="21"/>
              </w:rPr>
              <w:t xml:space="preserve">1-2 </w:t>
            </w:r>
            <w:r>
              <w:rPr>
                <w:rFonts w:hint="eastAsia" w:ascii="黑体" w:hAnsi="黑体" w:eastAsia="黑体"/>
                <w:snapToGrid w:val="0"/>
                <w:kern w:val="0"/>
                <w:sz w:val="24"/>
                <w:szCs w:val="21"/>
              </w:rPr>
              <w:t>项目组成及主要环境问题</w:t>
            </w:r>
          </w:p>
          <w:tbl>
            <w:tblPr>
              <w:tblStyle w:val="25"/>
              <w:tblW w:w="828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50"/>
              <w:gridCol w:w="706"/>
              <w:gridCol w:w="3995"/>
              <w:gridCol w:w="674"/>
              <w:gridCol w:w="1012"/>
              <w:gridCol w:w="1045"/>
            </w:tblGrid>
            <w:tr w14:paraId="0F54F6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0" w:type="dxa"/>
                  <w:vMerge w:val="restart"/>
                  <w:tcBorders>
                    <w:top w:val="single" w:color="auto" w:sz="12" w:space="0"/>
                    <w:left w:val="single" w:color="auto" w:sz="12" w:space="0"/>
                    <w:bottom w:val="single" w:color="auto" w:sz="6" w:space="0"/>
                    <w:right w:val="single" w:color="auto" w:sz="6" w:space="0"/>
                  </w:tcBorders>
                  <w:vAlign w:val="center"/>
                </w:tcPr>
                <w:p w14:paraId="6DBFC5FA">
                  <w:pPr>
                    <w:jc w:val="center"/>
                    <w:rPr>
                      <w:b/>
                      <w:szCs w:val="21"/>
                    </w:rPr>
                  </w:pPr>
                  <w:r>
                    <w:rPr>
                      <w:rFonts w:hint="eastAsia"/>
                      <w:b/>
                      <w:szCs w:val="21"/>
                    </w:rPr>
                    <w:t>分类</w:t>
                  </w:r>
                </w:p>
              </w:tc>
              <w:tc>
                <w:tcPr>
                  <w:tcW w:w="706" w:type="dxa"/>
                  <w:vMerge w:val="restart"/>
                  <w:tcBorders>
                    <w:top w:val="single" w:color="auto" w:sz="12" w:space="0"/>
                    <w:left w:val="single" w:color="auto" w:sz="6" w:space="0"/>
                    <w:bottom w:val="single" w:color="auto" w:sz="6" w:space="0"/>
                    <w:right w:val="single" w:color="auto" w:sz="6" w:space="0"/>
                  </w:tcBorders>
                  <w:vAlign w:val="center"/>
                </w:tcPr>
                <w:p w14:paraId="711AEE8B">
                  <w:pPr>
                    <w:jc w:val="center"/>
                    <w:rPr>
                      <w:b/>
                      <w:szCs w:val="21"/>
                    </w:rPr>
                  </w:pPr>
                  <w:r>
                    <w:rPr>
                      <w:rFonts w:hint="eastAsia"/>
                      <w:b/>
                      <w:szCs w:val="21"/>
                    </w:rPr>
                    <w:t>项目组成</w:t>
                  </w:r>
                </w:p>
              </w:tc>
              <w:tc>
                <w:tcPr>
                  <w:tcW w:w="3995" w:type="dxa"/>
                  <w:vMerge w:val="restart"/>
                  <w:tcBorders>
                    <w:top w:val="single" w:color="auto" w:sz="12" w:space="0"/>
                    <w:left w:val="single" w:color="auto" w:sz="6" w:space="0"/>
                    <w:bottom w:val="single" w:color="auto" w:sz="6" w:space="0"/>
                    <w:right w:val="single" w:color="auto" w:sz="6" w:space="0"/>
                  </w:tcBorders>
                  <w:vAlign w:val="center"/>
                </w:tcPr>
                <w:p w14:paraId="313E4BE6">
                  <w:pPr>
                    <w:jc w:val="center"/>
                    <w:rPr>
                      <w:b/>
                      <w:szCs w:val="21"/>
                    </w:rPr>
                  </w:pPr>
                  <w:r>
                    <w:rPr>
                      <w:rFonts w:hint="eastAsia"/>
                      <w:b/>
                      <w:szCs w:val="21"/>
                    </w:rPr>
                    <w:t>工程内容及规模</w:t>
                  </w:r>
                </w:p>
              </w:tc>
              <w:tc>
                <w:tcPr>
                  <w:tcW w:w="674" w:type="dxa"/>
                  <w:vMerge w:val="restart"/>
                  <w:tcBorders>
                    <w:top w:val="single" w:color="auto" w:sz="12" w:space="0"/>
                    <w:left w:val="single" w:color="auto" w:sz="6" w:space="0"/>
                    <w:bottom w:val="single" w:color="auto" w:sz="6" w:space="0"/>
                    <w:right w:val="single" w:color="auto" w:sz="6" w:space="0"/>
                  </w:tcBorders>
                  <w:vAlign w:val="center"/>
                </w:tcPr>
                <w:p w14:paraId="3DF284B5">
                  <w:pPr>
                    <w:jc w:val="center"/>
                    <w:rPr>
                      <w:b/>
                      <w:szCs w:val="21"/>
                    </w:rPr>
                  </w:pPr>
                  <w:r>
                    <w:rPr>
                      <w:rFonts w:hint="eastAsia"/>
                      <w:b/>
                      <w:szCs w:val="21"/>
                    </w:rPr>
                    <w:t>性质</w:t>
                  </w:r>
                </w:p>
              </w:tc>
              <w:tc>
                <w:tcPr>
                  <w:tcW w:w="2057" w:type="dxa"/>
                  <w:gridSpan w:val="2"/>
                  <w:tcBorders>
                    <w:top w:val="single" w:color="auto" w:sz="12" w:space="0"/>
                    <w:left w:val="single" w:color="auto" w:sz="6" w:space="0"/>
                    <w:bottom w:val="single" w:color="auto" w:sz="6" w:space="0"/>
                    <w:right w:val="single" w:color="auto" w:sz="12" w:space="0"/>
                  </w:tcBorders>
                  <w:vAlign w:val="center"/>
                </w:tcPr>
                <w:p w14:paraId="1BD9D88A">
                  <w:pPr>
                    <w:ind w:left="-105" w:leftChars="-50" w:right="-105" w:rightChars="-50"/>
                    <w:jc w:val="center"/>
                    <w:rPr>
                      <w:b/>
                      <w:szCs w:val="21"/>
                    </w:rPr>
                  </w:pPr>
                  <w:r>
                    <w:rPr>
                      <w:rFonts w:hint="eastAsia"/>
                      <w:b/>
                      <w:szCs w:val="21"/>
                    </w:rPr>
                    <w:t>可能产生的环境问题</w:t>
                  </w:r>
                </w:p>
              </w:tc>
            </w:tr>
            <w:tr w14:paraId="1D09D4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0" w:type="dxa"/>
                  <w:vMerge w:val="continue"/>
                  <w:tcBorders>
                    <w:top w:val="single" w:color="auto" w:sz="6" w:space="0"/>
                    <w:left w:val="single" w:color="auto" w:sz="12" w:space="0"/>
                    <w:bottom w:val="single" w:color="auto" w:sz="6" w:space="0"/>
                    <w:right w:val="single" w:color="auto" w:sz="6" w:space="0"/>
                  </w:tcBorders>
                  <w:vAlign w:val="center"/>
                </w:tcPr>
                <w:p w14:paraId="497715F1">
                  <w:pPr>
                    <w:jc w:val="center"/>
                    <w:rPr>
                      <w:b/>
                      <w:szCs w:val="21"/>
                    </w:rPr>
                  </w:pPr>
                </w:p>
              </w:tc>
              <w:tc>
                <w:tcPr>
                  <w:tcW w:w="706" w:type="dxa"/>
                  <w:vMerge w:val="continue"/>
                  <w:tcBorders>
                    <w:top w:val="single" w:color="auto" w:sz="6" w:space="0"/>
                    <w:left w:val="single" w:color="auto" w:sz="6" w:space="0"/>
                    <w:bottom w:val="single" w:color="auto" w:sz="6" w:space="0"/>
                    <w:right w:val="single" w:color="auto" w:sz="6" w:space="0"/>
                  </w:tcBorders>
                  <w:vAlign w:val="center"/>
                </w:tcPr>
                <w:p w14:paraId="78919697">
                  <w:pPr>
                    <w:jc w:val="center"/>
                    <w:rPr>
                      <w:b/>
                      <w:szCs w:val="21"/>
                    </w:rPr>
                  </w:pPr>
                </w:p>
              </w:tc>
              <w:tc>
                <w:tcPr>
                  <w:tcW w:w="3995" w:type="dxa"/>
                  <w:vMerge w:val="continue"/>
                  <w:tcBorders>
                    <w:top w:val="single" w:color="auto" w:sz="6" w:space="0"/>
                    <w:left w:val="single" w:color="auto" w:sz="6" w:space="0"/>
                    <w:bottom w:val="single" w:color="auto" w:sz="6" w:space="0"/>
                    <w:right w:val="single" w:color="auto" w:sz="6" w:space="0"/>
                  </w:tcBorders>
                  <w:vAlign w:val="center"/>
                </w:tcPr>
                <w:p w14:paraId="044B091C">
                  <w:pPr>
                    <w:jc w:val="center"/>
                    <w:rPr>
                      <w:b/>
                      <w:szCs w:val="21"/>
                    </w:rPr>
                  </w:pPr>
                </w:p>
              </w:tc>
              <w:tc>
                <w:tcPr>
                  <w:tcW w:w="674" w:type="dxa"/>
                  <w:vMerge w:val="continue"/>
                  <w:tcBorders>
                    <w:top w:val="single" w:color="auto" w:sz="6" w:space="0"/>
                    <w:left w:val="single" w:color="auto" w:sz="6" w:space="0"/>
                    <w:bottom w:val="single" w:color="auto" w:sz="6" w:space="0"/>
                    <w:right w:val="single" w:color="auto" w:sz="6" w:space="0"/>
                  </w:tcBorders>
                  <w:vAlign w:val="center"/>
                </w:tcPr>
                <w:p w14:paraId="4DA91A2A">
                  <w:pPr>
                    <w:jc w:val="center"/>
                    <w:rPr>
                      <w:b/>
                      <w:szCs w:val="21"/>
                    </w:rPr>
                  </w:pPr>
                </w:p>
              </w:tc>
              <w:tc>
                <w:tcPr>
                  <w:tcW w:w="1012" w:type="dxa"/>
                  <w:tcBorders>
                    <w:top w:val="single" w:color="auto" w:sz="6" w:space="0"/>
                    <w:left w:val="single" w:color="auto" w:sz="6" w:space="0"/>
                    <w:bottom w:val="single" w:color="auto" w:sz="6" w:space="0"/>
                    <w:right w:val="single" w:color="auto" w:sz="6" w:space="0"/>
                  </w:tcBorders>
                  <w:vAlign w:val="center"/>
                </w:tcPr>
                <w:p w14:paraId="6B5D906D">
                  <w:pPr>
                    <w:jc w:val="center"/>
                    <w:rPr>
                      <w:b/>
                      <w:szCs w:val="21"/>
                    </w:rPr>
                  </w:pPr>
                  <w:r>
                    <w:rPr>
                      <w:rFonts w:hint="eastAsia"/>
                      <w:b/>
                      <w:szCs w:val="21"/>
                    </w:rPr>
                    <w:t>施工期</w:t>
                  </w:r>
                </w:p>
              </w:tc>
              <w:tc>
                <w:tcPr>
                  <w:tcW w:w="1045" w:type="dxa"/>
                  <w:tcBorders>
                    <w:top w:val="single" w:color="auto" w:sz="6" w:space="0"/>
                    <w:left w:val="single" w:color="auto" w:sz="6" w:space="0"/>
                    <w:bottom w:val="single" w:color="auto" w:sz="6" w:space="0"/>
                    <w:right w:val="single" w:color="auto" w:sz="12" w:space="0"/>
                  </w:tcBorders>
                  <w:vAlign w:val="center"/>
                </w:tcPr>
                <w:p w14:paraId="7F7A9743">
                  <w:pPr>
                    <w:jc w:val="center"/>
                    <w:rPr>
                      <w:b/>
                      <w:szCs w:val="21"/>
                    </w:rPr>
                  </w:pPr>
                  <w:r>
                    <w:rPr>
                      <w:rFonts w:hint="eastAsia"/>
                      <w:b/>
                      <w:szCs w:val="21"/>
                    </w:rPr>
                    <w:t>营运期</w:t>
                  </w:r>
                </w:p>
              </w:tc>
            </w:tr>
            <w:tr w14:paraId="5D154A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0" w:type="dxa"/>
                  <w:tcBorders>
                    <w:top w:val="single" w:color="auto" w:sz="6" w:space="0"/>
                    <w:left w:val="single" w:color="auto" w:sz="12" w:space="0"/>
                    <w:bottom w:val="single" w:color="auto" w:sz="6" w:space="0"/>
                    <w:right w:val="single" w:color="auto" w:sz="6" w:space="0"/>
                  </w:tcBorders>
                  <w:vAlign w:val="center"/>
                </w:tcPr>
                <w:p w14:paraId="1D22B4FE">
                  <w:pPr>
                    <w:jc w:val="center"/>
                    <w:rPr>
                      <w:szCs w:val="21"/>
                    </w:rPr>
                  </w:pPr>
                  <w:r>
                    <w:rPr>
                      <w:rFonts w:hint="eastAsia"/>
                      <w:szCs w:val="21"/>
                    </w:rPr>
                    <w:t>主体工程</w:t>
                  </w:r>
                </w:p>
              </w:tc>
              <w:tc>
                <w:tcPr>
                  <w:tcW w:w="706" w:type="dxa"/>
                  <w:tcBorders>
                    <w:top w:val="single" w:color="auto" w:sz="6" w:space="0"/>
                    <w:left w:val="single" w:color="auto" w:sz="6" w:space="0"/>
                    <w:bottom w:val="single" w:color="auto" w:sz="6" w:space="0"/>
                    <w:right w:val="single" w:color="auto" w:sz="6" w:space="0"/>
                  </w:tcBorders>
                  <w:vAlign w:val="center"/>
                </w:tcPr>
                <w:p w14:paraId="57862307">
                  <w:pPr>
                    <w:jc w:val="center"/>
                    <w:rPr>
                      <w:szCs w:val="21"/>
                    </w:rPr>
                  </w:pPr>
                  <w:r>
                    <w:rPr>
                      <w:rFonts w:hint="eastAsia"/>
                      <w:szCs w:val="21"/>
                    </w:rPr>
                    <w:t>生产车间</w:t>
                  </w:r>
                </w:p>
              </w:tc>
              <w:tc>
                <w:tcPr>
                  <w:tcW w:w="3995" w:type="dxa"/>
                  <w:tcBorders>
                    <w:top w:val="single" w:color="auto" w:sz="6" w:space="0"/>
                    <w:left w:val="single" w:color="auto" w:sz="6" w:space="0"/>
                    <w:bottom w:val="single" w:color="auto" w:sz="6" w:space="0"/>
                    <w:right w:val="single" w:color="auto" w:sz="6" w:space="0"/>
                  </w:tcBorders>
                  <w:vAlign w:val="center"/>
                </w:tcPr>
                <w:p w14:paraId="4FFAAA92">
                  <w:pPr>
                    <w:topLinePunct/>
                    <w:adjustRightInd w:val="0"/>
                    <w:snapToGrid w:val="0"/>
                    <w:jc w:val="left"/>
                    <w:rPr>
                      <w:szCs w:val="21"/>
                    </w:rPr>
                  </w:pPr>
                  <w:r>
                    <w:rPr>
                      <w:rFonts w:hint="eastAsia"/>
                      <w:szCs w:val="21"/>
                    </w:rPr>
                    <w:t>项目于峨边彝族自治县平等乡观慈村三组，生产车间主要布置为加工区、成品仓库，各占一半面积，总占地面积约</w:t>
                  </w:r>
                  <w:r>
                    <w:rPr>
                      <w:szCs w:val="21"/>
                    </w:rPr>
                    <w:t>620</w:t>
                  </w:r>
                  <w:r>
                    <w:t xml:space="preserve"> </w:t>
                  </w:r>
                  <w:r>
                    <w:rPr>
                      <w:szCs w:val="21"/>
                    </w:rPr>
                    <w:t>m</w:t>
                  </w:r>
                  <w:r>
                    <w:rPr>
                      <w:szCs w:val="21"/>
                      <w:vertAlign w:val="superscript"/>
                    </w:rPr>
                    <w:t>2</w:t>
                  </w:r>
                  <w:r>
                    <w:rPr>
                      <w:rFonts w:hint="eastAsia"/>
                      <w:szCs w:val="21"/>
                    </w:rPr>
                    <w:t>，</w:t>
                  </w:r>
                  <w:r>
                    <w:rPr>
                      <w:szCs w:val="21"/>
                    </w:rPr>
                    <w:t>1F</w:t>
                  </w:r>
                  <w:r>
                    <w:rPr>
                      <w:rFonts w:hint="eastAsia"/>
                      <w:szCs w:val="21"/>
                    </w:rPr>
                    <w:t>框架结构，彩钢屋面，采用抓木机、圆木机、边皮锯、多片锯、带锯、修边锯、削片机、圆盘锯、叉车等设备进行木材粗加工生产。</w:t>
                  </w:r>
                </w:p>
              </w:tc>
              <w:tc>
                <w:tcPr>
                  <w:tcW w:w="674" w:type="dxa"/>
                  <w:tcBorders>
                    <w:top w:val="single" w:color="auto" w:sz="6" w:space="0"/>
                    <w:left w:val="single" w:color="auto" w:sz="6" w:space="0"/>
                    <w:bottom w:val="single" w:color="auto" w:sz="6" w:space="0"/>
                    <w:right w:val="single" w:color="auto" w:sz="6" w:space="0"/>
                  </w:tcBorders>
                  <w:vAlign w:val="center"/>
                </w:tcPr>
                <w:p w14:paraId="5E6E7383">
                  <w:pPr>
                    <w:rPr>
                      <w:szCs w:val="21"/>
                    </w:rPr>
                  </w:pPr>
                  <w:r>
                    <w:rPr>
                      <w:rFonts w:hint="eastAsia"/>
                      <w:szCs w:val="21"/>
                    </w:rPr>
                    <w:t>新建</w:t>
                  </w:r>
                </w:p>
              </w:tc>
              <w:tc>
                <w:tcPr>
                  <w:tcW w:w="1012" w:type="dxa"/>
                  <w:vMerge w:val="restart"/>
                  <w:tcBorders>
                    <w:top w:val="single" w:color="auto" w:sz="6" w:space="0"/>
                    <w:left w:val="single" w:color="auto" w:sz="6" w:space="0"/>
                    <w:bottom w:val="single" w:color="auto" w:sz="6" w:space="0"/>
                    <w:right w:val="single" w:color="auto" w:sz="6" w:space="0"/>
                  </w:tcBorders>
                  <w:vAlign w:val="center"/>
                </w:tcPr>
                <w:p w14:paraId="4E524593">
                  <w:pPr>
                    <w:jc w:val="center"/>
                    <w:rPr>
                      <w:szCs w:val="21"/>
                    </w:rPr>
                  </w:pPr>
                  <w:r>
                    <w:rPr>
                      <w:rFonts w:hint="eastAsia"/>
                      <w:szCs w:val="21"/>
                    </w:rPr>
                    <w:t>噪声、废气、废水、生活垃圾、施工固废</w:t>
                  </w:r>
                </w:p>
              </w:tc>
              <w:tc>
                <w:tcPr>
                  <w:tcW w:w="1045" w:type="dxa"/>
                  <w:tcBorders>
                    <w:top w:val="single" w:color="auto" w:sz="6" w:space="0"/>
                    <w:left w:val="single" w:color="auto" w:sz="6" w:space="0"/>
                    <w:right w:val="single" w:color="auto" w:sz="12" w:space="0"/>
                  </w:tcBorders>
                  <w:vAlign w:val="center"/>
                </w:tcPr>
                <w:p w14:paraId="45440233">
                  <w:pPr>
                    <w:jc w:val="center"/>
                    <w:rPr>
                      <w:szCs w:val="21"/>
                    </w:rPr>
                  </w:pPr>
                  <w:r>
                    <w:rPr>
                      <w:rFonts w:hint="eastAsia"/>
                      <w:szCs w:val="21"/>
                    </w:rPr>
                    <w:t>噪声、废气、固废、风险、汽车尾气等</w:t>
                  </w:r>
                </w:p>
              </w:tc>
            </w:tr>
            <w:tr w14:paraId="71027F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0" w:type="dxa"/>
                  <w:tcBorders>
                    <w:top w:val="single" w:color="auto" w:sz="6" w:space="0"/>
                    <w:left w:val="single" w:color="auto" w:sz="12" w:space="0"/>
                    <w:bottom w:val="single" w:color="auto" w:sz="6" w:space="0"/>
                    <w:right w:val="single" w:color="auto" w:sz="6" w:space="0"/>
                  </w:tcBorders>
                  <w:vAlign w:val="center"/>
                </w:tcPr>
                <w:p w14:paraId="12A1949D">
                  <w:pPr>
                    <w:jc w:val="center"/>
                    <w:rPr>
                      <w:szCs w:val="21"/>
                    </w:rPr>
                  </w:pPr>
                  <w:r>
                    <w:rPr>
                      <w:rFonts w:hint="eastAsia"/>
                      <w:szCs w:val="21"/>
                    </w:rPr>
                    <w:t>辅助用房</w:t>
                  </w:r>
                </w:p>
              </w:tc>
              <w:tc>
                <w:tcPr>
                  <w:tcW w:w="706" w:type="dxa"/>
                  <w:tcBorders>
                    <w:top w:val="single" w:color="auto" w:sz="6" w:space="0"/>
                    <w:left w:val="single" w:color="auto" w:sz="6" w:space="0"/>
                    <w:bottom w:val="single" w:color="auto" w:sz="6" w:space="0"/>
                    <w:right w:val="single" w:color="auto" w:sz="6" w:space="0"/>
                  </w:tcBorders>
                  <w:vAlign w:val="center"/>
                </w:tcPr>
                <w:p w14:paraId="5BCEF465">
                  <w:pPr>
                    <w:jc w:val="center"/>
                    <w:rPr>
                      <w:szCs w:val="21"/>
                    </w:rPr>
                  </w:pPr>
                  <w:r>
                    <w:rPr>
                      <w:rFonts w:hint="eastAsia"/>
                      <w:szCs w:val="21"/>
                    </w:rPr>
                    <w:t>办公及生活</w:t>
                  </w:r>
                </w:p>
              </w:tc>
              <w:tc>
                <w:tcPr>
                  <w:tcW w:w="3995" w:type="dxa"/>
                  <w:tcBorders>
                    <w:top w:val="single" w:color="auto" w:sz="6" w:space="0"/>
                    <w:left w:val="single" w:color="auto" w:sz="6" w:space="0"/>
                    <w:bottom w:val="single" w:color="auto" w:sz="6" w:space="0"/>
                    <w:right w:val="single" w:color="auto" w:sz="6" w:space="0"/>
                  </w:tcBorders>
                  <w:vAlign w:val="center"/>
                </w:tcPr>
                <w:p w14:paraId="2D82AAB9">
                  <w:pPr>
                    <w:topLinePunct/>
                    <w:adjustRightInd w:val="0"/>
                    <w:snapToGrid w:val="0"/>
                    <w:jc w:val="left"/>
                    <w:rPr>
                      <w:szCs w:val="21"/>
                    </w:rPr>
                  </w:pPr>
                  <w:r>
                    <w:rPr>
                      <w:rFonts w:hint="eastAsia"/>
                      <w:szCs w:val="21"/>
                    </w:rPr>
                    <w:t>位于厂区西侧，进出口大门旁，占地面积约1</w:t>
                  </w:r>
                  <w:r>
                    <w:rPr>
                      <w:szCs w:val="21"/>
                    </w:rPr>
                    <w:t>50</w:t>
                  </w:r>
                  <w:r>
                    <w:t xml:space="preserve"> </w:t>
                  </w:r>
                  <w:r>
                    <w:rPr>
                      <w:szCs w:val="21"/>
                    </w:rPr>
                    <w:t>m</w:t>
                  </w:r>
                  <w:r>
                    <w:rPr>
                      <w:szCs w:val="21"/>
                      <w:vertAlign w:val="superscript"/>
                    </w:rPr>
                    <w:t>2</w:t>
                  </w:r>
                  <w:r>
                    <w:rPr>
                      <w:rFonts w:hint="eastAsia"/>
                      <w:szCs w:val="21"/>
                    </w:rPr>
                    <w:t>，2</w:t>
                  </w:r>
                  <w:r>
                    <w:rPr>
                      <w:szCs w:val="21"/>
                    </w:rPr>
                    <w:t>F</w:t>
                  </w:r>
                  <w:r>
                    <w:rPr>
                      <w:rFonts w:hint="eastAsia"/>
                      <w:szCs w:val="21"/>
                    </w:rPr>
                    <w:t>砖混结构。</w:t>
                  </w:r>
                </w:p>
              </w:tc>
              <w:tc>
                <w:tcPr>
                  <w:tcW w:w="674" w:type="dxa"/>
                  <w:tcBorders>
                    <w:top w:val="single" w:color="auto" w:sz="6" w:space="0"/>
                    <w:left w:val="single" w:color="auto" w:sz="6" w:space="0"/>
                    <w:bottom w:val="single" w:color="auto" w:sz="6" w:space="0"/>
                    <w:right w:val="single" w:color="auto" w:sz="6" w:space="0"/>
                  </w:tcBorders>
                  <w:vAlign w:val="center"/>
                </w:tcPr>
                <w:p w14:paraId="08DC417E">
                  <w:pPr>
                    <w:rPr>
                      <w:szCs w:val="21"/>
                    </w:rPr>
                  </w:pPr>
                  <w:r>
                    <w:rPr>
                      <w:rFonts w:hint="eastAsia"/>
                      <w:szCs w:val="21"/>
                    </w:rPr>
                    <w:t>依托</w:t>
                  </w:r>
                </w:p>
              </w:tc>
              <w:tc>
                <w:tcPr>
                  <w:tcW w:w="1012" w:type="dxa"/>
                  <w:vMerge w:val="continue"/>
                  <w:tcBorders>
                    <w:top w:val="single" w:color="auto" w:sz="6" w:space="0"/>
                    <w:left w:val="single" w:color="auto" w:sz="6" w:space="0"/>
                    <w:bottom w:val="single" w:color="auto" w:sz="6" w:space="0"/>
                    <w:right w:val="single" w:color="auto" w:sz="6" w:space="0"/>
                  </w:tcBorders>
                  <w:vAlign w:val="center"/>
                </w:tcPr>
                <w:p w14:paraId="04C940CA">
                  <w:pPr>
                    <w:jc w:val="center"/>
                    <w:rPr>
                      <w:szCs w:val="21"/>
                    </w:rPr>
                  </w:pPr>
                </w:p>
              </w:tc>
              <w:tc>
                <w:tcPr>
                  <w:tcW w:w="1045" w:type="dxa"/>
                  <w:tcBorders>
                    <w:top w:val="single" w:color="auto" w:sz="6" w:space="0"/>
                    <w:left w:val="single" w:color="auto" w:sz="6" w:space="0"/>
                    <w:right w:val="single" w:color="auto" w:sz="12" w:space="0"/>
                  </w:tcBorders>
                  <w:vAlign w:val="center"/>
                </w:tcPr>
                <w:p w14:paraId="37C739D5">
                  <w:pPr>
                    <w:jc w:val="center"/>
                    <w:rPr>
                      <w:szCs w:val="21"/>
                    </w:rPr>
                  </w:pPr>
                  <w:r>
                    <w:rPr>
                      <w:rFonts w:hint="eastAsia"/>
                      <w:szCs w:val="21"/>
                    </w:rPr>
                    <w:t>生活污水、固废</w:t>
                  </w:r>
                </w:p>
              </w:tc>
            </w:tr>
            <w:tr w14:paraId="0A7FFC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5" w:hRule="atLeast"/>
                <w:jc w:val="center"/>
              </w:trPr>
              <w:tc>
                <w:tcPr>
                  <w:tcW w:w="850" w:type="dxa"/>
                  <w:vMerge w:val="restart"/>
                  <w:tcBorders>
                    <w:top w:val="single" w:color="auto" w:sz="6" w:space="0"/>
                    <w:left w:val="single" w:color="auto" w:sz="12" w:space="0"/>
                    <w:bottom w:val="single" w:color="auto" w:sz="6" w:space="0"/>
                    <w:right w:val="single" w:color="auto" w:sz="6" w:space="0"/>
                  </w:tcBorders>
                  <w:vAlign w:val="center"/>
                </w:tcPr>
                <w:p w14:paraId="2B314ADF">
                  <w:pPr>
                    <w:jc w:val="center"/>
                    <w:rPr>
                      <w:szCs w:val="21"/>
                    </w:rPr>
                  </w:pPr>
                  <w:r>
                    <w:rPr>
                      <w:rFonts w:hint="eastAsia"/>
                      <w:szCs w:val="21"/>
                    </w:rPr>
                    <w:t>公用工程</w:t>
                  </w:r>
                </w:p>
              </w:tc>
              <w:tc>
                <w:tcPr>
                  <w:tcW w:w="706" w:type="dxa"/>
                  <w:tcBorders>
                    <w:top w:val="single" w:color="auto" w:sz="6" w:space="0"/>
                    <w:left w:val="single" w:color="auto" w:sz="6" w:space="0"/>
                    <w:bottom w:val="single" w:color="auto" w:sz="6" w:space="0"/>
                    <w:right w:val="single" w:color="auto" w:sz="6" w:space="0"/>
                  </w:tcBorders>
                  <w:vAlign w:val="center"/>
                </w:tcPr>
                <w:p w14:paraId="1D1206B5">
                  <w:pPr>
                    <w:jc w:val="center"/>
                    <w:rPr>
                      <w:szCs w:val="21"/>
                    </w:rPr>
                  </w:pPr>
                  <w:r>
                    <w:rPr>
                      <w:rFonts w:hint="eastAsia"/>
                      <w:szCs w:val="21"/>
                    </w:rPr>
                    <w:t>供电</w:t>
                  </w:r>
                </w:p>
              </w:tc>
              <w:tc>
                <w:tcPr>
                  <w:tcW w:w="3995" w:type="dxa"/>
                  <w:tcBorders>
                    <w:top w:val="single" w:color="auto" w:sz="6" w:space="0"/>
                    <w:left w:val="single" w:color="auto" w:sz="6" w:space="0"/>
                    <w:bottom w:val="single" w:color="auto" w:sz="6" w:space="0"/>
                    <w:right w:val="single" w:color="auto" w:sz="6" w:space="0"/>
                  </w:tcBorders>
                  <w:vAlign w:val="center"/>
                </w:tcPr>
                <w:p w14:paraId="57982259">
                  <w:pPr>
                    <w:jc w:val="center"/>
                    <w:rPr>
                      <w:szCs w:val="21"/>
                    </w:rPr>
                  </w:pPr>
                  <w:r>
                    <w:rPr>
                      <w:rFonts w:hint="eastAsia"/>
                      <w:szCs w:val="21"/>
                    </w:rPr>
                    <w:t>由当地电网提供</w:t>
                  </w:r>
                </w:p>
              </w:tc>
              <w:tc>
                <w:tcPr>
                  <w:tcW w:w="674" w:type="dxa"/>
                  <w:tcBorders>
                    <w:top w:val="single" w:color="auto" w:sz="6" w:space="0"/>
                    <w:left w:val="single" w:color="auto" w:sz="6" w:space="0"/>
                    <w:bottom w:val="single" w:color="auto" w:sz="6" w:space="0"/>
                    <w:right w:val="single" w:color="auto" w:sz="6" w:space="0"/>
                  </w:tcBorders>
                  <w:vAlign w:val="center"/>
                </w:tcPr>
                <w:p w14:paraId="026A8CF3">
                  <w:pPr>
                    <w:jc w:val="center"/>
                    <w:rPr>
                      <w:szCs w:val="21"/>
                    </w:rPr>
                  </w:pPr>
                  <w:r>
                    <w:rPr>
                      <w:rFonts w:hint="eastAsia"/>
                      <w:szCs w:val="21"/>
                    </w:rPr>
                    <w:t>新建</w:t>
                  </w:r>
                </w:p>
              </w:tc>
              <w:tc>
                <w:tcPr>
                  <w:tcW w:w="1012" w:type="dxa"/>
                  <w:vMerge w:val="continue"/>
                  <w:tcBorders>
                    <w:top w:val="single" w:color="auto" w:sz="6" w:space="0"/>
                    <w:left w:val="single" w:color="auto" w:sz="6" w:space="0"/>
                    <w:bottom w:val="single" w:color="auto" w:sz="6" w:space="0"/>
                    <w:right w:val="single" w:color="auto" w:sz="6" w:space="0"/>
                  </w:tcBorders>
                  <w:vAlign w:val="center"/>
                </w:tcPr>
                <w:p w14:paraId="4CADE6DF">
                  <w:pPr>
                    <w:jc w:val="center"/>
                    <w:rPr>
                      <w:szCs w:val="21"/>
                    </w:rPr>
                  </w:pPr>
                </w:p>
              </w:tc>
              <w:tc>
                <w:tcPr>
                  <w:tcW w:w="1045" w:type="dxa"/>
                  <w:tcBorders>
                    <w:top w:val="single" w:color="auto" w:sz="6" w:space="0"/>
                    <w:left w:val="single" w:color="auto" w:sz="6" w:space="0"/>
                    <w:bottom w:val="single" w:color="auto" w:sz="6" w:space="0"/>
                    <w:right w:val="single" w:color="auto" w:sz="12" w:space="0"/>
                  </w:tcBorders>
                  <w:vAlign w:val="center"/>
                </w:tcPr>
                <w:p w14:paraId="467ED361">
                  <w:pPr>
                    <w:jc w:val="center"/>
                    <w:rPr>
                      <w:szCs w:val="21"/>
                    </w:rPr>
                  </w:pPr>
                  <w:r>
                    <w:rPr>
                      <w:szCs w:val="21"/>
                    </w:rPr>
                    <w:t>/</w:t>
                  </w:r>
                </w:p>
              </w:tc>
            </w:tr>
            <w:tr w14:paraId="3517A6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8" w:hRule="atLeast"/>
                <w:jc w:val="center"/>
              </w:trPr>
              <w:tc>
                <w:tcPr>
                  <w:tcW w:w="850" w:type="dxa"/>
                  <w:vMerge w:val="continue"/>
                  <w:tcBorders>
                    <w:top w:val="single" w:color="auto" w:sz="6" w:space="0"/>
                    <w:left w:val="single" w:color="auto" w:sz="12" w:space="0"/>
                    <w:bottom w:val="single" w:color="auto" w:sz="6" w:space="0"/>
                    <w:right w:val="single" w:color="auto" w:sz="6" w:space="0"/>
                  </w:tcBorders>
                  <w:vAlign w:val="center"/>
                </w:tcPr>
                <w:p w14:paraId="6B186991">
                  <w:pPr>
                    <w:jc w:val="center"/>
                    <w:rPr>
                      <w:szCs w:val="21"/>
                    </w:rPr>
                  </w:pPr>
                </w:p>
              </w:tc>
              <w:tc>
                <w:tcPr>
                  <w:tcW w:w="706" w:type="dxa"/>
                  <w:tcBorders>
                    <w:top w:val="single" w:color="auto" w:sz="6" w:space="0"/>
                    <w:left w:val="single" w:color="auto" w:sz="6" w:space="0"/>
                    <w:bottom w:val="single" w:color="auto" w:sz="6" w:space="0"/>
                    <w:right w:val="single" w:color="auto" w:sz="6" w:space="0"/>
                  </w:tcBorders>
                  <w:vAlign w:val="center"/>
                </w:tcPr>
                <w:p w14:paraId="2296D7B7">
                  <w:pPr>
                    <w:jc w:val="center"/>
                    <w:rPr>
                      <w:szCs w:val="21"/>
                    </w:rPr>
                  </w:pPr>
                  <w:r>
                    <w:rPr>
                      <w:rFonts w:hint="eastAsia"/>
                      <w:szCs w:val="21"/>
                    </w:rPr>
                    <w:t>供水</w:t>
                  </w:r>
                </w:p>
              </w:tc>
              <w:tc>
                <w:tcPr>
                  <w:tcW w:w="3995" w:type="dxa"/>
                  <w:tcBorders>
                    <w:top w:val="single" w:color="auto" w:sz="6" w:space="0"/>
                    <w:left w:val="single" w:color="auto" w:sz="6" w:space="0"/>
                    <w:bottom w:val="single" w:color="auto" w:sz="6" w:space="0"/>
                    <w:right w:val="single" w:color="auto" w:sz="6" w:space="0"/>
                  </w:tcBorders>
                  <w:vAlign w:val="center"/>
                </w:tcPr>
                <w:p w14:paraId="0FDE3AA9">
                  <w:pPr>
                    <w:jc w:val="center"/>
                    <w:rPr>
                      <w:szCs w:val="21"/>
                    </w:rPr>
                  </w:pPr>
                  <w:r>
                    <w:rPr>
                      <w:szCs w:val="21"/>
                    </w:rPr>
                    <w:t>农村生活用水管网</w:t>
                  </w:r>
                </w:p>
              </w:tc>
              <w:tc>
                <w:tcPr>
                  <w:tcW w:w="674" w:type="dxa"/>
                  <w:tcBorders>
                    <w:top w:val="single" w:color="auto" w:sz="6" w:space="0"/>
                    <w:left w:val="single" w:color="auto" w:sz="6" w:space="0"/>
                    <w:bottom w:val="single" w:color="auto" w:sz="6" w:space="0"/>
                    <w:right w:val="single" w:color="auto" w:sz="6" w:space="0"/>
                  </w:tcBorders>
                  <w:vAlign w:val="center"/>
                </w:tcPr>
                <w:p w14:paraId="5B7D1B31">
                  <w:pPr>
                    <w:jc w:val="center"/>
                    <w:rPr>
                      <w:szCs w:val="21"/>
                    </w:rPr>
                  </w:pPr>
                  <w:r>
                    <w:rPr>
                      <w:rFonts w:hint="eastAsia"/>
                      <w:szCs w:val="21"/>
                    </w:rPr>
                    <w:t>新建</w:t>
                  </w:r>
                </w:p>
              </w:tc>
              <w:tc>
                <w:tcPr>
                  <w:tcW w:w="1012" w:type="dxa"/>
                  <w:vMerge w:val="continue"/>
                  <w:tcBorders>
                    <w:top w:val="single" w:color="auto" w:sz="6" w:space="0"/>
                    <w:left w:val="single" w:color="auto" w:sz="6" w:space="0"/>
                    <w:bottom w:val="single" w:color="auto" w:sz="6" w:space="0"/>
                    <w:right w:val="single" w:color="auto" w:sz="6" w:space="0"/>
                  </w:tcBorders>
                  <w:vAlign w:val="center"/>
                </w:tcPr>
                <w:p w14:paraId="698910AC">
                  <w:pPr>
                    <w:jc w:val="center"/>
                    <w:rPr>
                      <w:szCs w:val="21"/>
                    </w:rPr>
                  </w:pPr>
                </w:p>
              </w:tc>
              <w:tc>
                <w:tcPr>
                  <w:tcW w:w="1045" w:type="dxa"/>
                  <w:tcBorders>
                    <w:top w:val="single" w:color="auto" w:sz="6" w:space="0"/>
                    <w:left w:val="single" w:color="auto" w:sz="6" w:space="0"/>
                    <w:bottom w:val="single" w:color="auto" w:sz="6" w:space="0"/>
                    <w:right w:val="single" w:color="auto" w:sz="12" w:space="0"/>
                  </w:tcBorders>
                  <w:vAlign w:val="center"/>
                </w:tcPr>
                <w:p w14:paraId="4A518993">
                  <w:pPr>
                    <w:jc w:val="center"/>
                    <w:rPr>
                      <w:szCs w:val="21"/>
                    </w:rPr>
                  </w:pPr>
                  <w:r>
                    <w:rPr>
                      <w:szCs w:val="21"/>
                    </w:rPr>
                    <w:t>/</w:t>
                  </w:r>
                </w:p>
              </w:tc>
            </w:tr>
            <w:tr w14:paraId="19D5BC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8" w:hRule="atLeast"/>
                <w:jc w:val="center"/>
              </w:trPr>
              <w:tc>
                <w:tcPr>
                  <w:tcW w:w="850" w:type="dxa"/>
                  <w:vMerge w:val="restart"/>
                  <w:tcBorders>
                    <w:top w:val="single" w:color="auto" w:sz="6" w:space="0"/>
                    <w:left w:val="single" w:color="auto" w:sz="12" w:space="0"/>
                    <w:right w:val="single" w:color="auto" w:sz="6" w:space="0"/>
                  </w:tcBorders>
                  <w:vAlign w:val="center"/>
                </w:tcPr>
                <w:p w14:paraId="13BCA16B">
                  <w:pPr>
                    <w:jc w:val="center"/>
                    <w:rPr>
                      <w:szCs w:val="21"/>
                    </w:rPr>
                  </w:pPr>
                  <w:r>
                    <w:rPr>
                      <w:rFonts w:hint="eastAsia"/>
                      <w:szCs w:val="21"/>
                    </w:rPr>
                    <w:t>储运工程</w:t>
                  </w:r>
                </w:p>
              </w:tc>
              <w:tc>
                <w:tcPr>
                  <w:tcW w:w="706" w:type="dxa"/>
                  <w:tcBorders>
                    <w:top w:val="single" w:color="auto" w:sz="6" w:space="0"/>
                    <w:left w:val="single" w:color="auto" w:sz="6" w:space="0"/>
                    <w:bottom w:val="single" w:color="auto" w:sz="6" w:space="0"/>
                    <w:right w:val="single" w:color="auto" w:sz="6" w:space="0"/>
                  </w:tcBorders>
                  <w:vAlign w:val="center"/>
                </w:tcPr>
                <w:p w14:paraId="468950F3">
                  <w:pPr>
                    <w:jc w:val="center"/>
                    <w:rPr>
                      <w:szCs w:val="21"/>
                    </w:rPr>
                  </w:pPr>
                  <w:r>
                    <w:rPr>
                      <w:rFonts w:hint="eastAsia"/>
                      <w:szCs w:val="21"/>
                    </w:rPr>
                    <w:t>成品仓库</w:t>
                  </w:r>
                </w:p>
              </w:tc>
              <w:tc>
                <w:tcPr>
                  <w:tcW w:w="3995" w:type="dxa"/>
                  <w:tcBorders>
                    <w:top w:val="single" w:color="auto" w:sz="6" w:space="0"/>
                    <w:left w:val="single" w:color="auto" w:sz="6" w:space="0"/>
                    <w:bottom w:val="single" w:color="auto" w:sz="6" w:space="0"/>
                    <w:right w:val="single" w:color="auto" w:sz="6" w:space="0"/>
                  </w:tcBorders>
                  <w:vAlign w:val="center"/>
                </w:tcPr>
                <w:p w14:paraId="1CF35445">
                  <w:pPr>
                    <w:jc w:val="center"/>
                    <w:rPr>
                      <w:szCs w:val="21"/>
                    </w:rPr>
                  </w:pPr>
                  <w:r>
                    <w:rPr>
                      <w:rFonts w:hint="eastAsia"/>
                      <w:szCs w:val="21"/>
                    </w:rPr>
                    <w:t>厂区布置成品仓库有两个部分，一个位于厂区北侧，占地面积约</w:t>
                  </w:r>
                  <w:r>
                    <w:rPr>
                      <w:szCs w:val="21"/>
                    </w:rPr>
                    <w:t>240</w:t>
                  </w:r>
                  <w:r>
                    <w:t xml:space="preserve"> </w:t>
                  </w:r>
                  <w:r>
                    <w:rPr>
                      <w:szCs w:val="21"/>
                    </w:rPr>
                    <w:t>m</w:t>
                  </w:r>
                  <w:r>
                    <w:rPr>
                      <w:szCs w:val="21"/>
                      <w:vertAlign w:val="superscript"/>
                    </w:rPr>
                    <w:t>2</w:t>
                  </w:r>
                  <w:r>
                    <w:rPr>
                      <w:rFonts w:hint="eastAsia"/>
                      <w:szCs w:val="21"/>
                    </w:rPr>
                    <w:t>，另一个位于加工区北侧，占地面积约</w:t>
                  </w:r>
                  <w:r>
                    <w:rPr>
                      <w:szCs w:val="21"/>
                    </w:rPr>
                    <w:t>300</w:t>
                  </w:r>
                  <w:r>
                    <w:t xml:space="preserve"> </w:t>
                  </w:r>
                  <w:r>
                    <w:rPr>
                      <w:szCs w:val="21"/>
                    </w:rPr>
                    <w:t>m</w:t>
                  </w:r>
                  <w:r>
                    <w:rPr>
                      <w:szCs w:val="21"/>
                      <w:vertAlign w:val="superscript"/>
                    </w:rPr>
                    <w:t>2</w:t>
                  </w:r>
                  <w:r>
                    <w:rPr>
                      <w:rFonts w:hint="eastAsia"/>
                      <w:szCs w:val="21"/>
                    </w:rPr>
                    <w:t>，皆为</w:t>
                  </w:r>
                  <w:r>
                    <w:rPr>
                      <w:szCs w:val="21"/>
                    </w:rPr>
                    <w:t>1F</w:t>
                  </w:r>
                  <w:r>
                    <w:rPr>
                      <w:rFonts w:hint="eastAsia"/>
                      <w:szCs w:val="21"/>
                    </w:rPr>
                    <w:t>框架结构，彩钢屋面，主要用于项目合格成品的堆放。</w:t>
                  </w:r>
                </w:p>
              </w:tc>
              <w:tc>
                <w:tcPr>
                  <w:tcW w:w="674" w:type="dxa"/>
                  <w:tcBorders>
                    <w:top w:val="single" w:color="auto" w:sz="6" w:space="0"/>
                    <w:left w:val="single" w:color="auto" w:sz="6" w:space="0"/>
                    <w:bottom w:val="single" w:color="auto" w:sz="6" w:space="0"/>
                    <w:right w:val="single" w:color="auto" w:sz="6" w:space="0"/>
                  </w:tcBorders>
                  <w:vAlign w:val="center"/>
                </w:tcPr>
                <w:p w14:paraId="3DF49450">
                  <w:pPr>
                    <w:jc w:val="center"/>
                    <w:rPr>
                      <w:szCs w:val="21"/>
                    </w:rPr>
                  </w:pPr>
                  <w:r>
                    <w:rPr>
                      <w:rFonts w:hint="eastAsia"/>
                      <w:szCs w:val="21"/>
                    </w:rPr>
                    <w:t>新建</w:t>
                  </w:r>
                </w:p>
              </w:tc>
              <w:tc>
                <w:tcPr>
                  <w:tcW w:w="1012" w:type="dxa"/>
                  <w:vMerge w:val="continue"/>
                  <w:tcBorders>
                    <w:top w:val="single" w:color="auto" w:sz="6" w:space="0"/>
                    <w:left w:val="single" w:color="auto" w:sz="6" w:space="0"/>
                    <w:bottom w:val="single" w:color="auto" w:sz="6" w:space="0"/>
                    <w:right w:val="single" w:color="auto" w:sz="6" w:space="0"/>
                  </w:tcBorders>
                  <w:vAlign w:val="center"/>
                </w:tcPr>
                <w:p w14:paraId="6AEA9235">
                  <w:pPr>
                    <w:jc w:val="center"/>
                    <w:rPr>
                      <w:szCs w:val="21"/>
                    </w:rPr>
                  </w:pPr>
                </w:p>
              </w:tc>
              <w:tc>
                <w:tcPr>
                  <w:tcW w:w="1045" w:type="dxa"/>
                  <w:tcBorders>
                    <w:top w:val="single" w:color="auto" w:sz="6" w:space="0"/>
                    <w:left w:val="single" w:color="auto" w:sz="6" w:space="0"/>
                    <w:bottom w:val="single" w:color="auto" w:sz="6" w:space="0"/>
                    <w:right w:val="single" w:color="auto" w:sz="12" w:space="0"/>
                  </w:tcBorders>
                  <w:vAlign w:val="center"/>
                </w:tcPr>
                <w:p w14:paraId="43F7F097">
                  <w:pPr>
                    <w:jc w:val="center"/>
                    <w:rPr>
                      <w:szCs w:val="21"/>
                    </w:rPr>
                  </w:pPr>
                  <w:r>
                    <w:rPr>
                      <w:rFonts w:hint="eastAsia"/>
                      <w:szCs w:val="21"/>
                    </w:rPr>
                    <w:t>固废</w:t>
                  </w:r>
                </w:p>
              </w:tc>
            </w:tr>
            <w:tr w14:paraId="4958D2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8" w:hRule="atLeast"/>
                <w:jc w:val="center"/>
              </w:trPr>
              <w:tc>
                <w:tcPr>
                  <w:tcW w:w="850" w:type="dxa"/>
                  <w:vMerge w:val="continue"/>
                  <w:tcBorders>
                    <w:left w:val="single" w:color="auto" w:sz="12" w:space="0"/>
                    <w:right w:val="single" w:color="auto" w:sz="6" w:space="0"/>
                  </w:tcBorders>
                  <w:vAlign w:val="center"/>
                </w:tcPr>
                <w:p w14:paraId="379D2255">
                  <w:pPr>
                    <w:jc w:val="center"/>
                    <w:rPr>
                      <w:szCs w:val="21"/>
                    </w:rPr>
                  </w:pPr>
                </w:p>
              </w:tc>
              <w:tc>
                <w:tcPr>
                  <w:tcW w:w="706" w:type="dxa"/>
                  <w:tcBorders>
                    <w:top w:val="single" w:color="auto" w:sz="6" w:space="0"/>
                    <w:left w:val="single" w:color="auto" w:sz="6" w:space="0"/>
                    <w:bottom w:val="single" w:color="auto" w:sz="6" w:space="0"/>
                    <w:right w:val="single" w:color="auto" w:sz="6" w:space="0"/>
                  </w:tcBorders>
                  <w:vAlign w:val="center"/>
                </w:tcPr>
                <w:p w14:paraId="223AF345">
                  <w:pPr>
                    <w:jc w:val="center"/>
                    <w:rPr>
                      <w:szCs w:val="21"/>
                    </w:rPr>
                  </w:pPr>
                  <w:r>
                    <w:rPr>
                      <w:rFonts w:hint="eastAsia"/>
                      <w:szCs w:val="21"/>
                    </w:rPr>
                    <w:t>原料堆放区</w:t>
                  </w:r>
                </w:p>
              </w:tc>
              <w:tc>
                <w:tcPr>
                  <w:tcW w:w="3995" w:type="dxa"/>
                  <w:tcBorders>
                    <w:top w:val="single" w:color="auto" w:sz="6" w:space="0"/>
                    <w:left w:val="single" w:color="auto" w:sz="6" w:space="0"/>
                    <w:bottom w:val="single" w:color="auto" w:sz="6" w:space="0"/>
                    <w:right w:val="single" w:color="auto" w:sz="6" w:space="0"/>
                  </w:tcBorders>
                  <w:vAlign w:val="center"/>
                </w:tcPr>
                <w:p w14:paraId="4A93501E">
                  <w:pPr>
                    <w:jc w:val="center"/>
                    <w:rPr>
                      <w:szCs w:val="21"/>
                    </w:rPr>
                  </w:pPr>
                  <w:r>
                    <w:rPr>
                      <w:rFonts w:hint="eastAsia"/>
                      <w:szCs w:val="21"/>
                    </w:rPr>
                    <w:t>位于厂区北部及南部，面积约</w:t>
                  </w:r>
                  <w:r>
                    <w:rPr>
                      <w:szCs w:val="21"/>
                    </w:rPr>
                    <w:t>2500 m</w:t>
                  </w:r>
                  <w:r>
                    <w:rPr>
                      <w:szCs w:val="21"/>
                      <w:vertAlign w:val="superscript"/>
                    </w:rPr>
                    <w:t>2</w:t>
                  </w:r>
                  <w:r>
                    <w:rPr>
                      <w:rFonts w:hint="eastAsia"/>
                      <w:szCs w:val="21"/>
                    </w:rPr>
                    <w:t>，主要用于原木材购回后临时堆放、晾晒，露天堆放。</w:t>
                  </w:r>
                </w:p>
              </w:tc>
              <w:tc>
                <w:tcPr>
                  <w:tcW w:w="674" w:type="dxa"/>
                  <w:tcBorders>
                    <w:top w:val="single" w:color="auto" w:sz="6" w:space="0"/>
                    <w:left w:val="single" w:color="auto" w:sz="6" w:space="0"/>
                    <w:bottom w:val="single" w:color="auto" w:sz="6" w:space="0"/>
                    <w:right w:val="single" w:color="auto" w:sz="6" w:space="0"/>
                  </w:tcBorders>
                  <w:vAlign w:val="center"/>
                </w:tcPr>
                <w:p w14:paraId="107575A1">
                  <w:pPr>
                    <w:jc w:val="center"/>
                    <w:rPr>
                      <w:szCs w:val="21"/>
                    </w:rPr>
                  </w:pPr>
                  <w:r>
                    <w:rPr>
                      <w:rFonts w:hint="eastAsia"/>
                      <w:szCs w:val="21"/>
                    </w:rPr>
                    <w:t>新建</w:t>
                  </w:r>
                </w:p>
              </w:tc>
              <w:tc>
                <w:tcPr>
                  <w:tcW w:w="1012" w:type="dxa"/>
                  <w:vMerge w:val="continue"/>
                  <w:tcBorders>
                    <w:top w:val="single" w:color="auto" w:sz="6" w:space="0"/>
                    <w:left w:val="single" w:color="auto" w:sz="6" w:space="0"/>
                    <w:bottom w:val="single" w:color="auto" w:sz="6" w:space="0"/>
                    <w:right w:val="single" w:color="auto" w:sz="6" w:space="0"/>
                  </w:tcBorders>
                  <w:vAlign w:val="center"/>
                </w:tcPr>
                <w:p w14:paraId="052E5618">
                  <w:pPr>
                    <w:jc w:val="center"/>
                    <w:rPr>
                      <w:szCs w:val="21"/>
                    </w:rPr>
                  </w:pPr>
                </w:p>
              </w:tc>
              <w:tc>
                <w:tcPr>
                  <w:tcW w:w="1045" w:type="dxa"/>
                  <w:tcBorders>
                    <w:top w:val="single" w:color="auto" w:sz="6" w:space="0"/>
                    <w:left w:val="single" w:color="auto" w:sz="6" w:space="0"/>
                    <w:bottom w:val="single" w:color="auto" w:sz="6" w:space="0"/>
                    <w:right w:val="single" w:color="auto" w:sz="12" w:space="0"/>
                  </w:tcBorders>
                  <w:vAlign w:val="center"/>
                </w:tcPr>
                <w:p w14:paraId="5DA97776">
                  <w:pPr>
                    <w:jc w:val="center"/>
                    <w:rPr>
                      <w:szCs w:val="21"/>
                    </w:rPr>
                  </w:pPr>
                  <w:r>
                    <w:rPr>
                      <w:rFonts w:hint="eastAsia"/>
                      <w:szCs w:val="21"/>
                    </w:rPr>
                    <w:t>固废</w:t>
                  </w:r>
                </w:p>
              </w:tc>
            </w:tr>
            <w:tr w14:paraId="3B6960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8" w:hRule="atLeast"/>
                <w:jc w:val="center"/>
              </w:trPr>
              <w:tc>
                <w:tcPr>
                  <w:tcW w:w="850" w:type="dxa"/>
                  <w:vMerge w:val="continue"/>
                  <w:tcBorders>
                    <w:left w:val="single" w:color="auto" w:sz="12" w:space="0"/>
                    <w:bottom w:val="single" w:color="auto" w:sz="6" w:space="0"/>
                    <w:right w:val="single" w:color="auto" w:sz="6" w:space="0"/>
                  </w:tcBorders>
                  <w:vAlign w:val="center"/>
                </w:tcPr>
                <w:p w14:paraId="500329A7">
                  <w:pPr>
                    <w:jc w:val="center"/>
                    <w:rPr>
                      <w:szCs w:val="21"/>
                    </w:rPr>
                  </w:pPr>
                </w:p>
              </w:tc>
              <w:tc>
                <w:tcPr>
                  <w:tcW w:w="706" w:type="dxa"/>
                  <w:tcBorders>
                    <w:top w:val="single" w:color="auto" w:sz="6" w:space="0"/>
                    <w:left w:val="single" w:color="auto" w:sz="6" w:space="0"/>
                    <w:bottom w:val="single" w:color="auto" w:sz="6" w:space="0"/>
                    <w:right w:val="single" w:color="auto" w:sz="6" w:space="0"/>
                  </w:tcBorders>
                  <w:vAlign w:val="center"/>
                </w:tcPr>
                <w:p w14:paraId="2461C4C3">
                  <w:pPr>
                    <w:jc w:val="center"/>
                    <w:rPr>
                      <w:szCs w:val="21"/>
                    </w:rPr>
                  </w:pPr>
                  <w:r>
                    <w:rPr>
                      <w:rFonts w:hint="eastAsia"/>
                      <w:szCs w:val="21"/>
                    </w:rPr>
                    <w:t>附属用房</w:t>
                  </w:r>
                </w:p>
              </w:tc>
              <w:tc>
                <w:tcPr>
                  <w:tcW w:w="3995" w:type="dxa"/>
                  <w:tcBorders>
                    <w:top w:val="single" w:color="auto" w:sz="6" w:space="0"/>
                    <w:left w:val="single" w:color="auto" w:sz="6" w:space="0"/>
                    <w:bottom w:val="single" w:color="auto" w:sz="6" w:space="0"/>
                    <w:right w:val="single" w:color="auto" w:sz="6" w:space="0"/>
                  </w:tcBorders>
                  <w:vAlign w:val="center"/>
                </w:tcPr>
                <w:p w14:paraId="55C62AA8">
                  <w:pPr>
                    <w:jc w:val="center"/>
                    <w:rPr>
                      <w:szCs w:val="21"/>
                    </w:rPr>
                  </w:pPr>
                  <w:r>
                    <w:rPr>
                      <w:rFonts w:hint="eastAsia"/>
                      <w:szCs w:val="21"/>
                    </w:rPr>
                    <w:t>位于办公及生活用房北侧，占地面积约</w:t>
                  </w:r>
                  <w:r>
                    <w:rPr>
                      <w:szCs w:val="21"/>
                    </w:rPr>
                    <w:t>180</w:t>
                  </w:r>
                  <w:r>
                    <w:t xml:space="preserve"> </w:t>
                  </w:r>
                  <w:r>
                    <w:rPr>
                      <w:szCs w:val="21"/>
                    </w:rPr>
                    <w:t>m</w:t>
                  </w:r>
                  <w:r>
                    <w:rPr>
                      <w:szCs w:val="21"/>
                      <w:vertAlign w:val="superscript"/>
                    </w:rPr>
                    <w:t>2</w:t>
                  </w:r>
                  <w:r>
                    <w:rPr>
                      <w:rFonts w:hint="eastAsia"/>
                      <w:szCs w:val="21"/>
                    </w:rPr>
                    <w:t>，主要用于存放设备零件等。</w:t>
                  </w:r>
                </w:p>
              </w:tc>
              <w:tc>
                <w:tcPr>
                  <w:tcW w:w="674" w:type="dxa"/>
                  <w:tcBorders>
                    <w:top w:val="single" w:color="auto" w:sz="6" w:space="0"/>
                    <w:left w:val="single" w:color="auto" w:sz="6" w:space="0"/>
                    <w:bottom w:val="single" w:color="auto" w:sz="6" w:space="0"/>
                    <w:right w:val="single" w:color="auto" w:sz="6" w:space="0"/>
                  </w:tcBorders>
                  <w:vAlign w:val="center"/>
                </w:tcPr>
                <w:p w14:paraId="2E5F4341">
                  <w:pPr>
                    <w:jc w:val="center"/>
                    <w:rPr>
                      <w:szCs w:val="21"/>
                    </w:rPr>
                  </w:pPr>
                  <w:r>
                    <w:rPr>
                      <w:rFonts w:hint="eastAsia"/>
                      <w:szCs w:val="21"/>
                    </w:rPr>
                    <w:t>新建</w:t>
                  </w:r>
                </w:p>
              </w:tc>
              <w:tc>
                <w:tcPr>
                  <w:tcW w:w="1012" w:type="dxa"/>
                  <w:vMerge w:val="continue"/>
                  <w:tcBorders>
                    <w:top w:val="single" w:color="auto" w:sz="6" w:space="0"/>
                    <w:left w:val="single" w:color="auto" w:sz="6" w:space="0"/>
                    <w:bottom w:val="single" w:color="auto" w:sz="6" w:space="0"/>
                    <w:right w:val="single" w:color="auto" w:sz="6" w:space="0"/>
                  </w:tcBorders>
                  <w:vAlign w:val="center"/>
                </w:tcPr>
                <w:p w14:paraId="17A3CE63">
                  <w:pPr>
                    <w:jc w:val="center"/>
                    <w:rPr>
                      <w:szCs w:val="21"/>
                    </w:rPr>
                  </w:pPr>
                </w:p>
              </w:tc>
              <w:tc>
                <w:tcPr>
                  <w:tcW w:w="1045" w:type="dxa"/>
                  <w:tcBorders>
                    <w:top w:val="single" w:color="auto" w:sz="6" w:space="0"/>
                    <w:left w:val="single" w:color="auto" w:sz="6" w:space="0"/>
                    <w:bottom w:val="single" w:color="auto" w:sz="6" w:space="0"/>
                    <w:right w:val="single" w:color="auto" w:sz="12" w:space="0"/>
                  </w:tcBorders>
                  <w:vAlign w:val="center"/>
                </w:tcPr>
                <w:p w14:paraId="0231612B">
                  <w:pPr>
                    <w:jc w:val="center"/>
                    <w:rPr>
                      <w:szCs w:val="21"/>
                    </w:rPr>
                  </w:pPr>
                </w:p>
              </w:tc>
            </w:tr>
            <w:tr w14:paraId="3E302E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850" w:type="dxa"/>
                  <w:vMerge w:val="restart"/>
                  <w:tcBorders>
                    <w:top w:val="single" w:color="auto" w:sz="6" w:space="0"/>
                    <w:left w:val="single" w:color="auto" w:sz="12" w:space="0"/>
                    <w:bottom w:val="single" w:color="auto" w:sz="6" w:space="0"/>
                    <w:right w:val="single" w:color="auto" w:sz="6" w:space="0"/>
                  </w:tcBorders>
                  <w:vAlign w:val="center"/>
                </w:tcPr>
                <w:p w14:paraId="6F838F77">
                  <w:pPr>
                    <w:ind w:left="-105" w:leftChars="-50" w:right="-105" w:rightChars="-50"/>
                    <w:jc w:val="center"/>
                    <w:rPr>
                      <w:szCs w:val="21"/>
                    </w:rPr>
                  </w:pPr>
                  <w:r>
                    <w:rPr>
                      <w:rFonts w:hint="eastAsia"/>
                      <w:szCs w:val="21"/>
                    </w:rPr>
                    <w:t>环保工程</w:t>
                  </w:r>
                </w:p>
              </w:tc>
              <w:tc>
                <w:tcPr>
                  <w:tcW w:w="706" w:type="dxa"/>
                  <w:tcBorders>
                    <w:top w:val="single" w:color="auto" w:sz="6" w:space="0"/>
                    <w:left w:val="single" w:color="auto" w:sz="6" w:space="0"/>
                    <w:bottom w:val="single" w:color="auto" w:sz="6" w:space="0"/>
                    <w:right w:val="single" w:color="auto" w:sz="6" w:space="0"/>
                  </w:tcBorders>
                  <w:vAlign w:val="center"/>
                </w:tcPr>
                <w:p w14:paraId="2523ABE3">
                  <w:pPr>
                    <w:jc w:val="center"/>
                    <w:rPr>
                      <w:szCs w:val="21"/>
                    </w:rPr>
                  </w:pPr>
                  <w:r>
                    <w:rPr>
                      <w:rFonts w:hint="eastAsia"/>
                      <w:szCs w:val="21"/>
                    </w:rPr>
                    <w:t>废气治理工程</w:t>
                  </w:r>
                </w:p>
              </w:tc>
              <w:tc>
                <w:tcPr>
                  <w:tcW w:w="3995" w:type="dxa"/>
                  <w:tcBorders>
                    <w:top w:val="single" w:color="auto" w:sz="6" w:space="0"/>
                    <w:left w:val="single" w:color="auto" w:sz="6" w:space="0"/>
                    <w:bottom w:val="single" w:color="auto" w:sz="6" w:space="0"/>
                    <w:right w:val="single" w:color="auto" w:sz="6" w:space="0"/>
                  </w:tcBorders>
                  <w:vAlign w:val="center"/>
                </w:tcPr>
                <w:p w14:paraId="6485ED6B">
                  <w:pPr>
                    <w:rPr>
                      <w:szCs w:val="21"/>
                    </w:rPr>
                  </w:pPr>
                  <w:r>
                    <w:rPr>
                      <w:rFonts w:hint="eastAsia"/>
                      <w:szCs w:val="21"/>
                    </w:rPr>
                    <w:t>车间通风、定期清扫</w:t>
                  </w:r>
                </w:p>
              </w:tc>
              <w:tc>
                <w:tcPr>
                  <w:tcW w:w="674" w:type="dxa"/>
                  <w:tcBorders>
                    <w:top w:val="single" w:color="auto" w:sz="6" w:space="0"/>
                    <w:left w:val="single" w:color="auto" w:sz="6" w:space="0"/>
                    <w:bottom w:val="single" w:color="auto" w:sz="6" w:space="0"/>
                    <w:right w:val="single" w:color="auto" w:sz="6" w:space="0"/>
                  </w:tcBorders>
                  <w:vAlign w:val="center"/>
                </w:tcPr>
                <w:p w14:paraId="00F2066E">
                  <w:pPr>
                    <w:jc w:val="center"/>
                    <w:rPr>
                      <w:szCs w:val="21"/>
                    </w:rPr>
                  </w:pPr>
                  <w:r>
                    <w:rPr>
                      <w:rFonts w:hint="eastAsia"/>
                      <w:szCs w:val="21"/>
                    </w:rPr>
                    <w:t>新建</w:t>
                  </w:r>
                </w:p>
              </w:tc>
              <w:tc>
                <w:tcPr>
                  <w:tcW w:w="1012" w:type="dxa"/>
                  <w:vMerge w:val="continue"/>
                  <w:tcBorders>
                    <w:top w:val="single" w:color="auto" w:sz="6" w:space="0"/>
                    <w:left w:val="single" w:color="auto" w:sz="6" w:space="0"/>
                    <w:bottom w:val="single" w:color="auto" w:sz="6" w:space="0"/>
                    <w:right w:val="single" w:color="auto" w:sz="6" w:space="0"/>
                  </w:tcBorders>
                  <w:vAlign w:val="center"/>
                </w:tcPr>
                <w:p w14:paraId="5FED544B">
                  <w:pPr>
                    <w:jc w:val="center"/>
                    <w:rPr>
                      <w:szCs w:val="21"/>
                    </w:rPr>
                  </w:pPr>
                </w:p>
              </w:tc>
              <w:tc>
                <w:tcPr>
                  <w:tcW w:w="1045" w:type="dxa"/>
                  <w:tcBorders>
                    <w:top w:val="single" w:color="auto" w:sz="6" w:space="0"/>
                    <w:left w:val="single" w:color="auto" w:sz="6" w:space="0"/>
                    <w:bottom w:val="single" w:color="auto" w:sz="6" w:space="0"/>
                    <w:right w:val="single" w:color="auto" w:sz="12" w:space="0"/>
                  </w:tcBorders>
                  <w:vAlign w:val="center"/>
                </w:tcPr>
                <w:p w14:paraId="2EC7B324">
                  <w:pPr>
                    <w:jc w:val="center"/>
                    <w:rPr>
                      <w:szCs w:val="21"/>
                    </w:rPr>
                  </w:pPr>
                  <w:r>
                    <w:rPr>
                      <w:rFonts w:hint="eastAsia"/>
                      <w:szCs w:val="21"/>
                    </w:rPr>
                    <w:t>废气</w:t>
                  </w:r>
                </w:p>
              </w:tc>
            </w:tr>
            <w:tr w14:paraId="41F13B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0" w:type="dxa"/>
                  <w:vMerge w:val="continue"/>
                  <w:tcBorders>
                    <w:top w:val="single" w:color="auto" w:sz="6" w:space="0"/>
                    <w:left w:val="single" w:color="auto" w:sz="12" w:space="0"/>
                    <w:bottom w:val="single" w:color="auto" w:sz="6" w:space="0"/>
                    <w:right w:val="single" w:color="auto" w:sz="6" w:space="0"/>
                  </w:tcBorders>
                  <w:vAlign w:val="center"/>
                </w:tcPr>
                <w:p w14:paraId="59792243">
                  <w:pPr>
                    <w:ind w:left="-105" w:leftChars="-50" w:right="-105" w:rightChars="-50"/>
                    <w:jc w:val="center"/>
                    <w:rPr>
                      <w:szCs w:val="21"/>
                    </w:rPr>
                  </w:pPr>
                </w:p>
              </w:tc>
              <w:tc>
                <w:tcPr>
                  <w:tcW w:w="706" w:type="dxa"/>
                  <w:vMerge w:val="restart"/>
                  <w:tcBorders>
                    <w:top w:val="single" w:color="auto" w:sz="6" w:space="0"/>
                    <w:left w:val="single" w:color="auto" w:sz="6" w:space="0"/>
                    <w:right w:val="single" w:color="auto" w:sz="6" w:space="0"/>
                  </w:tcBorders>
                  <w:vAlign w:val="center"/>
                </w:tcPr>
                <w:p w14:paraId="17244D64">
                  <w:pPr>
                    <w:jc w:val="center"/>
                    <w:rPr>
                      <w:szCs w:val="21"/>
                    </w:rPr>
                  </w:pPr>
                  <w:r>
                    <w:rPr>
                      <w:rFonts w:hint="eastAsia"/>
                      <w:szCs w:val="21"/>
                    </w:rPr>
                    <w:t>废水治理工程</w:t>
                  </w:r>
                </w:p>
              </w:tc>
              <w:tc>
                <w:tcPr>
                  <w:tcW w:w="3995" w:type="dxa"/>
                  <w:tcBorders>
                    <w:top w:val="single" w:color="auto" w:sz="6" w:space="0"/>
                    <w:left w:val="single" w:color="auto" w:sz="6" w:space="0"/>
                    <w:bottom w:val="single" w:color="auto" w:sz="6" w:space="0"/>
                    <w:right w:val="single" w:color="auto" w:sz="6" w:space="0"/>
                  </w:tcBorders>
                  <w:vAlign w:val="center"/>
                </w:tcPr>
                <w:p w14:paraId="66B9C221">
                  <w:pPr>
                    <w:rPr>
                      <w:szCs w:val="21"/>
                    </w:rPr>
                  </w:pPr>
                  <w:r>
                    <w:rPr>
                      <w:rFonts w:hint="eastAsia"/>
                      <w:szCs w:val="21"/>
                    </w:rPr>
                    <w:t>生活污水依托现有生活预处理池处理后，回用农肥处理</w:t>
                  </w:r>
                </w:p>
              </w:tc>
              <w:tc>
                <w:tcPr>
                  <w:tcW w:w="674" w:type="dxa"/>
                  <w:tcBorders>
                    <w:top w:val="single" w:color="auto" w:sz="6" w:space="0"/>
                    <w:left w:val="single" w:color="auto" w:sz="6" w:space="0"/>
                    <w:bottom w:val="single" w:color="auto" w:sz="6" w:space="0"/>
                    <w:right w:val="single" w:color="auto" w:sz="6" w:space="0"/>
                  </w:tcBorders>
                  <w:vAlign w:val="center"/>
                </w:tcPr>
                <w:p w14:paraId="7F594CCB">
                  <w:pPr>
                    <w:jc w:val="center"/>
                    <w:rPr>
                      <w:szCs w:val="21"/>
                    </w:rPr>
                  </w:pPr>
                  <w:r>
                    <w:rPr>
                      <w:rFonts w:hint="eastAsia"/>
                      <w:szCs w:val="21"/>
                    </w:rPr>
                    <w:t>依托</w:t>
                  </w:r>
                </w:p>
              </w:tc>
              <w:tc>
                <w:tcPr>
                  <w:tcW w:w="1012" w:type="dxa"/>
                  <w:vMerge w:val="continue"/>
                  <w:tcBorders>
                    <w:top w:val="single" w:color="auto" w:sz="6" w:space="0"/>
                    <w:left w:val="single" w:color="auto" w:sz="6" w:space="0"/>
                    <w:bottom w:val="single" w:color="auto" w:sz="6" w:space="0"/>
                    <w:right w:val="single" w:color="auto" w:sz="6" w:space="0"/>
                  </w:tcBorders>
                  <w:vAlign w:val="center"/>
                </w:tcPr>
                <w:p w14:paraId="1FE3FBAA">
                  <w:pPr>
                    <w:jc w:val="center"/>
                    <w:rPr>
                      <w:szCs w:val="21"/>
                    </w:rPr>
                  </w:pPr>
                </w:p>
              </w:tc>
              <w:tc>
                <w:tcPr>
                  <w:tcW w:w="1045" w:type="dxa"/>
                  <w:tcBorders>
                    <w:top w:val="single" w:color="auto" w:sz="6" w:space="0"/>
                    <w:left w:val="single" w:color="auto" w:sz="6" w:space="0"/>
                    <w:bottom w:val="single" w:color="auto" w:sz="6" w:space="0"/>
                    <w:right w:val="single" w:color="auto" w:sz="12" w:space="0"/>
                  </w:tcBorders>
                  <w:vAlign w:val="center"/>
                </w:tcPr>
                <w:p w14:paraId="083A5C3D">
                  <w:pPr>
                    <w:jc w:val="center"/>
                    <w:rPr>
                      <w:szCs w:val="21"/>
                    </w:rPr>
                  </w:pPr>
                  <w:r>
                    <w:rPr>
                      <w:rFonts w:hint="eastAsia"/>
                      <w:szCs w:val="21"/>
                    </w:rPr>
                    <w:t>生活污水、污泥</w:t>
                  </w:r>
                </w:p>
              </w:tc>
            </w:tr>
            <w:tr w14:paraId="39C333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0" w:type="dxa"/>
                  <w:vMerge w:val="continue"/>
                  <w:tcBorders>
                    <w:top w:val="single" w:color="auto" w:sz="6" w:space="0"/>
                    <w:left w:val="single" w:color="auto" w:sz="12" w:space="0"/>
                    <w:bottom w:val="single" w:color="auto" w:sz="6" w:space="0"/>
                    <w:right w:val="single" w:color="auto" w:sz="6" w:space="0"/>
                  </w:tcBorders>
                  <w:vAlign w:val="center"/>
                </w:tcPr>
                <w:p w14:paraId="1C2202F8">
                  <w:pPr>
                    <w:ind w:left="-105" w:leftChars="-50" w:right="-105" w:rightChars="-50"/>
                    <w:jc w:val="center"/>
                    <w:rPr>
                      <w:szCs w:val="21"/>
                    </w:rPr>
                  </w:pPr>
                </w:p>
              </w:tc>
              <w:tc>
                <w:tcPr>
                  <w:tcW w:w="706" w:type="dxa"/>
                  <w:vMerge w:val="continue"/>
                  <w:tcBorders>
                    <w:left w:val="single" w:color="auto" w:sz="6" w:space="0"/>
                    <w:bottom w:val="single" w:color="auto" w:sz="6" w:space="0"/>
                    <w:right w:val="single" w:color="auto" w:sz="6" w:space="0"/>
                  </w:tcBorders>
                  <w:vAlign w:val="center"/>
                </w:tcPr>
                <w:p w14:paraId="5FD89F83">
                  <w:pPr>
                    <w:jc w:val="center"/>
                    <w:rPr>
                      <w:szCs w:val="21"/>
                    </w:rPr>
                  </w:pPr>
                </w:p>
              </w:tc>
              <w:tc>
                <w:tcPr>
                  <w:tcW w:w="3995" w:type="dxa"/>
                  <w:tcBorders>
                    <w:top w:val="single" w:color="auto" w:sz="6" w:space="0"/>
                    <w:left w:val="single" w:color="auto" w:sz="6" w:space="0"/>
                    <w:bottom w:val="single" w:color="auto" w:sz="6" w:space="0"/>
                    <w:right w:val="single" w:color="auto" w:sz="6" w:space="0"/>
                  </w:tcBorders>
                  <w:vAlign w:val="center"/>
                </w:tcPr>
                <w:p w14:paraId="146C4001">
                  <w:pPr>
                    <w:rPr>
                      <w:szCs w:val="21"/>
                    </w:rPr>
                  </w:pPr>
                  <w:r>
                    <w:rPr>
                      <w:rFonts w:hint="eastAsia"/>
                      <w:szCs w:val="21"/>
                    </w:rPr>
                    <w:t>雨水设置雨水斗、导排沟</w:t>
                  </w:r>
                  <w:r>
                    <w:rPr>
                      <w:szCs w:val="21"/>
                    </w:rPr>
                    <w:t xml:space="preserve"> </w:t>
                  </w:r>
                </w:p>
              </w:tc>
              <w:tc>
                <w:tcPr>
                  <w:tcW w:w="674" w:type="dxa"/>
                  <w:tcBorders>
                    <w:top w:val="single" w:color="auto" w:sz="6" w:space="0"/>
                    <w:left w:val="single" w:color="auto" w:sz="6" w:space="0"/>
                    <w:bottom w:val="single" w:color="auto" w:sz="6" w:space="0"/>
                    <w:right w:val="single" w:color="auto" w:sz="6" w:space="0"/>
                  </w:tcBorders>
                  <w:vAlign w:val="center"/>
                </w:tcPr>
                <w:p w14:paraId="17E030EB">
                  <w:pPr>
                    <w:jc w:val="center"/>
                    <w:rPr>
                      <w:szCs w:val="21"/>
                    </w:rPr>
                  </w:pPr>
                  <w:r>
                    <w:rPr>
                      <w:rFonts w:hint="eastAsia"/>
                      <w:szCs w:val="21"/>
                    </w:rPr>
                    <w:t>新建</w:t>
                  </w:r>
                </w:p>
              </w:tc>
              <w:tc>
                <w:tcPr>
                  <w:tcW w:w="1012" w:type="dxa"/>
                  <w:vMerge w:val="continue"/>
                  <w:tcBorders>
                    <w:top w:val="single" w:color="auto" w:sz="6" w:space="0"/>
                    <w:left w:val="single" w:color="auto" w:sz="6" w:space="0"/>
                    <w:bottom w:val="single" w:color="auto" w:sz="6" w:space="0"/>
                    <w:right w:val="single" w:color="auto" w:sz="6" w:space="0"/>
                  </w:tcBorders>
                  <w:vAlign w:val="center"/>
                </w:tcPr>
                <w:p w14:paraId="0EC176F3">
                  <w:pPr>
                    <w:jc w:val="center"/>
                    <w:rPr>
                      <w:szCs w:val="21"/>
                    </w:rPr>
                  </w:pPr>
                </w:p>
              </w:tc>
              <w:tc>
                <w:tcPr>
                  <w:tcW w:w="1045" w:type="dxa"/>
                  <w:tcBorders>
                    <w:top w:val="single" w:color="auto" w:sz="6" w:space="0"/>
                    <w:left w:val="single" w:color="auto" w:sz="6" w:space="0"/>
                    <w:bottom w:val="single" w:color="auto" w:sz="6" w:space="0"/>
                    <w:right w:val="single" w:color="auto" w:sz="12" w:space="0"/>
                  </w:tcBorders>
                  <w:vAlign w:val="center"/>
                </w:tcPr>
                <w:p w14:paraId="2EFCF802">
                  <w:pPr>
                    <w:jc w:val="center"/>
                    <w:rPr>
                      <w:szCs w:val="21"/>
                    </w:rPr>
                  </w:pPr>
                  <w:r>
                    <w:rPr>
                      <w:rFonts w:hint="eastAsia"/>
                      <w:szCs w:val="21"/>
                    </w:rPr>
                    <w:t>雨水</w:t>
                  </w:r>
                </w:p>
              </w:tc>
            </w:tr>
            <w:tr w14:paraId="30B9B6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0" w:type="dxa"/>
                  <w:vMerge w:val="continue"/>
                  <w:tcBorders>
                    <w:top w:val="single" w:color="auto" w:sz="6" w:space="0"/>
                    <w:left w:val="single" w:color="auto" w:sz="12" w:space="0"/>
                    <w:bottom w:val="single" w:color="auto" w:sz="6" w:space="0"/>
                    <w:right w:val="single" w:color="auto" w:sz="6" w:space="0"/>
                  </w:tcBorders>
                  <w:vAlign w:val="center"/>
                </w:tcPr>
                <w:p w14:paraId="5E8343FB">
                  <w:pPr>
                    <w:ind w:left="-105" w:leftChars="-50" w:right="-105" w:rightChars="-50"/>
                    <w:jc w:val="center"/>
                    <w:rPr>
                      <w:szCs w:val="21"/>
                    </w:rPr>
                  </w:pPr>
                </w:p>
              </w:tc>
              <w:tc>
                <w:tcPr>
                  <w:tcW w:w="706" w:type="dxa"/>
                  <w:vMerge w:val="restart"/>
                  <w:tcBorders>
                    <w:top w:val="single" w:color="auto" w:sz="6" w:space="0"/>
                    <w:left w:val="single" w:color="auto" w:sz="6" w:space="0"/>
                    <w:bottom w:val="single" w:color="auto" w:sz="6" w:space="0"/>
                    <w:right w:val="single" w:color="auto" w:sz="6" w:space="0"/>
                  </w:tcBorders>
                  <w:vAlign w:val="center"/>
                </w:tcPr>
                <w:p w14:paraId="6CD3E8C5">
                  <w:pPr>
                    <w:jc w:val="center"/>
                    <w:rPr>
                      <w:szCs w:val="21"/>
                    </w:rPr>
                  </w:pPr>
                  <w:r>
                    <w:rPr>
                      <w:rFonts w:hint="eastAsia"/>
                      <w:szCs w:val="21"/>
                    </w:rPr>
                    <w:t>固废治理工程</w:t>
                  </w:r>
                </w:p>
              </w:tc>
              <w:tc>
                <w:tcPr>
                  <w:tcW w:w="3995" w:type="dxa"/>
                  <w:tcBorders>
                    <w:top w:val="single" w:color="auto" w:sz="6" w:space="0"/>
                    <w:left w:val="single" w:color="auto" w:sz="6" w:space="0"/>
                    <w:bottom w:val="single" w:color="auto" w:sz="6" w:space="0"/>
                    <w:right w:val="single" w:color="auto" w:sz="6" w:space="0"/>
                  </w:tcBorders>
                  <w:vAlign w:val="center"/>
                </w:tcPr>
                <w:p w14:paraId="1895BFAF">
                  <w:pPr>
                    <w:rPr>
                      <w:szCs w:val="21"/>
                    </w:rPr>
                  </w:pPr>
                  <w:r>
                    <w:rPr>
                      <w:szCs w:val="21"/>
                    </w:rPr>
                    <w:t>生活垃圾经垃圾收集桶收集，由</w:t>
                  </w:r>
                  <w:r>
                    <w:rPr>
                      <w:rFonts w:hint="eastAsia"/>
                      <w:szCs w:val="21"/>
                    </w:rPr>
                    <w:t>村委会</w:t>
                  </w:r>
                  <w:r>
                    <w:rPr>
                      <w:szCs w:val="21"/>
                    </w:rPr>
                    <w:t>统一</w:t>
                  </w:r>
                  <w:r>
                    <w:rPr>
                      <w:rFonts w:hint="eastAsia"/>
                      <w:szCs w:val="21"/>
                    </w:rPr>
                    <w:t>收集处理</w:t>
                  </w:r>
                </w:p>
              </w:tc>
              <w:tc>
                <w:tcPr>
                  <w:tcW w:w="674" w:type="dxa"/>
                  <w:tcBorders>
                    <w:top w:val="single" w:color="auto" w:sz="6" w:space="0"/>
                    <w:left w:val="single" w:color="auto" w:sz="6" w:space="0"/>
                    <w:bottom w:val="single" w:color="auto" w:sz="6" w:space="0"/>
                    <w:right w:val="single" w:color="auto" w:sz="6" w:space="0"/>
                  </w:tcBorders>
                  <w:vAlign w:val="center"/>
                </w:tcPr>
                <w:p w14:paraId="43E768A0">
                  <w:pPr>
                    <w:jc w:val="center"/>
                    <w:rPr>
                      <w:szCs w:val="21"/>
                    </w:rPr>
                  </w:pPr>
                  <w:r>
                    <w:rPr>
                      <w:rFonts w:hint="eastAsia"/>
                      <w:szCs w:val="21"/>
                    </w:rPr>
                    <w:t>新建</w:t>
                  </w:r>
                </w:p>
              </w:tc>
              <w:tc>
                <w:tcPr>
                  <w:tcW w:w="1012" w:type="dxa"/>
                  <w:vMerge w:val="continue"/>
                  <w:tcBorders>
                    <w:top w:val="single" w:color="auto" w:sz="6" w:space="0"/>
                    <w:left w:val="single" w:color="auto" w:sz="6" w:space="0"/>
                    <w:bottom w:val="single" w:color="auto" w:sz="6" w:space="0"/>
                    <w:right w:val="single" w:color="auto" w:sz="6" w:space="0"/>
                  </w:tcBorders>
                  <w:vAlign w:val="center"/>
                </w:tcPr>
                <w:p w14:paraId="1FA5A9FA">
                  <w:pPr>
                    <w:jc w:val="center"/>
                    <w:rPr>
                      <w:szCs w:val="21"/>
                    </w:rPr>
                  </w:pPr>
                </w:p>
              </w:tc>
              <w:tc>
                <w:tcPr>
                  <w:tcW w:w="1045" w:type="dxa"/>
                  <w:vMerge w:val="restart"/>
                  <w:tcBorders>
                    <w:top w:val="single" w:color="auto" w:sz="6" w:space="0"/>
                    <w:left w:val="single" w:color="auto" w:sz="6" w:space="0"/>
                    <w:bottom w:val="single" w:color="auto" w:sz="6" w:space="0"/>
                    <w:right w:val="single" w:color="auto" w:sz="12" w:space="0"/>
                  </w:tcBorders>
                  <w:vAlign w:val="center"/>
                </w:tcPr>
                <w:p w14:paraId="3176AC38">
                  <w:pPr>
                    <w:jc w:val="center"/>
                    <w:rPr>
                      <w:szCs w:val="21"/>
                    </w:rPr>
                  </w:pPr>
                  <w:r>
                    <w:rPr>
                      <w:rFonts w:hint="eastAsia"/>
                      <w:szCs w:val="21"/>
                    </w:rPr>
                    <w:t>固废</w:t>
                  </w:r>
                </w:p>
              </w:tc>
            </w:tr>
            <w:tr w14:paraId="540181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0" w:type="dxa"/>
                  <w:vMerge w:val="continue"/>
                  <w:tcBorders>
                    <w:top w:val="single" w:color="auto" w:sz="6" w:space="0"/>
                    <w:left w:val="single" w:color="auto" w:sz="12" w:space="0"/>
                    <w:bottom w:val="single" w:color="auto" w:sz="6" w:space="0"/>
                    <w:right w:val="single" w:color="auto" w:sz="6" w:space="0"/>
                  </w:tcBorders>
                  <w:vAlign w:val="center"/>
                </w:tcPr>
                <w:p w14:paraId="5F95D557">
                  <w:pPr>
                    <w:ind w:left="-105" w:leftChars="-50" w:right="-105" w:rightChars="-50"/>
                    <w:jc w:val="center"/>
                    <w:rPr>
                      <w:szCs w:val="21"/>
                    </w:rPr>
                  </w:pPr>
                </w:p>
              </w:tc>
              <w:tc>
                <w:tcPr>
                  <w:tcW w:w="706" w:type="dxa"/>
                  <w:vMerge w:val="continue"/>
                  <w:tcBorders>
                    <w:top w:val="single" w:color="auto" w:sz="6" w:space="0"/>
                    <w:left w:val="single" w:color="auto" w:sz="6" w:space="0"/>
                    <w:bottom w:val="single" w:color="auto" w:sz="6" w:space="0"/>
                    <w:right w:val="single" w:color="auto" w:sz="6" w:space="0"/>
                  </w:tcBorders>
                  <w:vAlign w:val="center"/>
                </w:tcPr>
                <w:p w14:paraId="1226565B">
                  <w:pPr>
                    <w:jc w:val="center"/>
                    <w:rPr>
                      <w:szCs w:val="21"/>
                    </w:rPr>
                  </w:pPr>
                </w:p>
              </w:tc>
              <w:tc>
                <w:tcPr>
                  <w:tcW w:w="3995" w:type="dxa"/>
                  <w:tcBorders>
                    <w:top w:val="single" w:color="auto" w:sz="6" w:space="0"/>
                    <w:left w:val="single" w:color="auto" w:sz="6" w:space="0"/>
                    <w:bottom w:val="single" w:color="auto" w:sz="6" w:space="0"/>
                    <w:right w:val="single" w:color="auto" w:sz="6" w:space="0"/>
                  </w:tcBorders>
                  <w:vAlign w:val="center"/>
                </w:tcPr>
                <w:p w14:paraId="63CB9C2D">
                  <w:pPr>
                    <w:rPr>
                      <w:szCs w:val="21"/>
                    </w:rPr>
                  </w:pPr>
                  <w:r>
                    <w:rPr>
                      <w:rFonts w:hint="eastAsia"/>
                      <w:szCs w:val="21"/>
                    </w:rPr>
                    <w:t>一般固废堆场位于中部生产车间南侧，占地</w:t>
                  </w:r>
                  <w:r>
                    <w:rPr>
                      <w:szCs w:val="21"/>
                    </w:rPr>
                    <w:t>500m</w:t>
                  </w:r>
                  <w:r>
                    <w:rPr>
                      <w:szCs w:val="21"/>
                      <w:vertAlign w:val="superscript"/>
                    </w:rPr>
                    <w:t>2</w:t>
                  </w:r>
                  <w:r>
                    <w:rPr>
                      <w:rFonts w:hint="eastAsia"/>
                      <w:szCs w:val="21"/>
                    </w:rPr>
                    <w:t>，暂存点修建做到三围一挡，避免对环境造成污染。生产固废主要为切割时产生的木屑和废弃木材，经收集后应采用袋装暂存于规范的暂存点，外售处理。</w:t>
                  </w:r>
                </w:p>
              </w:tc>
              <w:tc>
                <w:tcPr>
                  <w:tcW w:w="674" w:type="dxa"/>
                  <w:tcBorders>
                    <w:top w:val="single" w:color="auto" w:sz="6" w:space="0"/>
                    <w:left w:val="single" w:color="auto" w:sz="6" w:space="0"/>
                    <w:bottom w:val="single" w:color="auto" w:sz="6" w:space="0"/>
                    <w:right w:val="single" w:color="auto" w:sz="6" w:space="0"/>
                  </w:tcBorders>
                  <w:vAlign w:val="center"/>
                </w:tcPr>
                <w:p w14:paraId="15335041">
                  <w:pPr>
                    <w:jc w:val="center"/>
                    <w:rPr>
                      <w:szCs w:val="21"/>
                    </w:rPr>
                  </w:pPr>
                  <w:r>
                    <w:rPr>
                      <w:rFonts w:hint="eastAsia"/>
                      <w:szCs w:val="21"/>
                    </w:rPr>
                    <w:t>新建</w:t>
                  </w:r>
                </w:p>
              </w:tc>
              <w:tc>
                <w:tcPr>
                  <w:tcW w:w="1012" w:type="dxa"/>
                  <w:vMerge w:val="continue"/>
                  <w:tcBorders>
                    <w:top w:val="single" w:color="auto" w:sz="6" w:space="0"/>
                    <w:left w:val="single" w:color="auto" w:sz="6" w:space="0"/>
                    <w:bottom w:val="single" w:color="auto" w:sz="6" w:space="0"/>
                    <w:right w:val="single" w:color="auto" w:sz="6" w:space="0"/>
                  </w:tcBorders>
                  <w:vAlign w:val="center"/>
                </w:tcPr>
                <w:p w14:paraId="6C9A8249">
                  <w:pPr>
                    <w:jc w:val="center"/>
                    <w:rPr>
                      <w:szCs w:val="21"/>
                    </w:rPr>
                  </w:pPr>
                </w:p>
              </w:tc>
              <w:tc>
                <w:tcPr>
                  <w:tcW w:w="1045" w:type="dxa"/>
                  <w:vMerge w:val="continue"/>
                  <w:tcBorders>
                    <w:top w:val="single" w:color="auto" w:sz="6" w:space="0"/>
                    <w:left w:val="single" w:color="auto" w:sz="6" w:space="0"/>
                    <w:bottom w:val="single" w:color="auto" w:sz="6" w:space="0"/>
                    <w:right w:val="single" w:color="auto" w:sz="12" w:space="0"/>
                  </w:tcBorders>
                  <w:vAlign w:val="center"/>
                </w:tcPr>
                <w:p w14:paraId="7E851EF4">
                  <w:pPr>
                    <w:jc w:val="center"/>
                    <w:rPr>
                      <w:szCs w:val="21"/>
                    </w:rPr>
                  </w:pPr>
                </w:p>
              </w:tc>
            </w:tr>
            <w:tr w14:paraId="75D4CA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0" w:type="dxa"/>
                  <w:vMerge w:val="continue"/>
                  <w:tcBorders>
                    <w:top w:val="single" w:color="auto" w:sz="6" w:space="0"/>
                    <w:left w:val="single" w:color="auto" w:sz="12" w:space="0"/>
                    <w:bottom w:val="single" w:color="auto" w:sz="12" w:space="0"/>
                    <w:right w:val="single" w:color="auto" w:sz="6" w:space="0"/>
                  </w:tcBorders>
                  <w:vAlign w:val="center"/>
                </w:tcPr>
                <w:p w14:paraId="047B64A7">
                  <w:pPr>
                    <w:ind w:left="-105" w:leftChars="-50" w:right="-105" w:rightChars="-50"/>
                    <w:jc w:val="center"/>
                    <w:rPr>
                      <w:szCs w:val="21"/>
                    </w:rPr>
                  </w:pPr>
                </w:p>
              </w:tc>
              <w:tc>
                <w:tcPr>
                  <w:tcW w:w="706" w:type="dxa"/>
                  <w:tcBorders>
                    <w:top w:val="single" w:color="auto" w:sz="6" w:space="0"/>
                    <w:left w:val="single" w:color="auto" w:sz="6" w:space="0"/>
                    <w:bottom w:val="single" w:color="auto" w:sz="12" w:space="0"/>
                    <w:right w:val="single" w:color="auto" w:sz="6" w:space="0"/>
                  </w:tcBorders>
                  <w:vAlign w:val="center"/>
                </w:tcPr>
                <w:p w14:paraId="0CD10E99">
                  <w:pPr>
                    <w:jc w:val="center"/>
                    <w:rPr>
                      <w:szCs w:val="21"/>
                    </w:rPr>
                  </w:pPr>
                  <w:r>
                    <w:rPr>
                      <w:rFonts w:hint="eastAsia"/>
                      <w:szCs w:val="21"/>
                    </w:rPr>
                    <w:t>噪声治理工程</w:t>
                  </w:r>
                </w:p>
              </w:tc>
              <w:tc>
                <w:tcPr>
                  <w:tcW w:w="3995" w:type="dxa"/>
                  <w:tcBorders>
                    <w:top w:val="single" w:color="auto" w:sz="6" w:space="0"/>
                    <w:left w:val="single" w:color="auto" w:sz="6" w:space="0"/>
                    <w:bottom w:val="single" w:color="auto" w:sz="12" w:space="0"/>
                    <w:right w:val="single" w:color="auto" w:sz="6" w:space="0"/>
                  </w:tcBorders>
                  <w:vAlign w:val="center"/>
                </w:tcPr>
                <w:p w14:paraId="4B29B256">
                  <w:pPr>
                    <w:rPr>
                      <w:szCs w:val="21"/>
                    </w:rPr>
                  </w:pPr>
                  <w:r>
                    <w:rPr>
                      <w:rFonts w:hint="eastAsia"/>
                      <w:szCs w:val="21"/>
                    </w:rPr>
                    <w:t>对项目设备采取合理布局、基础减震和厂房隔声等措施，减少设备噪声对周边环境的影响。</w:t>
                  </w:r>
                </w:p>
              </w:tc>
              <w:tc>
                <w:tcPr>
                  <w:tcW w:w="674" w:type="dxa"/>
                  <w:tcBorders>
                    <w:top w:val="single" w:color="auto" w:sz="6" w:space="0"/>
                    <w:left w:val="single" w:color="auto" w:sz="6" w:space="0"/>
                    <w:bottom w:val="single" w:color="auto" w:sz="12" w:space="0"/>
                    <w:right w:val="single" w:color="auto" w:sz="6" w:space="0"/>
                  </w:tcBorders>
                  <w:vAlign w:val="center"/>
                </w:tcPr>
                <w:p w14:paraId="19AB7445">
                  <w:pPr>
                    <w:jc w:val="center"/>
                    <w:rPr>
                      <w:szCs w:val="21"/>
                    </w:rPr>
                  </w:pPr>
                  <w:r>
                    <w:rPr>
                      <w:rFonts w:hint="eastAsia"/>
                      <w:szCs w:val="21"/>
                    </w:rPr>
                    <w:t>新建</w:t>
                  </w:r>
                </w:p>
              </w:tc>
              <w:tc>
                <w:tcPr>
                  <w:tcW w:w="1012" w:type="dxa"/>
                  <w:vMerge w:val="continue"/>
                  <w:tcBorders>
                    <w:top w:val="single" w:color="auto" w:sz="6" w:space="0"/>
                    <w:left w:val="single" w:color="auto" w:sz="6" w:space="0"/>
                    <w:bottom w:val="single" w:color="auto" w:sz="12" w:space="0"/>
                    <w:right w:val="single" w:color="auto" w:sz="6" w:space="0"/>
                  </w:tcBorders>
                  <w:vAlign w:val="center"/>
                </w:tcPr>
                <w:p w14:paraId="61984B8A">
                  <w:pPr>
                    <w:jc w:val="center"/>
                    <w:rPr>
                      <w:szCs w:val="21"/>
                    </w:rPr>
                  </w:pPr>
                </w:p>
              </w:tc>
              <w:tc>
                <w:tcPr>
                  <w:tcW w:w="1045" w:type="dxa"/>
                  <w:tcBorders>
                    <w:top w:val="single" w:color="auto" w:sz="6" w:space="0"/>
                    <w:left w:val="single" w:color="auto" w:sz="6" w:space="0"/>
                    <w:bottom w:val="single" w:color="auto" w:sz="12" w:space="0"/>
                    <w:right w:val="single" w:color="auto" w:sz="12" w:space="0"/>
                  </w:tcBorders>
                  <w:vAlign w:val="center"/>
                </w:tcPr>
                <w:p w14:paraId="2A96CA1F">
                  <w:pPr>
                    <w:jc w:val="center"/>
                    <w:rPr>
                      <w:szCs w:val="21"/>
                    </w:rPr>
                  </w:pPr>
                  <w:r>
                    <w:rPr>
                      <w:rFonts w:hint="eastAsia"/>
                      <w:szCs w:val="21"/>
                    </w:rPr>
                    <w:t>噪声</w:t>
                  </w:r>
                </w:p>
              </w:tc>
            </w:tr>
          </w:tbl>
          <w:p w14:paraId="7F70FAC8">
            <w:pPr>
              <w:widowControl/>
              <w:adjustRightInd w:val="0"/>
              <w:snapToGrid w:val="0"/>
              <w:spacing w:line="360" w:lineRule="auto"/>
              <w:ind w:right="92" w:rightChars="44" w:firstLine="480" w:firstLineChars="200"/>
              <w:jc w:val="left"/>
              <w:rPr>
                <w:snapToGrid w:val="0"/>
                <w:kern w:val="0"/>
                <w:sz w:val="24"/>
              </w:rPr>
            </w:pPr>
            <w:r>
              <w:rPr>
                <w:b/>
                <w:sz w:val="24"/>
              </w:rPr>
              <w:t>4</w:t>
            </w:r>
            <w:r>
              <w:rPr>
                <w:rFonts w:hint="eastAsia"/>
                <w:b/>
                <w:sz w:val="24"/>
              </w:rPr>
              <w:t>、主要设备清单</w:t>
            </w:r>
          </w:p>
          <w:p w14:paraId="2C51CF0E">
            <w:pPr>
              <w:spacing w:line="276" w:lineRule="auto"/>
              <w:ind w:firstLine="468" w:firstLineChars="195"/>
              <w:textAlignment w:val="baseline"/>
              <w:rPr>
                <w:sz w:val="24"/>
              </w:rPr>
            </w:pPr>
            <w:r>
              <w:rPr>
                <w:rFonts w:hint="eastAsia"/>
                <w:sz w:val="24"/>
              </w:rPr>
              <w:t>项目生产过程中使用以下设备，具体见下表</w:t>
            </w:r>
            <w:r>
              <w:rPr>
                <w:sz w:val="24"/>
              </w:rPr>
              <w:t>1-3</w:t>
            </w:r>
            <w:r>
              <w:rPr>
                <w:rFonts w:hint="eastAsia"/>
                <w:sz w:val="24"/>
              </w:rPr>
              <w:t>。</w:t>
            </w:r>
          </w:p>
          <w:p w14:paraId="5981246D">
            <w:pPr>
              <w:widowControl/>
              <w:adjustRightInd w:val="0"/>
              <w:snapToGrid w:val="0"/>
              <w:spacing w:line="276" w:lineRule="auto"/>
              <w:ind w:left="63" w:leftChars="30" w:right="92" w:rightChars="44" w:firstLine="480" w:firstLineChars="200"/>
              <w:jc w:val="center"/>
              <w:rPr>
                <w:rFonts w:ascii="黑体" w:hAnsi="黑体" w:eastAsia="黑体"/>
                <w:snapToGrid w:val="0"/>
                <w:kern w:val="0"/>
                <w:sz w:val="24"/>
              </w:rPr>
            </w:pPr>
            <w:r>
              <w:rPr>
                <w:rFonts w:hint="eastAsia" w:ascii="黑体" w:hAnsi="黑体" w:eastAsia="黑体"/>
                <w:snapToGrid w:val="0"/>
                <w:kern w:val="0"/>
                <w:sz w:val="24"/>
              </w:rPr>
              <w:t>表</w:t>
            </w:r>
            <w:r>
              <w:rPr>
                <w:rFonts w:ascii="黑体" w:hAnsi="黑体" w:eastAsia="黑体"/>
                <w:snapToGrid w:val="0"/>
                <w:kern w:val="0"/>
                <w:sz w:val="24"/>
              </w:rPr>
              <w:t xml:space="preserve">1-3  </w:t>
            </w:r>
            <w:r>
              <w:rPr>
                <w:rFonts w:hint="eastAsia" w:ascii="黑体" w:hAnsi="黑体" w:eastAsia="黑体"/>
                <w:snapToGrid w:val="0"/>
                <w:kern w:val="0"/>
                <w:sz w:val="24"/>
              </w:rPr>
              <w:t>项目主要设备清单</w:t>
            </w:r>
          </w:p>
          <w:tbl>
            <w:tblPr>
              <w:tblStyle w:val="25"/>
              <w:tblW w:w="83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5"/>
              <w:gridCol w:w="2083"/>
              <w:gridCol w:w="2406"/>
              <w:gridCol w:w="2638"/>
            </w:tblGrid>
            <w:tr w14:paraId="5DDEE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1175" w:type="dxa"/>
                  <w:tcBorders>
                    <w:top w:val="single" w:color="auto" w:sz="12" w:space="0"/>
                    <w:left w:val="single" w:color="auto" w:sz="12" w:space="0"/>
                    <w:bottom w:val="single" w:color="auto" w:sz="12" w:space="0"/>
                    <w:right w:val="single" w:color="auto" w:sz="4" w:space="0"/>
                  </w:tcBorders>
                  <w:vAlign w:val="center"/>
                </w:tcPr>
                <w:p w14:paraId="4A5F495B">
                  <w:pPr>
                    <w:widowControl/>
                    <w:adjustRightInd w:val="0"/>
                    <w:snapToGrid w:val="0"/>
                    <w:ind w:right="92" w:rightChars="44"/>
                    <w:jc w:val="center"/>
                    <w:rPr>
                      <w:snapToGrid w:val="0"/>
                      <w:kern w:val="0"/>
                      <w:szCs w:val="21"/>
                    </w:rPr>
                  </w:pPr>
                  <w:r>
                    <w:rPr>
                      <w:rFonts w:hint="eastAsia"/>
                      <w:snapToGrid w:val="0"/>
                      <w:kern w:val="0"/>
                      <w:szCs w:val="21"/>
                    </w:rPr>
                    <w:t>序号</w:t>
                  </w:r>
                </w:p>
              </w:tc>
              <w:tc>
                <w:tcPr>
                  <w:tcW w:w="2083" w:type="dxa"/>
                  <w:tcBorders>
                    <w:top w:val="single" w:color="auto" w:sz="12" w:space="0"/>
                    <w:left w:val="single" w:color="auto" w:sz="4" w:space="0"/>
                    <w:bottom w:val="single" w:color="auto" w:sz="12" w:space="0"/>
                    <w:right w:val="single" w:color="auto" w:sz="4" w:space="0"/>
                  </w:tcBorders>
                  <w:vAlign w:val="center"/>
                </w:tcPr>
                <w:p w14:paraId="448E0725">
                  <w:pPr>
                    <w:widowControl/>
                    <w:adjustRightInd w:val="0"/>
                    <w:snapToGrid w:val="0"/>
                    <w:ind w:right="92" w:rightChars="44"/>
                    <w:jc w:val="center"/>
                    <w:rPr>
                      <w:snapToGrid w:val="0"/>
                      <w:kern w:val="0"/>
                      <w:szCs w:val="21"/>
                    </w:rPr>
                  </w:pPr>
                  <w:r>
                    <w:rPr>
                      <w:rFonts w:hint="eastAsia"/>
                      <w:snapToGrid w:val="0"/>
                      <w:kern w:val="0"/>
                      <w:szCs w:val="21"/>
                    </w:rPr>
                    <w:t>设备名称</w:t>
                  </w:r>
                </w:p>
              </w:tc>
              <w:tc>
                <w:tcPr>
                  <w:tcW w:w="2406" w:type="dxa"/>
                  <w:tcBorders>
                    <w:top w:val="single" w:color="auto" w:sz="12" w:space="0"/>
                    <w:left w:val="single" w:color="auto" w:sz="4" w:space="0"/>
                    <w:bottom w:val="single" w:color="auto" w:sz="12" w:space="0"/>
                    <w:right w:val="single" w:color="auto" w:sz="4" w:space="0"/>
                  </w:tcBorders>
                  <w:vAlign w:val="center"/>
                </w:tcPr>
                <w:p w14:paraId="17B4DD2D">
                  <w:pPr>
                    <w:widowControl/>
                    <w:adjustRightInd w:val="0"/>
                    <w:snapToGrid w:val="0"/>
                    <w:ind w:right="92" w:rightChars="44"/>
                    <w:jc w:val="center"/>
                    <w:rPr>
                      <w:snapToGrid w:val="0"/>
                      <w:kern w:val="0"/>
                      <w:szCs w:val="21"/>
                    </w:rPr>
                  </w:pPr>
                  <w:r>
                    <w:rPr>
                      <w:rFonts w:hint="eastAsia"/>
                      <w:snapToGrid w:val="0"/>
                      <w:kern w:val="0"/>
                      <w:szCs w:val="21"/>
                    </w:rPr>
                    <w:t>数量（台）</w:t>
                  </w:r>
                </w:p>
              </w:tc>
              <w:tc>
                <w:tcPr>
                  <w:tcW w:w="2638" w:type="dxa"/>
                  <w:tcBorders>
                    <w:top w:val="single" w:color="auto" w:sz="12" w:space="0"/>
                    <w:left w:val="single" w:color="auto" w:sz="4" w:space="0"/>
                    <w:bottom w:val="single" w:color="auto" w:sz="12" w:space="0"/>
                    <w:right w:val="single" w:color="auto" w:sz="12" w:space="0"/>
                  </w:tcBorders>
                  <w:vAlign w:val="center"/>
                </w:tcPr>
                <w:p w14:paraId="1095CCCF">
                  <w:pPr>
                    <w:widowControl/>
                    <w:adjustRightInd w:val="0"/>
                    <w:snapToGrid w:val="0"/>
                    <w:ind w:right="92" w:rightChars="44"/>
                    <w:jc w:val="center"/>
                    <w:rPr>
                      <w:snapToGrid w:val="0"/>
                      <w:kern w:val="0"/>
                      <w:szCs w:val="21"/>
                    </w:rPr>
                  </w:pPr>
                  <w:r>
                    <w:rPr>
                      <w:rFonts w:hint="eastAsia"/>
                      <w:snapToGrid w:val="0"/>
                      <w:kern w:val="0"/>
                      <w:szCs w:val="21"/>
                    </w:rPr>
                    <w:t>备注</w:t>
                  </w:r>
                </w:p>
              </w:tc>
            </w:tr>
            <w:tr w14:paraId="0950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75" w:type="dxa"/>
                  <w:tcBorders>
                    <w:top w:val="single" w:color="auto" w:sz="12" w:space="0"/>
                    <w:left w:val="single" w:color="auto" w:sz="12" w:space="0"/>
                    <w:bottom w:val="single" w:color="auto" w:sz="4" w:space="0"/>
                    <w:right w:val="single" w:color="auto" w:sz="4" w:space="0"/>
                  </w:tcBorders>
                  <w:vAlign w:val="center"/>
                </w:tcPr>
                <w:p w14:paraId="4AC2494D">
                  <w:pPr>
                    <w:widowControl/>
                    <w:adjustRightInd w:val="0"/>
                    <w:snapToGrid w:val="0"/>
                    <w:ind w:right="92" w:rightChars="44"/>
                    <w:jc w:val="center"/>
                    <w:rPr>
                      <w:snapToGrid w:val="0"/>
                      <w:kern w:val="0"/>
                      <w:szCs w:val="21"/>
                    </w:rPr>
                  </w:pPr>
                  <w:r>
                    <w:rPr>
                      <w:snapToGrid w:val="0"/>
                      <w:kern w:val="0"/>
                      <w:szCs w:val="21"/>
                    </w:rPr>
                    <w:t>1</w:t>
                  </w:r>
                </w:p>
              </w:tc>
              <w:tc>
                <w:tcPr>
                  <w:tcW w:w="2083" w:type="dxa"/>
                  <w:tcBorders>
                    <w:top w:val="single" w:color="auto" w:sz="12" w:space="0"/>
                    <w:left w:val="single" w:color="auto" w:sz="4" w:space="0"/>
                    <w:bottom w:val="single" w:color="auto" w:sz="4" w:space="0"/>
                    <w:right w:val="single" w:color="auto" w:sz="4" w:space="0"/>
                  </w:tcBorders>
                  <w:vAlign w:val="center"/>
                </w:tcPr>
                <w:p w14:paraId="1A82EA63">
                  <w:pPr>
                    <w:widowControl/>
                    <w:adjustRightInd w:val="0"/>
                    <w:snapToGrid w:val="0"/>
                    <w:ind w:right="92" w:rightChars="44"/>
                    <w:jc w:val="center"/>
                    <w:rPr>
                      <w:snapToGrid w:val="0"/>
                      <w:kern w:val="0"/>
                      <w:szCs w:val="21"/>
                    </w:rPr>
                  </w:pPr>
                  <w:r>
                    <w:rPr>
                      <w:rFonts w:hint="eastAsia"/>
                      <w:snapToGrid w:val="0"/>
                      <w:kern w:val="0"/>
                      <w:szCs w:val="21"/>
                    </w:rPr>
                    <w:t>3</w:t>
                  </w:r>
                  <w:r>
                    <w:rPr>
                      <w:snapToGrid w:val="0"/>
                      <w:kern w:val="0"/>
                      <w:szCs w:val="21"/>
                    </w:rPr>
                    <w:t>0</w:t>
                  </w:r>
                  <w:r>
                    <w:rPr>
                      <w:rFonts w:hint="eastAsia"/>
                      <w:snapToGrid w:val="0"/>
                      <w:kern w:val="0"/>
                      <w:szCs w:val="21"/>
                    </w:rPr>
                    <w:t>型圆木机</w:t>
                  </w:r>
                </w:p>
              </w:tc>
              <w:tc>
                <w:tcPr>
                  <w:tcW w:w="2406" w:type="dxa"/>
                  <w:tcBorders>
                    <w:top w:val="single" w:color="auto" w:sz="12" w:space="0"/>
                    <w:left w:val="single" w:color="auto" w:sz="4" w:space="0"/>
                    <w:bottom w:val="single" w:color="auto" w:sz="4" w:space="0"/>
                    <w:right w:val="single" w:color="auto" w:sz="4" w:space="0"/>
                  </w:tcBorders>
                  <w:vAlign w:val="center"/>
                </w:tcPr>
                <w:p w14:paraId="2B66A285">
                  <w:pPr>
                    <w:widowControl/>
                    <w:adjustRightInd w:val="0"/>
                    <w:snapToGrid w:val="0"/>
                    <w:ind w:right="92" w:rightChars="44"/>
                    <w:jc w:val="center"/>
                    <w:rPr>
                      <w:snapToGrid w:val="0"/>
                      <w:kern w:val="0"/>
                      <w:szCs w:val="21"/>
                    </w:rPr>
                  </w:pPr>
                  <w:r>
                    <w:rPr>
                      <w:rFonts w:hint="eastAsia"/>
                      <w:snapToGrid w:val="0"/>
                      <w:kern w:val="0"/>
                      <w:szCs w:val="21"/>
                    </w:rPr>
                    <w:t>1</w:t>
                  </w:r>
                </w:p>
              </w:tc>
              <w:tc>
                <w:tcPr>
                  <w:tcW w:w="2638" w:type="dxa"/>
                  <w:tcBorders>
                    <w:top w:val="single" w:color="auto" w:sz="12" w:space="0"/>
                    <w:left w:val="single" w:color="auto" w:sz="4" w:space="0"/>
                    <w:bottom w:val="single" w:color="auto" w:sz="4" w:space="0"/>
                    <w:right w:val="single" w:color="auto" w:sz="12" w:space="0"/>
                  </w:tcBorders>
                  <w:vAlign w:val="center"/>
                </w:tcPr>
                <w:p w14:paraId="1B7597E5">
                  <w:pPr>
                    <w:widowControl/>
                    <w:adjustRightInd w:val="0"/>
                    <w:snapToGrid w:val="0"/>
                    <w:ind w:right="92" w:rightChars="44"/>
                    <w:jc w:val="center"/>
                    <w:rPr>
                      <w:snapToGrid w:val="0"/>
                      <w:kern w:val="0"/>
                      <w:szCs w:val="21"/>
                    </w:rPr>
                  </w:pPr>
                  <w:r>
                    <w:rPr>
                      <w:rFonts w:hint="eastAsia"/>
                      <w:snapToGrid w:val="0"/>
                      <w:kern w:val="0"/>
                      <w:szCs w:val="21"/>
                    </w:rPr>
                    <w:t>锯料</w:t>
                  </w:r>
                </w:p>
              </w:tc>
            </w:tr>
            <w:tr w14:paraId="1D03F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jc w:val="center"/>
              </w:trPr>
              <w:tc>
                <w:tcPr>
                  <w:tcW w:w="1175" w:type="dxa"/>
                  <w:tcBorders>
                    <w:top w:val="single" w:color="auto" w:sz="4" w:space="0"/>
                    <w:left w:val="single" w:color="auto" w:sz="12" w:space="0"/>
                    <w:bottom w:val="single" w:color="auto" w:sz="4" w:space="0"/>
                    <w:right w:val="single" w:color="auto" w:sz="4" w:space="0"/>
                  </w:tcBorders>
                  <w:vAlign w:val="center"/>
                </w:tcPr>
                <w:p w14:paraId="7E11BB41">
                  <w:pPr>
                    <w:widowControl/>
                    <w:adjustRightInd w:val="0"/>
                    <w:snapToGrid w:val="0"/>
                    <w:ind w:right="92" w:rightChars="44"/>
                    <w:jc w:val="center"/>
                    <w:rPr>
                      <w:snapToGrid w:val="0"/>
                      <w:kern w:val="0"/>
                      <w:szCs w:val="21"/>
                    </w:rPr>
                  </w:pPr>
                  <w:r>
                    <w:rPr>
                      <w:snapToGrid w:val="0"/>
                      <w:kern w:val="0"/>
                      <w:szCs w:val="21"/>
                    </w:rPr>
                    <w:t>2</w:t>
                  </w:r>
                </w:p>
              </w:tc>
              <w:tc>
                <w:tcPr>
                  <w:tcW w:w="2083" w:type="dxa"/>
                  <w:tcBorders>
                    <w:top w:val="single" w:color="auto" w:sz="4" w:space="0"/>
                    <w:left w:val="single" w:color="auto" w:sz="4" w:space="0"/>
                    <w:bottom w:val="single" w:color="auto" w:sz="4" w:space="0"/>
                    <w:right w:val="single" w:color="auto" w:sz="4" w:space="0"/>
                  </w:tcBorders>
                  <w:vAlign w:val="center"/>
                </w:tcPr>
                <w:p w14:paraId="0949BA9B">
                  <w:pPr>
                    <w:widowControl/>
                    <w:adjustRightInd w:val="0"/>
                    <w:snapToGrid w:val="0"/>
                    <w:ind w:right="92" w:rightChars="44"/>
                    <w:jc w:val="center"/>
                    <w:rPr>
                      <w:snapToGrid w:val="0"/>
                      <w:kern w:val="0"/>
                      <w:szCs w:val="21"/>
                    </w:rPr>
                  </w:pPr>
                  <w:r>
                    <w:rPr>
                      <w:rFonts w:hint="eastAsia"/>
                      <w:snapToGrid w:val="0"/>
                      <w:kern w:val="0"/>
                      <w:szCs w:val="21"/>
                    </w:rPr>
                    <w:t>2</w:t>
                  </w:r>
                  <w:r>
                    <w:rPr>
                      <w:snapToGrid w:val="0"/>
                      <w:kern w:val="0"/>
                      <w:szCs w:val="21"/>
                    </w:rPr>
                    <w:t>0</w:t>
                  </w:r>
                  <w:r>
                    <w:rPr>
                      <w:rFonts w:hint="eastAsia"/>
                      <w:snapToGrid w:val="0"/>
                      <w:kern w:val="0"/>
                      <w:szCs w:val="21"/>
                    </w:rPr>
                    <w:t>型圆木机</w:t>
                  </w:r>
                </w:p>
              </w:tc>
              <w:tc>
                <w:tcPr>
                  <w:tcW w:w="2406" w:type="dxa"/>
                  <w:tcBorders>
                    <w:top w:val="single" w:color="auto" w:sz="4" w:space="0"/>
                    <w:left w:val="single" w:color="auto" w:sz="4" w:space="0"/>
                    <w:bottom w:val="single" w:color="auto" w:sz="4" w:space="0"/>
                    <w:right w:val="single" w:color="auto" w:sz="4" w:space="0"/>
                  </w:tcBorders>
                  <w:vAlign w:val="center"/>
                </w:tcPr>
                <w:p w14:paraId="6C8887E0">
                  <w:pPr>
                    <w:widowControl/>
                    <w:adjustRightInd w:val="0"/>
                    <w:snapToGrid w:val="0"/>
                    <w:ind w:right="92" w:rightChars="44"/>
                    <w:jc w:val="center"/>
                    <w:rPr>
                      <w:snapToGrid w:val="0"/>
                      <w:kern w:val="0"/>
                      <w:szCs w:val="21"/>
                    </w:rPr>
                  </w:pPr>
                  <w:r>
                    <w:rPr>
                      <w:rFonts w:hint="eastAsia"/>
                      <w:snapToGrid w:val="0"/>
                      <w:kern w:val="0"/>
                      <w:szCs w:val="21"/>
                    </w:rPr>
                    <w:t>1</w:t>
                  </w:r>
                </w:p>
              </w:tc>
              <w:tc>
                <w:tcPr>
                  <w:tcW w:w="2638" w:type="dxa"/>
                  <w:tcBorders>
                    <w:top w:val="single" w:color="auto" w:sz="4" w:space="0"/>
                    <w:left w:val="single" w:color="auto" w:sz="4" w:space="0"/>
                    <w:bottom w:val="single" w:color="auto" w:sz="4" w:space="0"/>
                    <w:right w:val="single" w:color="auto" w:sz="12" w:space="0"/>
                  </w:tcBorders>
                  <w:vAlign w:val="center"/>
                </w:tcPr>
                <w:p w14:paraId="4CD185B9">
                  <w:pPr>
                    <w:widowControl/>
                    <w:adjustRightInd w:val="0"/>
                    <w:snapToGrid w:val="0"/>
                    <w:ind w:right="92" w:rightChars="44"/>
                    <w:jc w:val="center"/>
                    <w:rPr>
                      <w:snapToGrid w:val="0"/>
                      <w:kern w:val="0"/>
                      <w:szCs w:val="21"/>
                    </w:rPr>
                  </w:pPr>
                  <w:r>
                    <w:rPr>
                      <w:rFonts w:hint="eastAsia"/>
                      <w:snapToGrid w:val="0"/>
                      <w:kern w:val="0"/>
                      <w:szCs w:val="21"/>
                    </w:rPr>
                    <w:t>锯料</w:t>
                  </w:r>
                </w:p>
              </w:tc>
            </w:tr>
            <w:tr w14:paraId="086D4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jc w:val="center"/>
              </w:trPr>
              <w:tc>
                <w:tcPr>
                  <w:tcW w:w="1175" w:type="dxa"/>
                  <w:tcBorders>
                    <w:top w:val="single" w:color="auto" w:sz="4" w:space="0"/>
                    <w:left w:val="single" w:color="auto" w:sz="12" w:space="0"/>
                    <w:bottom w:val="single" w:color="auto" w:sz="4" w:space="0"/>
                    <w:right w:val="single" w:color="auto" w:sz="4" w:space="0"/>
                  </w:tcBorders>
                  <w:vAlign w:val="center"/>
                </w:tcPr>
                <w:p w14:paraId="6CE7D63A">
                  <w:pPr>
                    <w:widowControl/>
                    <w:adjustRightInd w:val="0"/>
                    <w:snapToGrid w:val="0"/>
                    <w:ind w:right="92" w:rightChars="44"/>
                    <w:jc w:val="center"/>
                    <w:rPr>
                      <w:snapToGrid w:val="0"/>
                      <w:kern w:val="0"/>
                      <w:szCs w:val="21"/>
                    </w:rPr>
                  </w:pPr>
                  <w:r>
                    <w:rPr>
                      <w:rFonts w:hint="eastAsia"/>
                      <w:snapToGrid w:val="0"/>
                      <w:kern w:val="0"/>
                      <w:szCs w:val="21"/>
                    </w:rPr>
                    <w:t>3</w:t>
                  </w:r>
                </w:p>
              </w:tc>
              <w:tc>
                <w:tcPr>
                  <w:tcW w:w="2083" w:type="dxa"/>
                  <w:tcBorders>
                    <w:top w:val="single" w:color="auto" w:sz="4" w:space="0"/>
                    <w:left w:val="single" w:color="auto" w:sz="4" w:space="0"/>
                    <w:bottom w:val="single" w:color="auto" w:sz="4" w:space="0"/>
                    <w:right w:val="single" w:color="auto" w:sz="4" w:space="0"/>
                  </w:tcBorders>
                  <w:vAlign w:val="center"/>
                </w:tcPr>
                <w:p w14:paraId="15124F95">
                  <w:pPr>
                    <w:widowControl/>
                    <w:adjustRightInd w:val="0"/>
                    <w:snapToGrid w:val="0"/>
                    <w:ind w:right="92" w:rightChars="44"/>
                    <w:jc w:val="center"/>
                    <w:rPr>
                      <w:snapToGrid w:val="0"/>
                      <w:kern w:val="0"/>
                      <w:szCs w:val="21"/>
                    </w:rPr>
                  </w:pPr>
                  <w:r>
                    <w:rPr>
                      <w:rFonts w:hint="eastAsia"/>
                      <w:snapToGrid w:val="0"/>
                      <w:kern w:val="0"/>
                      <w:szCs w:val="21"/>
                    </w:rPr>
                    <w:t>1</w:t>
                  </w:r>
                  <w:r>
                    <w:rPr>
                      <w:snapToGrid w:val="0"/>
                      <w:kern w:val="0"/>
                      <w:szCs w:val="21"/>
                    </w:rPr>
                    <w:t>2</w:t>
                  </w:r>
                  <w:r>
                    <w:rPr>
                      <w:rFonts w:hint="eastAsia"/>
                      <w:snapToGrid w:val="0"/>
                      <w:kern w:val="0"/>
                      <w:szCs w:val="21"/>
                    </w:rPr>
                    <w:t>型方木多片锯</w:t>
                  </w:r>
                </w:p>
              </w:tc>
              <w:tc>
                <w:tcPr>
                  <w:tcW w:w="2406" w:type="dxa"/>
                  <w:tcBorders>
                    <w:top w:val="single" w:color="auto" w:sz="4" w:space="0"/>
                    <w:left w:val="single" w:color="auto" w:sz="4" w:space="0"/>
                    <w:bottom w:val="single" w:color="auto" w:sz="4" w:space="0"/>
                    <w:right w:val="single" w:color="auto" w:sz="4" w:space="0"/>
                  </w:tcBorders>
                  <w:vAlign w:val="center"/>
                </w:tcPr>
                <w:p w14:paraId="7A83C458">
                  <w:pPr>
                    <w:widowControl/>
                    <w:adjustRightInd w:val="0"/>
                    <w:snapToGrid w:val="0"/>
                    <w:ind w:right="92" w:rightChars="44"/>
                    <w:jc w:val="center"/>
                    <w:rPr>
                      <w:snapToGrid w:val="0"/>
                      <w:kern w:val="0"/>
                      <w:szCs w:val="21"/>
                    </w:rPr>
                  </w:pPr>
                  <w:r>
                    <w:rPr>
                      <w:rFonts w:hint="eastAsia"/>
                      <w:snapToGrid w:val="0"/>
                      <w:kern w:val="0"/>
                      <w:szCs w:val="21"/>
                    </w:rPr>
                    <w:t>2</w:t>
                  </w:r>
                </w:p>
              </w:tc>
              <w:tc>
                <w:tcPr>
                  <w:tcW w:w="2638" w:type="dxa"/>
                  <w:tcBorders>
                    <w:top w:val="single" w:color="auto" w:sz="4" w:space="0"/>
                    <w:left w:val="single" w:color="auto" w:sz="4" w:space="0"/>
                    <w:bottom w:val="single" w:color="auto" w:sz="4" w:space="0"/>
                    <w:right w:val="single" w:color="auto" w:sz="12" w:space="0"/>
                  </w:tcBorders>
                  <w:vAlign w:val="center"/>
                </w:tcPr>
                <w:p w14:paraId="2C104D2B">
                  <w:pPr>
                    <w:widowControl/>
                    <w:adjustRightInd w:val="0"/>
                    <w:snapToGrid w:val="0"/>
                    <w:ind w:right="92" w:rightChars="44"/>
                    <w:jc w:val="center"/>
                    <w:rPr>
                      <w:snapToGrid w:val="0"/>
                      <w:kern w:val="0"/>
                      <w:szCs w:val="21"/>
                    </w:rPr>
                  </w:pPr>
                  <w:r>
                    <w:rPr>
                      <w:rFonts w:hint="eastAsia"/>
                      <w:snapToGrid w:val="0"/>
                      <w:kern w:val="0"/>
                      <w:szCs w:val="21"/>
                    </w:rPr>
                    <w:t>锯料</w:t>
                  </w:r>
                </w:p>
              </w:tc>
            </w:tr>
            <w:tr w14:paraId="295AA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jc w:val="center"/>
              </w:trPr>
              <w:tc>
                <w:tcPr>
                  <w:tcW w:w="1175" w:type="dxa"/>
                  <w:tcBorders>
                    <w:top w:val="single" w:color="auto" w:sz="4" w:space="0"/>
                    <w:left w:val="single" w:color="auto" w:sz="12" w:space="0"/>
                    <w:bottom w:val="single" w:color="auto" w:sz="4" w:space="0"/>
                    <w:right w:val="single" w:color="auto" w:sz="4" w:space="0"/>
                  </w:tcBorders>
                  <w:vAlign w:val="center"/>
                </w:tcPr>
                <w:p w14:paraId="045C151B">
                  <w:pPr>
                    <w:widowControl/>
                    <w:adjustRightInd w:val="0"/>
                    <w:snapToGrid w:val="0"/>
                    <w:ind w:right="92" w:rightChars="44"/>
                    <w:jc w:val="center"/>
                    <w:rPr>
                      <w:snapToGrid w:val="0"/>
                      <w:kern w:val="0"/>
                      <w:szCs w:val="21"/>
                    </w:rPr>
                  </w:pPr>
                  <w:r>
                    <w:rPr>
                      <w:rFonts w:hint="eastAsia"/>
                      <w:snapToGrid w:val="0"/>
                      <w:kern w:val="0"/>
                      <w:szCs w:val="21"/>
                    </w:rPr>
                    <w:t>4</w:t>
                  </w:r>
                </w:p>
              </w:tc>
              <w:tc>
                <w:tcPr>
                  <w:tcW w:w="2083" w:type="dxa"/>
                  <w:tcBorders>
                    <w:top w:val="single" w:color="auto" w:sz="4" w:space="0"/>
                    <w:left w:val="single" w:color="auto" w:sz="4" w:space="0"/>
                    <w:bottom w:val="single" w:color="auto" w:sz="4" w:space="0"/>
                    <w:right w:val="single" w:color="auto" w:sz="4" w:space="0"/>
                  </w:tcBorders>
                  <w:vAlign w:val="center"/>
                </w:tcPr>
                <w:p w14:paraId="5BA25FAF">
                  <w:pPr>
                    <w:widowControl/>
                    <w:adjustRightInd w:val="0"/>
                    <w:snapToGrid w:val="0"/>
                    <w:ind w:right="92" w:rightChars="44"/>
                    <w:jc w:val="center"/>
                    <w:rPr>
                      <w:snapToGrid w:val="0"/>
                      <w:kern w:val="0"/>
                      <w:szCs w:val="21"/>
                    </w:rPr>
                  </w:pPr>
                  <w:r>
                    <w:rPr>
                      <w:rFonts w:hint="eastAsia"/>
                      <w:snapToGrid w:val="0"/>
                      <w:kern w:val="0"/>
                      <w:szCs w:val="21"/>
                    </w:rPr>
                    <w:t>2</w:t>
                  </w:r>
                  <w:r>
                    <w:rPr>
                      <w:snapToGrid w:val="0"/>
                      <w:kern w:val="0"/>
                      <w:szCs w:val="21"/>
                    </w:rPr>
                    <w:t>5</w:t>
                  </w:r>
                  <w:r>
                    <w:rPr>
                      <w:rFonts w:hint="eastAsia"/>
                      <w:snapToGrid w:val="0"/>
                      <w:kern w:val="0"/>
                      <w:szCs w:val="21"/>
                    </w:rPr>
                    <w:t>型边皮锯</w:t>
                  </w:r>
                </w:p>
              </w:tc>
              <w:tc>
                <w:tcPr>
                  <w:tcW w:w="2406" w:type="dxa"/>
                  <w:tcBorders>
                    <w:top w:val="single" w:color="auto" w:sz="4" w:space="0"/>
                    <w:left w:val="single" w:color="auto" w:sz="4" w:space="0"/>
                    <w:bottom w:val="single" w:color="auto" w:sz="4" w:space="0"/>
                    <w:right w:val="single" w:color="auto" w:sz="4" w:space="0"/>
                  </w:tcBorders>
                  <w:vAlign w:val="center"/>
                </w:tcPr>
                <w:p w14:paraId="7F3DA339">
                  <w:pPr>
                    <w:widowControl/>
                    <w:adjustRightInd w:val="0"/>
                    <w:snapToGrid w:val="0"/>
                    <w:ind w:right="92" w:rightChars="44"/>
                    <w:jc w:val="center"/>
                    <w:rPr>
                      <w:snapToGrid w:val="0"/>
                      <w:kern w:val="0"/>
                      <w:szCs w:val="21"/>
                    </w:rPr>
                  </w:pPr>
                  <w:r>
                    <w:rPr>
                      <w:rFonts w:hint="eastAsia"/>
                      <w:snapToGrid w:val="0"/>
                      <w:kern w:val="0"/>
                      <w:szCs w:val="21"/>
                    </w:rPr>
                    <w:t>1</w:t>
                  </w:r>
                </w:p>
              </w:tc>
              <w:tc>
                <w:tcPr>
                  <w:tcW w:w="2638" w:type="dxa"/>
                  <w:tcBorders>
                    <w:top w:val="single" w:color="auto" w:sz="4" w:space="0"/>
                    <w:left w:val="single" w:color="auto" w:sz="4" w:space="0"/>
                    <w:bottom w:val="single" w:color="auto" w:sz="4" w:space="0"/>
                    <w:right w:val="single" w:color="auto" w:sz="12" w:space="0"/>
                  </w:tcBorders>
                  <w:vAlign w:val="center"/>
                </w:tcPr>
                <w:p w14:paraId="7AABBC10">
                  <w:pPr>
                    <w:widowControl/>
                    <w:adjustRightInd w:val="0"/>
                    <w:snapToGrid w:val="0"/>
                    <w:ind w:right="92" w:rightChars="44"/>
                    <w:jc w:val="center"/>
                    <w:rPr>
                      <w:snapToGrid w:val="0"/>
                      <w:kern w:val="0"/>
                      <w:szCs w:val="21"/>
                    </w:rPr>
                  </w:pPr>
                  <w:r>
                    <w:rPr>
                      <w:rFonts w:hint="eastAsia"/>
                      <w:snapToGrid w:val="0"/>
                      <w:kern w:val="0"/>
                      <w:szCs w:val="21"/>
                    </w:rPr>
                    <w:t>去皮</w:t>
                  </w:r>
                </w:p>
              </w:tc>
            </w:tr>
            <w:tr w14:paraId="385C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jc w:val="center"/>
              </w:trPr>
              <w:tc>
                <w:tcPr>
                  <w:tcW w:w="1175" w:type="dxa"/>
                  <w:tcBorders>
                    <w:top w:val="single" w:color="auto" w:sz="4" w:space="0"/>
                    <w:left w:val="single" w:color="auto" w:sz="12" w:space="0"/>
                    <w:bottom w:val="single" w:color="auto" w:sz="4" w:space="0"/>
                    <w:right w:val="single" w:color="auto" w:sz="4" w:space="0"/>
                  </w:tcBorders>
                  <w:vAlign w:val="center"/>
                </w:tcPr>
                <w:p w14:paraId="1CBB0B8D">
                  <w:pPr>
                    <w:widowControl/>
                    <w:adjustRightInd w:val="0"/>
                    <w:snapToGrid w:val="0"/>
                    <w:ind w:right="92" w:rightChars="44"/>
                    <w:jc w:val="center"/>
                    <w:rPr>
                      <w:snapToGrid w:val="0"/>
                      <w:kern w:val="0"/>
                      <w:szCs w:val="21"/>
                    </w:rPr>
                  </w:pPr>
                  <w:r>
                    <w:rPr>
                      <w:rFonts w:hint="eastAsia"/>
                      <w:snapToGrid w:val="0"/>
                      <w:kern w:val="0"/>
                      <w:szCs w:val="21"/>
                    </w:rPr>
                    <w:t>5</w:t>
                  </w:r>
                </w:p>
              </w:tc>
              <w:tc>
                <w:tcPr>
                  <w:tcW w:w="2083" w:type="dxa"/>
                  <w:tcBorders>
                    <w:top w:val="single" w:color="auto" w:sz="4" w:space="0"/>
                    <w:left w:val="single" w:color="auto" w:sz="4" w:space="0"/>
                    <w:bottom w:val="single" w:color="auto" w:sz="4" w:space="0"/>
                    <w:right w:val="single" w:color="auto" w:sz="4" w:space="0"/>
                  </w:tcBorders>
                  <w:vAlign w:val="center"/>
                </w:tcPr>
                <w:p w14:paraId="4EB6EBC0">
                  <w:pPr>
                    <w:widowControl/>
                    <w:adjustRightInd w:val="0"/>
                    <w:snapToGrid w:val="0"/>
                    <w:ind w:right="92" w:rightChars="44"/>
                    <w:jc w:val="center"/>
                    <w:rPr>
                      <w:snapToGrid w:val="0"/>
                      <w:kern w:val="0"/>
                      <w:szCs w:val="21"/>
                    </w:rPr>
                  </w:pPr>
                  <w:r>
                    <w:rPr>
                      <w:rFonts w:hint="eastAsia"/>
                      <w:snapToGrid w:val="0"/>
                      <w:kern w:val="0"/>
                      <w:szCs w:val="21"/>
                    </w:rPr>
                    <w:t>6型方木多片锯</w:t>
                  </w:r>
                </w:p>
              </w:tc>
              <w:tc>
                <w:tcPr>
                  <w:tcW w:w="2406" w:type="dxa"/>
                  <w:tcBorders>
                    <w:top w:val="single" w:color="auto" w:sz="4" w:space="0"/>
                    <w:left w:val="single" w:color="auto" w:sz="4" w:space="0"/>
                    <w:bottom w:val="single" w:color="auto" w:sz="4" w:space="0"/>
                    <w:right w:val="single" w:color="auto" w:sz="4" w:space="0"/>
                  </w:tcBorders>
                  <w:vAlign w:val="center"/>
                </w:tcPr>
                <w:p w14:paraId="5A7F022F">
                  <w:pPr>
                    <w:widowControl/>
                    <w:adjustRightInd w:val="0"/>
                    <w:snapToGrid w:val="0"/>
                    <w:ind w:right="92" w:rightChars="44"/>
                    <w:jc w:val="center"/>
                    <w:rPr>
                      <w:snapToGrid w:val="0"/>
                      <w:kern w:val="0"/>
                      <w:szCs w:val="21"/>
                    </w:rPr>
                  </w:pPr>
                  <w:r>
                    <w:rPr>
                      <w:rFonts w:hint="eastAsia"/>
                      <w:snapToGrid w:val="0"/>
                      <w:kern w:val="0"/>
                      <w:szCs w:val="21"/>
                    </w:rPr>
                    <w:t>1</w:t>
                  </w:r>
                </w:p>
              </w:tc>
              <w:tc>
                <w:tcPr>
                  <w:tcW w:w="2638" w:type="dxa"/>
                  <w:tcBorders>
                    <w:top w:val="single" w:color="auto" w:sz="4" w:space="0"/>
                    <w:left w:val="single" w:color="auto" w:sz="4" w:space="0"/>
                    <w:bottom w:val="single" w:color="auto" w:sz="4" w:space="0"/>
                    <w:right w:val="single" w:color="auto" w:sz="12" w:space="0"/>
                  </w:tcBorders>
                  <w:vAlign w:val="center"/>
                </w:tcPr>
                <w:p w14:paraId="5583B252">
                  <w:pPr>
                    <w:widowControl/>
                    <w:adjustRightInd w:val="0"/>
                    <w:snapToGrid w:val="0"/>
                    <w:ind w:right="92" w:rightChars="44"/>
                    <w:jc w:val="center"/>
                    <w:rPr>
                      <w:snapToGrid w:val="0"/>
                      <w:kern w:val="0"/>
                      <w:szCs w:val="21"/>
                    </w:rPr>
                  </w:pPr>
                  <w:r>
                    <w:rPr>
                      <w:rFonts w:hint="eastAsia"/>
                      <w:snapToGrid w:val="0"/>
                      <w:kern w:val="0"/>
                      <w:szCs w:val="21"/>
                    </w:rPr>
                    <w:t>锯料</w:t>
                  </w:r>
                </w:p>
              </w:tc>
            </w:tr>
            <w:tr w14:paraId="5A6D3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jc w:val="center"/>
              </w:trPr>
              <w:tc>
                <w:tcPr>
                  <w:tcW w:w="1175" w:type="dxa"/>
                  <w:tcBorders>
                    <w:top w:val="single" w:color="auto" w:sz="4" w:space="0"/>
                    <w:left w:val="single" w:color="auto" w:sz="12" w:space="0"/>
                    <w:bottom w:val="single" w:color="auto" w:sz="4" w:space="0"/>
                    <w:right w:val="single" w:color="auto" w:sz="4" w:space="0"/>
                  </w:tcBorders>
                  <w:vAlign w:val="center"/>
                </w:tcPr>
                <w:p w14:paraId="3B078021">
                  <w:pPr>
                    <w:widowControl/>
                    <w:adjustRightInd w:val="0"/>
                    <w:snapToGrid w:val="0"/>
                    <w:ind w:right="92" w:rightChars="44"/>
                    <w:jc w:val="center"/>
                    <w:rPr>
                      <w:snapToGrid w:val="0"/>
                      <w:kern w:val="0"/>
                      <w:szCs w:val="21"/>
                    </w:rPr>
                  </w:pPr>
                  <w:r>
                    <w:rPr>
                      <w:rFonts w:hint="eastAsia"/>
                      <w:snapToGrid w:val="0"/>
                      <w:kern w:val="0"/>
                      <w:szCs w:val="21"/>
                    </w:rPr>
                    <w:t>6</w:t>
                  </w:r>
                </w:p>
              </w:tc>
              <w:tc>
                <w:tcPr>
                  <w:tcW w:w="2083" w:type="dxa"/>
                  <w:tcBorders>
                    <w:top w:val="single" w:color="auto" w:sz="4" w:space="0"/>
                    <w:left w:val="single" w:color="auto" w:sz="4" w:space="0"/>
                    <w:bottom w:val="single" w:color="auto" w:sz="4" w:space="0"/>
                    <w:right w:val="single" w:color="auto" w:sz="4" w:space="0"/>
                  </w:tcBorders>
                  <w:vAlign w:val="center"/>
                </w:tcPr>
                <w:p w14:paraId="29CB3FD7">
                  <w:pPr>
                    <w:widowControl/>
                    <w:adjustRightInd w:val="0"/>
                    <w:snapToGrid w:val="0"/>
                    <w:ind w:right="92" w:rightChars="44"/>
                    <w:jc w:val="center"/>
                    <w:rPr>
                      <w:snapToGrid w:val="0"/>
                      <w:kern w:val="0"/>
                      <w:szCs w:val="21"/>
                    </w:rPr>
                  </w:pPr>
                  <w:r>
                    <w:rPr>
                      <w:rFonts w:hint="eastAsia"/>
                      <w:snapToGrid w:val="0"/>
                      <w:kern w:val="0"/>
                      <w:szCs w:val="21"/>
                    </w:rPr>
                    <w:t>9</w:t>
                  </w:r>
                  <w:r>
                    <w:rPr>
                      <w:snapToGrid w:val="0"/>
                      <w:kern w:val="0"/>
                      <w:szCs w:val="21"/>
                    </w:rPr>
                    <w:t>0</w:t>
                  </w:r>
                  <w:r>
                    <w:rPr>
                      <w:rFonts w:hint="eastAsia"/>
                      <w:snapToGrid w:val="0"/>
                      <w:kern w:val="0"/>
                      <w:szCs w:val="21"/>
                    </w:rPr>
                    <w:t>型带锯</w:t>
                  </w:r>
                </w:p>
              </w:tc>
              <w:tc>
                <w:tcPr>
                  <w:tcW w:w="2406" w:type="dxa"/>
                  <w:tcBorders>
                    <w:top w:val="single" w:color="auto" w:sz="4" w:space="0"/>
                    <w:left w:val="single" w:color="auto" w:sz="4" w:space="0"/>
                    <w:bottom w:val="single" w:color="auto" w:sz="4" w:space="0"/>
                    <w:right w:val="single" w:color="auto" w:sz="4" w:space="0"/>
                  </w:tcBorders>
                  <w:vAlign w:val="center"/>
                </w:tcPr>
                <w:p w14:paraId="755CEA60">
                  <w:pPr>
                    <w:widowControl/>
                    <w:adjustRightInd w:val="0"/>
                    <w:snapToGrid w:val="0"/>
                    <w:ind w:right="92" w:rightChars="44"/>
                    <w:jc w:val="center"/>
                    <w:rPr>
                      <w:snapToGrid w:val="0"/>
                      <w:kern w:val="0"/>
                      <w:szCs w:val="21"/>
                    </w:rPr>
                  </w:pPr>
                  <w:r>
                    <w:rPr>
                      <w:rFonts w:hint="eastAsia"/>
                      <w:snapToGrid w:val="0"/>
                      <w:kern w:val="0"/>
                      <w:szCs w:val="21"/>
                    </w:rPr>
                    <w:t>1</w:t>
                  </w:r>
                </w:p>
              </w:tc>
              <w:tc>
                <w:tcPr>
                  <w:tcW w:w="2638" w:type="dxa"/>
                  <w:tcBorders>
                    <w:top w:val="single" w:color="auto" w:sz="4" w:space="0"/>
                    <w:left w:val="single" w:color="auto" w:sz="4" w:space="0"/>
                    <w:bottom w:val="single" w:color="auto" w:sz="4" w:space="0"/>
                    <w:right w:val="single" w:color="auto" w:sz="12" w:space="0"/>
                  </w:tcBorders>
                  <w:vAlign w:val="center"/>
                </w:tcPr>
                <w:p w14:paraId="08986BD3">
                  <w:pPr>
                    <w:widowControl/>
                    <w:adjustRightInd w:val="0"/>
                    <w:snapToGrid w:val="0"/>
                    <w:ind w:right="92" w:rightChars="44"/>
                    <w:jc w:val="center"/>
                    <w:rPr>
                      <w:snapToGrid w:val="0"/>
                      <w:kern w:val="0"/>
                      <w:szCs w:val="21"/>
                    </w:rPr>
                  </w:pPr>
                  <w:r>
                    <w:rPr>
                      <w:rFonts w:hint="eastAsia"/>
                      <w:snapToGrid w:val="0"/>
                      <w:kern w:val="0"/>
                      <w:szCs w:val="21"/>
                    </w:rPr>
                    <w:t>锯料</w:t>
                  </w:r>
                </w:p>
              </w:tc>
            </w:tr>
            <w:tr w14:paraId="22FD4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jc w:val="center"/>
              </w:trPr>
              <w:tc>
                <w:tcPr>
                  <w:tcW w:w="1175" w:type="dxa"/>
                  <w:tcBorders>
                    <w:top w:val="single" w:color="auto" w:sz="4" w:space="0"/>
                    <w:left w:val="single" w:color="auto" w:sz="12" w:space="0"/>
                    <w:bottom w:val="single" w:color="auto" w:sz="4" w:space="0"/>
                    <w:right w:val="single" w:color="auto" w:sz="4" w:space="0"/>
                  </w:tcBorders>
                  <w:vAlign w:val="center"/>
                </w:tcPr>
                <w:p w14:paraId="344578A1">
                  <w:pPr>
                    <w:widowControl/>
                    <w:adjustRightInd w:val="0"/>
                    <w:snapToGrid w:val="0"/>
                    <w:ind w:right="92" w:rightChars="44"/>
                    <w:jc w:val="center"/>
                    <w:rPr>
                      <w:snapToGrid w:val="0"/>
                      <w:kern w:val="0"/>
                      <w:szCs w:val="21"/>
                    </w:rPr>
                  </w:pPr>
                  <w:r>
                    <w:rPr>
                      <w:rFonts w:hint="eastAsia"/>
                      <w:snapToGrid w:val="0"/>
                      <w:kern w:val="0"/>
                      <w:szCs w:val="21"/>
                    </w:rPr>
                    <w:t>7</w:t>
                  </w:r>
                </w:p>
              </w:tc>
              <w:tc>
                <w:tcPr>
                  <w:tcW w:w="2083" w:type="dxa"/>
                  <w:tcBorders>
                    <w:top w:val="single" w:color="auto" w:sz="4" w:space="0"/>
                    <w:left w:val="single" w:color="auto" w:sz="4" w:space="0"/>
                    <w:bottom w:val="single" w:color="auto" w:sz="4" w:space="0"/>
                    <w:right w:val="single" w:color="auto" w:sz="4" w:space="0"/>
                  </w:tcBorders>
                  <w:vAlign w:val="center"/>
                </w:tcPr>
                <w:p w14:paraId="68317B06">
                  <w:pPr>
                    <w:widowControl/>
                    <w:adjustRightInd w:val="0"/>
                    <w:snapToGrid w:val="0"/>
                    <w:ind w:right="92" w:rightChars="44"/>
                    <w:jc w:val="center"/>
                    <w:rPr>
                      <w:snapToGrid w:val="0"/>
                      <w:kern w:val="0"/>
                      <w:szCs w:val="21"/>
                    </w:rPr>
                  </w:pPr>
                  <w:r>
                    <w:rPr>
                      <w:rFonts w:hint="eastAsia"/>
                      <w:snapToGrid w:val="0"/>
                      <w:kern w:val="0"/>
                      <w:szCs w:val="21"/>
                    </w:rPr>
                    <w:t>修边锯</w:t>
                  </w:r>
                </w:p>
              </w:tc>
              <w:tc>
                <w:tcPr>
                  <w:tcW w:w="2406" w:type="dxa"/>
                  <w:tcBorders>
                    <w:top w:val="single" w:color="auto" w:sz="4" w:space="0"/>
                    <w:left w:val="single" w:color="auto" w:sz="4" w:space="0"/>
                    <w:bottom w:val="single" w:color="auto" w:sz="4" w:space="0"/>
                    <w:right w:val="single" w:color="auto" w:sz="4" w:space="0"/>
                  </w:tcBorders>
                  <w:vAlign w:val="center"/>
                </w:tcPr>
                <w:p w14:paraId="4D497A68">
                  <w:pPr>
                    <w:widowControl/>
                    <w:adjustRightInd w:val="0"/>
                    <w:snapToGrid w:val="0"/>
                    <w:ind w:right="92" w:rightChars="44"/>
                    <w:jc w:val="center"/>
                    <w:rPr>
                      <w:snapToGrid w:val="0"/>
                      <w:kern w:val="0"/>
                      <w:szCs w:val="21"/>
                    </w:rPr>
                  </w:pPr>
                  <w:r>
                    <w:rPr>
                      <w:rFonts w:hint="eastAsia"/>
                      <w:snapToGrid w:val="0"/>
                      <w:kern w:val="0"/>
                      <w:szCs w:val="21"/>
                    </w:rPr>
                    <w:t>2</w:t>
                  </w:r>
                </w:p>
              </w:tc>
              <w:tc>
                <w:tcPr>
                  <w:tcW w:w="2638" w:type="dxa"/>
                  <w:tcBorders>
                    <w:top w:val="single" w:color="auto" w:sz="4" w:space="0"/>
                    <w:left w:val="single" w:color="auto" w:sz="4" w:space="0"/>
                    <w:bottom w:val="single" w:color="auto" w:sz="4" w:space="0"/>
                    <w:right w:val="single" w:color="auto" w:sz="12" w:space="0"/>
                  </w:tcBorders>
                  <w:vAlign w:val="center"/>
                </w:tcPr>
                <w:p w14:paraId="16E9D0D5">
                  <w:pPr>
                    <w:widowControl/>
                    <w:adjustRightInd w:val="0"/>
                    <w:snapToGrid w:val="0"/>
                    <w:ind w:right="92" w:rightChars="44"/>
                    <w:jc w:val="center"/>
                    <w:rPr>
                      <w:snapToGrid w:val="0"/>
                      <w:kern w:val="0"/>
                      <w:szCs w:val="21"/>
                    </w:rPr>
                  </w:pPr>
                  <w:r>
                    <w:rPr>
                      <w:rFonts w:hint="eastAsia"/>
                      <w:snapToGrid w:val="0"/>
                      <w:kern w:val="0"/>
                      <w:szCs w:val="21"/>
                    </w:rPr>
                    <w:t>修边</w:t>
                  </w:r>
                </w:p>
              </w:tc>
            </w:tr>
            <w:tr w14:paraId="3C2C0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jc w:val="center"/>
              </w:trPr>
              <w:tc>
                <w:tcPr>
                  <w:tcW w:w="1175" w:type="dxa"/>
                  <w:tcBorders>
                    <w:top w:val="single" w:color="auto" w:sz="4" w:space="0"/>
                    <w:left w:val="single" w:color="auto" w:sz="12" w:space="0"/>
                    <w:bottom w:val="single" w:color="auto" w:sz="4" w:space="0"/>
                    <w:right w:val="single" w:color="auto" w:sz="4" w:space="0"/>
                  </w:tcBorders>
                  <w:vAlign w:val="center"/>
                </w:tcPr>
                <w:p w14:paraId="0CE62E02">
                  <w:pPr>
                    <w:widowControl/>
                    <w:adjustRightInd w:val="0"/>
                    <w:snapToGrid w:val="0"/>
                    <w:ind w:right="92" w:rightChars="44"/>
                    <w:jc w:val="center"/>
                    <w:rPr>
                      <w:snapToGrid w:val="0"/>
                      <w:kern w:val="0"/>
                      <w:szCs w:val="21"/>
                    </w:rPr>
                  </w:pPr>
                  <w:r>
                    <w:rPr>
                      <w:rFonts w:hint="eastAsia"/>
                      <w:snapToGrid w:val="0"/>
                      <w:kern w:val="0"/>
                      <w:szCs w:val="21"/>
                    </w:rPr>
                    <w:t>8</w:t>
                  </w:r>
                </w:p>
              </w:tc>
              <w:tc>
                <w:tcPr>
                  <w:tcW w:w="2083" w:type="dxa"/>
                  <w:tcBorders>
                    <w:top w:val="single" w:color="auto" w:sz="4" w:space="0"/>
                    <w:left w:val="single" w:color="auto" w:sz="4" w:space="0"/>
                    <w:bottom w:val="single" w:color="auto" w:sz="4" w:space="0"/>
                    <w:right w:val="single" w:color="auto" w:sz="4" w:space="0"/>
                  </w:tcBorders>
                  <w:vAlign w:val="center"/>
                </w:tcPr>
                <w:p w14:paraId="757FC316">
                  <w:pPr>
                    <w:widowControl/>
                    <w:adjustRightInd w:val="0"/>
                    <w:snapToGrid w:val="0"/>
                    <w:ind w:right="92" w:rightChars="44"/>
                    <w:jc w:val="center"/>
                    <w:rPr>
                      <w:snapToGrid w:val="0"/>
                      <w:kern w:val="0"/>
                      <w:szCs w:val="21"/>
                    </w:rPr>
                  </w:pPr>
                  <w:r>
                    <w:rPr>
                      <w:rFonts w:hint="eastAsia"/>
                      <w:snapToGrid w:val="0"/>
                      <w:kern w:val="0"/>
                      <w:szCs w:val="21"/>
                    </w:rPr>
                    <w:t>削片机</w:t>
                  </w:r>
                </w:p>
              </w:tc>
              <w:tc>
                <w:tcPr>
                  <w:tcW w:w="2406" w:type="dxa"/>
                  <w:tcBorders>
                    <w:top w:val="single" w:color="auto" w:sz="4" w:space="0"/>
                    <w:left w:val="single" w:color="auto" w:sz="4" w:space="0"/>
                    <w:bottom w:val="single" w:color="auto" w:sz="4" w:space="0"/>
                    <w:right w:val="single" w:color="auto" w:sz="4" w:space="0"/>
                  </w:tcBorders>
                  <w:vAlign w:val="center"/>
                </w:tcPr>
                <w:p w14:paraId="416C2452">
                  <w:pPr>
                    <w:widowControl/>
                    <w:adjustRightInd w:val="0"/>
                    <w:snapToGrid w:val="0"/>
                    <w:ind w:right="92" w:rightChars="44"/>
                    <w:jc w:val="center"/>
                    <w:rPr>
                      <w:snapToGrid w:val="0"/>
                      <w:kern w:val="0"/>
                      <w:szCs w:val="21"/>
                    </w:rPr>
                  </w:pPr>
                  <w:r>
                    <w:rPr>
                      <w:rFonts w:hint="eastAsia"/>
                      <w:snapToGrid w:val="0"/>
                      <w:kern w:val="0"/>
                      <w:szCs w:val="21"/>
                    </w:rPr>
                    <w:t>1</w:t>
                  </w:r>
                </w:p>
              </w:tc>
              <w:tc>
                <w:tcPr>
                  <w:tcW w:w="2638" w:type="dxa"/>
                  <w:tcBorders>
                    <w:top w:val="single" w:color="auto" w:sz="4" w:space="0"/>
                    <w:left w:val="single" w:color="auto" w:sz="4" w:space="0"/>
                    <w:bottom w:val="single" w:color="auto" w:sz="4" w:space="0"/>
                    <w:right w:val="single" w:color="auto" w:sz="12" w:space="0"/>
                  </w:tcBorders>
                  <w:vAlign w:val="center"/>
                </w:tcPr>
                <w:p w14:paraId="6CBA250B">
                  <w:pPr>
                    <w:widowControl/>
                    <w:adjustRightInd w:val="0"/>
                    <w:snapToGrid w:val="0"/>
                    <w:ind w:right="92" w:rightChars="44"/>
                    <w:jc w:val="center"/>
                    <w:rPr>
                      <w:snapToGrid w:val="0"/>
                      <w:kern w:val="0"/>
                      <w:szCs w:val="21"/>
                    </w:rPr>
                  </w:pPr>
                  <w:r>
                    <w:rPr>
                      <w:rFonts w:hint="eastAsia"/>
                      <w:snapToGrid w:val="0"/>
                      <w:kern w:val="0"/>
                      <w:szCs w:val="21"/>
                    </w:rPr>
                    <w:t>削片</w:t>
                  </w:r>
                </w:p>
              </w:tc>
            </w:tr>
            <w:tr w14:paraId="310A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jc w:val="center"/>
              </w:trPr>
              <w:tc>
                <w:tcPr>
                  <w:tcW w:w="1175" w:type="dxa"/>
                  <w:tcBorders>
                    <w:top w:val="single" w:color="auto" w:sz="4" w:space="0"/>
                    <w:left w:val="single" w:color="auto" w:sz="12" w:space="0"/>
                    <w:bottom w:val="single" w:color="auto" w:sz="4" w:space="0"/>
                    <w:right w:val="single" w:color="auto" w:sz="4" w:space="0"/>
                  </w:tcBorders>
                  <w:vAlign w:val="center"/>
                </w:tcPr>
                <w:p w14:paraId="135A1FDD">
                  <w:pPr>
                    <w:widowControl/>
                    <w:adjustRightInd w:val="0"/>
                    <w:snapToGrid w:val="0"/>
                    <w:ind w:right="92" w:rightChars="44"/>
                    <w:jc w:val="center"/>
                    <w:rPr>
                      <w:snapToGrid w:val="0"/>
                      <w:kern w:val="0"/>
                      <w:szCs w:val="21"/>
                    </w:rPr>
                  </w:pPr>
                  <w:r>
                    <w:rPr>
                      <w:rFonts w:hint="eastAsia"/>
                      <w:snapToGrid w:val="0"/>
                      <w:kern w:val="0"/>
                      <w:szCs w:val="21"/>
                    </w:rPr>
                    <w:t>9</w:t>
                  </w:r>
                </w:p>
              </w:tc>
              <w:tc>
                <w:tcPr>
                  <w:tcW w:w="2083" w:type="dxa"/>
                  <w:tcBorders>
                    <w:top w:val="single" w:color="auto" w:sz="4" w:space="0"/>
                    <w:left w:val="single" w:color="auto" w:sz="4" w:space="0"/>
                    <w:bottom w:val="single" w:color="auto" w:sz="4" w:space="0"/>
                    <w:right w:val="single" w:color="auto" w:sz="4" w:space="0"/>
                  </w:tcBorders>
                  <w:vAlign w:val="center"/>
                </w:tcPr>
                <w:p w14:paraId="038523AD">
                  <w:pPr>
                    <w:widowControl/>
                    <w:adjustRightInd w:val="0"/>
                    <w:snapToGrid w:val="0"/>
                    <w:ind w:right="92" w:rightChars="44"/>
                    <w:jc w:val="center"/>
                    <w:rPr>
                      <w:snapToGrid w:val="0"/>
                      <w:kern w:val="0"/>
                      <w:szCs w:val="21"/>
                    </w:rPr>
                  </w:pPr>
                  <w:r>
                    <w:rPr>
                      <w:rFonts w:hint="eastAsia"/>
                      <w:snapToGrid w:val="0"/>
                      <w:kern w:val="0"/>
                      <w:szCs w:val="21"/>
                    </w:rPr>
                    <w:t>圆盘锯</w:t>
                  </w:r>
                </w:p>
              </w:tc>
              <w:tc>
                <w:tcPr>
                  <w:tcW w:w="2406" w:type="dxa"/>
                  <w:tcBorders>
                    <w:top w:val="single" w:color="auto" w:sz="4" w:space="0"/>
                    <w:left w:val="single" w:color="auto" w:sz="4" w:space="0"/>
                    <w:bottom w:val="single" w:color="auto" w:sz="4" w:space="0"/>
                    <w:right w:val="single" w:color="auto" w:sz="4" w:space="0"/>
                  </w:tcBorders>
                  <w:vAlign w:val="center"/>
                </w:tcPr>
                <w:p w14:paraId="25B654C7">
                  <w:pPr>
                    <w:widowControl/>
                    <w:adjustRightInd w:val="0"/>
                    <w:snapToGrid w:val="0"/>
                    <w:ind w:right="92" w:rightChars="44"/>
                    <w:jc w:val="center"/>
                    <w:rPr>
                      <w:snapToGrid w:val="0"/>
                      <w:kern w:val="0"/>
                      <w:szCs w:val="21"/>
                    </w:rPr>
                  </w:pPr>
                  <w:r>
                    <w:rPr>
                      <w:rFonts w:hint="eastAsia"/>
                      <w:snapToGrid w:val="0"/>
                      <w:kern w:val="0"/>
                      <w:szCs w:val="21"/>
                    </w:rPr>
                    <w:t>4</w:t>
                  </w:r>
                </w:p>
              </w:tc>
              <w:tc>
                <w:tcPr>
                  <w:tcW w:w="2638" w:type="dxa"/>
                  <w:tcBorders>
                    <w:top w:val="single" w:color="auto" w:sz="4" w:space="0"/>
                    <w:left w:val="single" w:color="auto" w:sz="4" w:space="0"/>
                    <w:bottom w:val="single" w:color="auto" w:sz="4" w:space="0"/>
                    <w:right w:val="single" w:color="auto" w:sz="12" w:space="0"/>
                  </w:tcBorders>
                  <w:vAlign w:val="center"/>
                </w:tcPr>
                <w:p w14:paraId="5EDF2138">
                  <w:pPr>
                    <w:widowControl/>
                    <w:adjustRightInd w:val="0"/>
                    <w:snapToGrid w:val="0"/>
                    <w:ind w:right="92" w:rightChars="44"/>
                    <w:jc w:val="center"/>
                    <w:rPr>
                      <w:snapToGrid w:val="0"/>
                      <w:kern w:val="0"/>
                      <w:szCs w:val="21"/>
                    </w:rPr>
                  </w:pPr>
                  <w:r>
                    <w:rPr>
                      <w:rFonts w:hint="eastAsia"/>
                      <w:snapToGrid w:val="0"/>
                      <w:kern w:val="0"/>
                      <w:szCs w:val="21"/>
                    </w:rPr>
                    <w:t>断料</w:t>
                  </w:r>
                </w:p>
              </w:tc>
            </w:tr>
            <w:tr w14:paraId="33BEC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jc w:val="center"/>
              </w:trPr>
              <w:tc>
                <w:tcPr>
                  <w:tcW w:w="1175" w:type="dxa"/>
                  <w:tcBorders>
                    <w:top w:val="single" w:color="auto" w:sz="4" w:space="0"/>
                    <w:left w:val="single" w:color="auto" w:sz="12" w:space="0"/>
                    <w:bottom w:val="single" w:color="auto" w:sz="4" w:space="0"/>
                    <w:right w:val="single" w:color="auto" w:sz="4" w:space="0"/>
                  </w:tcBorders>
                  <w:vAlign w:val="center"/>
                </w:tcPr>
                <w:p w14:paraId="53F341FD">
                  <w:pPr>
                    <w:widowControl/>
                    <w:adjustRightInd w:val="0"/>
                    <w:snapToGrid w:val="0"/>
                    <w:ind w:right="92" w:rightChars="44"/>
                    <w:jc w:val="center"/>
                    <w:rPr>
                      <w:snapToGrid w:val="0"/>
                      <w:kern w:val="0"/>
                      <w:szCs w:val="21"/>
                    </w:rPr>
                  </w:pPr>
                  <w:r>
                    <w:rPr>
                      <w:rFonts w:hint="eastAsia"/>
                      <w:snapToGrid w:val="0"/>
                      <w:kern w:val="0"/>
                      <w:szCs w:val="21"/>
                    </w:rPr>
                    <w:t>1</w:t>
                  </w:r>
                  <w:r>
                    <w:rPr>
                      <w:snapToGrid w:val="0"/>
                      <w:kern w:val="0"/>
                      <w:szCs w:val="21"/>
                    </w:rPr>
                    <w:t>0</w:t>
                  </w:r>
                </w:p>
              </w:tc>
              <w:tc>
                <w:tcPr>
                  <w:tcW w:w="2083" w:type="dxa"/>
                  <w:tcBorders>
                    <w:top w:val="single" w:color="auto" w:sz="4" w:space="0"/>
                    <w:left w:val="single" w:color="auto" w:sz="4" w:space="0"/>
                    <w:bottom w:val="single" w:color="auto" w:sz="4" w:space="0"/>
                    <w:right w:val="single" w:color="auto" w:sz="4" w:space="0"/>
                  </w:tcBorders>
                  <w:vAlign w:val="center"/>
                </w:tcPr>
                <w:p w14:paraId="363756DC">
                  <w:pPr>
                    <w:widowControl/>
                    <w:adjustRightInd w:val="0"/>
                    <w:snapToGrid w:val="0"/>
                    <w:ind w:right="92" w:rightChars="44"/>
                    <w:jc w:val="center"/>
                    <w:rPr>
                      <w:snapToGrid w:val="0"/>
                      <w:kern w:val="0"/>
                      <w:szCs w:val="21"/>
                    </w:rPr>
                  </w:pPr>
                  <w:r>
                    <w:rPr>
                      <w:rFonts w:hint="eastAsia"/>
                      <w:snapToGrid w:val="0"/>
                      <w:kern w:val="0"/>
                      <w:szCs w:val="21"/>
                    </w:rPr>
                    <w:t>抓木机</w:t>
                  </w:r>
                </w:p>
              </w:tc>
              <w:tc>
                <w:tcPr>
                  <w:tcW w:w="2406" w:type="dxa"/>
                  <w:tcBorders>
                    <w:top w:val="single" w:color="auto" w:sz="4" w:space="0"/>
                    <w:left w:val="single" w:color="auto" w:sz="4" w:space="0"/>
                    <w:bottom w:val="single" w:color="auto" w:sz="4" w:space="0"/>
                    <w:right w:val="single" w:color="auto" w:sz="4" w:space="0"/>
                  </w:tcBorders>
                  <w:vAlign w:val="center"/>
                </w:tcPr>
                <w:p w14:paraId="040C087F">
                  <w:pPr>
                    <w:widowControl/>
                    <w:adjustRightInd w:val="0"/>
                    <w:snapToGrid w:val="0"/>
                    <w:ind w:right="92" w:rightChars="44"/>
                    <w:jc w:val="center"/>
                    <w:rPr>
                      <w:snapToGrid w:val="0"/>
                      <w:kern w:val="0"/>
                      <w:szCs w:val="21"/>
                    </w:rPr>
                  </w:pPr>
                  <w:r>
                    <w:rPr>
                      <w:rFonts w:hint="eastAsia"/>
                      <w:snapToGrid w:val="0"/>
                      <w:kern w:val="0"/>
                      <w:szCs w:val="21"/>
                    </w:rPr>
                    <w:t>1</w:t>
                  </w:r>
                </w:p>
              </w:tc>
              <w:tc>
                <w:tcPr>
                  <w:tcW w:w="2638" w:type="dxa"/>
                  <w:tcBorders>
                    <w:top w:val="single" w:color="auto" w:sz="4" w:space="0"/>
                    <w:left w:val="single" w:color="auto" w:sz="4" w:space="0"/>
                    <w:bottom w:val="single" w:color="auto" w:sz="4" w:space="0"/>
                    <w:right w:val="single" w:color="auto" w:sz="12" w:space="0"/>
                  </w:tcBorders>
                  <w:vAlign w:val="center"/>
                </w:tcPr>
                <w:p w14:paraId="5CAEAA0E">
                  <w:pPr>
                    <w:widowControl/>
                    <w:adjustRightInd w:val="0"/>
                    <w:snapToGrid w:val="0"/>
                    <w:ind w:right="92" w:rightChars="44"/>
                    <w:jc w:val="center"/>
                    <w:rPr>
                      <w:snapToGrid w:val="0"/>
                      <w:kern w:val="0"/>
                      <w:szCs w:val="21"/>
                    </w:rPr>
                  </w:pPr>
                  <w:r>
                    <w:rPr>
                      <w:rFonts w:hint="eastAsia"/>
                      <w:snapToGrid w:val="0"/>
                      <w:kern w:val="0"/>
                      <w:szCs w:val="21"/>
                    </w:rPr>
                    <w:t>/</w:t>
                  </w:r>
                </w:p>
              </w:tc>
            </w:tr>
            <w:tr w14:paraId="317B2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175" w:type="dxa"/>
                  <w:tcBorders>
                    <w:top w:val="single" w:color="auto" w:sz="4" w:space="0"/>
                    <w:left w:val="single" w:color="auto" w:sz="12" w:space="0"/>
                    <w:bottom w:val="single" w:color="auto" w:sz="12" w:space="0"/>
                    <w:right w:val="single" w:color="auto" w:sz="4" w:space="0"/>
                  </w:tcBorders>
                  <w:vAlign w:val="center"/>
                </w:tcPr>
                <w:p w14:paraId="3B8F582B">
                  <w:pPr>
                    <w:widowControl/>
                    <w:adjustRightInd w:val="0"/>
                    <w:snapToGrid w:val="0"/>
                    <w:ind w:right="92" w:rightChars="44"/>
                    <w:jc w:val="center"/>
                    <w:rPr>
                      <w:snapToGrid w:val="0"/>
                      <w:kern w:val="0"/>
                      <w:szCs w:val="21"/>
                    </w:rPr>
                  </w:pPr>
                  <w:r>
                    <w:rPr>
                      <w:snapToGrid w:val="0"/>
                      <w:kern w:val="0"/>
                      <w:szCs w:val="21"/>
                    </w:rPr>
                    <w:t>11</w:t>
                  </w:r>
                </w:p>
              </w:tc>
              <w:tc>
                <w:tcPr>
                  <w:tcW w:w="2083" w:type="dxa"/>
                  <w:tcBorders>
                    <w:top w:val="single" w:color="auto" w:sz="4" w:space="0"/>
                    <w:left w:val="single" w:color="auto" w:sz="4" w:space="0"/>
                    <w:bottom w:val="single" w:color="auto" w:sz="12" w:space="0"/>
                    <w:right w:val="single" w:color="auto" w:sz="4" w:space="0"/>
                  </w:tcBorders>
                  <w:vAlign w:val="center"/>
                </w:tcPr>
                <w:p w14:paraId="0536306F">
                  <w:pPr>
                    <w:widowControl/>
                    <w:adjustRightInd w:val="0"/>
                    <w:snapToGrid w:val="0"/>
                    <w:ind w:right="92" w:rightChars="44"/>
                    <w:jc w:val="center"/>
                    <w:rPr>
                      <w:snapToGrid w:val="0"/>
                      <w:kern w:val="0"/>
                      <w:szCs w:val="21"/>
                    </w:rPr>
                  </w:pPr>
                  <w:r>
                    <w:rPr>
                      <w:rFonts w:hint="eastAsia"/>
                      <w:snapToGrid w:val="0"/>
                      <w:kern w:val="0"/>
                      <w:szCs w:val="21"/>
                    </w:rPr>
                    <w:t>叉车</w:t>
                  </w:r>
                </w:p>
              </w:tc>
              <w:tc>
                <w:tcPr>
                  <w:tcW w:w="2406" w:type="dxa"/>
                  <w:tcBorders>
                    <w:top w:val="single" w:color="auto" w:sz="4" w:space="0"/>
                    <w:left w:val="single" w:color="auto" w:sz="4" w:space="0"/>
                    <w:bottom w:val="single" w:color="auto" w:sz="12" w:space="0"/>
                    <w:right w:val="single" w:color="auto" w:sz="4" w:space="0"/>
                  </w:tcBorders>
                  <w:vAlign w:val="center"/>
                </w:tcPr>
                <w:p w14:paraId="0AECB864">
                  <w:pPr>
                    <w:widowControl/>
                    <w:adjustRightInd w:val="0"/>
                    <w:snapToGrid w:val="0"/>
                    <w:ind w:right="92" w:rightChars="44"/>
                    <w:jc w:val="center"/>
                    <w:rPr>
                      <w:snapToGrid w:val="0"/>
                      <w:kern w:val="0"/>
                      <w:szCs w:val="21"/>
                    </w:rPr>
                  </w:pPr>
                  <w:r>
                    <w:rPr>
                      <w:rFonts w:hint="eastAsia"/>
                      <w:snapToGrid w:val="0"/>
                      <w:kern w:val="0"/>
                      <w:szCs w:val="21"/>
                    </w:rPr>
                    <w:t>1</w:t>
                  </w:r>
                </w:p>
              </w:tc>
              <w:tc>
                <w:tcPr>
                  <w:tcW w:w="2638" w:type="dxa"/>
                  <w:tcBorders>
                    <w:top w:val="single" w:color="auto" w:sz="4" w:space="0"/>
                    <w:left w:val="single" w:color="auto" w:sz="4" w:space="0"/>
                    <w:bottom w:val="single" w:color="auto" w:sz="12" w:space="0"/>
                    <w:right w:val="single" w:color="auto" w:sz="12" w:space="0"/>
                  </w:tcBorders>
                  <w:vAlign w:val="center"/>
                </w:tcPr>
                <w:p w14:paraId="366A924B">
                  <w:pPr>
                    <w:widowControl/>
                    <w:adjustRightInd w:val="0"/>
                    <w:snapToGrid w:val="0"/>
                    <w:ind w:right="92" w:rightChars="44"/>
                    <w:jc w:val="center"/>
                    <w:rPr>
                      <w:snapToGrid w:val="0"/>
                      <w:kern w:val="0"/>
                      <w:szCs w:val="21"/>
                    </w:rPr>
                  </w:pPr>
                  <w:r>
                    <w:rPr>
                      <w:rFonts w:hint="eastAsia"/>
                      <w:snapToGrid w:val="0"/>
                      <w:kern w:val="0"/>
                      <w:szCs w:val="21"/>
                    </w:rPr>
                    <w:t>/</w:t>
                  </w:r>
                </w:p>
              </w:tc>
            </w:tr>
          </w:tbl>
          <w:p w14:paraId="0196733B">
            <w:pPr>
              <w:spacing w:line="360" w:lineRule="auto"/>
              <w:ind w:firstLine="468" w:firstLineChars="195"/>
              <w:textAlignment w:val="baseline"/>
              <w:rPr>
                <w:b/>
                <w:sz w:val="24"/>
              </w:rPr>
            </w:pPr>
            <w:r>
              <w:rPr>
                <w:b/>
                <w:sz w:val="24"/>
              </w:rPr>
              <w:t>5</w:t>
            </w:r>
            <w:r>
              <w:rPr>
                <w:rFonts w:hint="eastAsia"/>
                <w:b/>
                <w:sz w:val="24"/>
              </w:rPr>
              <w:t>、主要能源消耗</w:t>
            </w:r>
          </w:p>
          <w:p w14:paraId="03CF603A">
            <w:pPr>
              <w:spacing w:line="276" w:lineRule="auto"/>
              <w:ind w:firstLine="480"/>
              <w:rPr>
                <w:b/>
                <w:sz w:val="24"/>
              </w:rPr>
            </w:pPr>
            <w:r>
              <w:rPr>
                <w:rFonts w:hint="eastAsia"/>
                <w:snapToGrid w:val="0"/>
                <w:kern w:val="0"/>
                <w:sz w:val="24"/>
              </w:rPr>
              <w:t>本项目主要原辅材料及能源消耗见表</w:t>
            </w:r>
            <w:r>
              <w:rPr>
                <w:snapToGrid w:val="0"/>
                <w:kern w:val="0"/>
                <w:sz w:val="24"/>
              </w:rPr>
              <w:t>1-4</w:t>
            </w:r>
            <w:r>
              <w:rPr>
                <w:rFonts w:hint="eastAsia"/>
                <w:snapToGrid w:val="0"/>
                <w:kern w:val="0"/>
                <w:sz w:val="24"/>
              </w:rPr>
              <w:t>。</w:t>
            </w:r>
          </w:p>
          <w:p w14:paraId="45AB309E">
            <w:pPr>
              <w:widowControl/>
              <w:adjustRightInd w:val="0"/>
              <w:snapToGrid w:val="0"/>
              <w:spacing w:line="276" w:lineRule="auto"/>
              <w:ind w:left="63" w:leftChars="30" w:right="92" w:rightChars="44" w:firstLine="480" w:firstLineChars="200"/>
              <w:jc w:val="center"/>
              <w:rPr>
                <w:rFonts w:ascii="黑体" w:hAnsi="黑体" w:eastAsia="黑体"/>
                <w:snapToGrid w:val="0"/>
                <w:kern w:val="0"/>
                <w:sz w:val="24"/>
              </w:rPr>
            </w:pPr>
            <w:r>
              <w:rPr>
                <w:rFonts w:hint="eastAsia" w:ascii="黑体" w:hAnsi="黑体" w:eastAsia="黑体"/>
                <w:snapToGrid w:val="0"/>
                <w:kern w:val="0"/>
                <w:sz w:val="24"/>
              </w:rPr>
              <w:t>表</w:t>
            </w:r>
            <w:r>
              <w:rPr>
                <w:rFonts w:ascii="黑体" w:hAnsi="黑体" w:eastAsia="黑体"/>
                <w:snapToGrid w:val="0"/>
                <w:kern w:val="0"/>
                <w:sz w:val="24"/>
              </w:rPr>
              <w:t xml:space="preserve">1-4  </w:t>
            </w:r>
            <w:r>
              <w:rPr>
                <w:rFonts w:hint="eastAsia" w:ascii="黑体" w:hAnsi="黑体" w:eastAsia="黑体"/>
                <w:snapToGrid w:val="0"/>
                <w:kern w:val="0"/>
                <w:sz w:val="24"/>
              </w:rPr>
              <w:t>项目主要原辅材料及能源消耗一览表</w:t>
            </w:r>
          </w:p>
          <w:tbl>
            <w:tblPr>
              <w:tblStyle w:val="25"/>
              <w:tblW w:w="828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50"/>
              <w:gridCol w:w="1671"/>
              <w:gridCol w:w="1135"/>
              <w:gridCol w:w="1556"/>
              <w:gridCol w:w="3170"/>
            </w:tblGrid>
            <w:tr w14:paraId="7147CE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81" w:hRule="atLeast"/>
                <w:tblHeader/>
                <w:jc w:val="center"/>
              </w:trPr>
              <w:tc>
                <w:tcPr>
                  <w:tcW w:w="750" w:type="dxa"/>
                  <w:tcBorders>
                    <w:top w:val="single" w:color="auto" w:sz="12" w:space="0"/>
                    <w:left w:val="single" w:color="auto" w:sz="12" w:space="0"/>
                    <w:bottom w:val="single" w:color="auto" w:sz="12" w:space="0"/>
                    <w:right w:val="single" w:color="auto" w:sz="6" w:space="0"/>
                  </w:tcBorders>
                  <w:tcMar>
                    <w:left w:w="85" w:type="dxa"/>
                  </w:tcMar>
                  <w:vAlign w:val="center"/>
                </w:tcPr>
                <w:p w14:paraId="5374EE6E">
                  <w:pPr>
                    <w:pStyle w:val="66"/>
                    <w:spacing w:before="0" w:after="0"/>
                    <w:jc w:val="center"/>
                    <w:rPr>
                      <w:szCs w:val="21"/>
                    </w:rPr>
                  </w:pPr>
                  <w:r>
                    <w:rPr>
                      <w:rFonts w:hint="eastAsia"/>
                      <w:szCs w:val="21"/>
                    </w:rPr>
                    <w:t>序号</w:t>
                  </w:r>
                </w:p>
              </w:tc>
              <w:tc>
                <w:tcPr>
                  <w:tcW w:w="1671" w:type="dxa"/>
                  <w:tcBorders>
                    <w:top w:val="single" w:color="auto" w:sz="12" w:space="0"/>
                    <w:left w:val="single" w:color="auto" w:sz="6" w:space="0"/>
                    <w:bottom w:val="single" w:color="auto" w:sz="12" w:space="0"/>
                    <w:right w:val="single" w:color="auto" w:sz="6" w:space="0"/>
                  </w:tcBorders>
                  <w:tcMar>
                    <w:left w:w="85" w:type="dxa"/>
                  </w:tcMar>
                  <w:vAlign w:val="center"/>
                </w:tcPr>
                <w:p w14:paraId="47EBC20F">
                  <w:pPr>
                    <w:pStyle w:val="66"/>
                    <w:spacing w:before="0" w:after="0"/>
                    <w:jc w:val="center"/>
                    <w:rPr>
                      <w:szCs w:val="21"/>
                    </w:rPr>
                  </w:pPr>
                  <w:r>
                    <w:rPr>
                      <w:rFonts w:hint="eastAsia"/>
                      <w:szCs w:val="21"/>
                    </w:rPr>
                    <w:t>名称</w:t>
                  </w:r>
                </w:p>
              </w:tc>
              <w:tc>
                <w:tcPr>
                  <w:tcW w:w="1135" w:type="dxa"/>
                  <w:tcBorders>
                    <w:top w:val="single" w:color="auto" w:sz="12" w:space="0"/>
                    <w:left w:val="single" w:color="auto" w:sz="6" w:space="0"/>
                    <w:bottom w:val="single" w:color="auto" w:sz="12" w:space="0"/>
                    <w:right w:val="single" w:color="auto" w:sz="6" w:space="0"/>
                  </w:tcBorders>
                  <w:vAlign w:val="center"/>
                </w:tcPr>
                <w:p w14:paraId="3A8099F5">
                  <w:pPr>
                    <w:pStyle w:val="66"/>
                    <w:spacing w:before="0" w:after="0"/>
                    <w:jc w:val="center"/>
                    <w:rPr>
                      <w:szCs w:val="21"/>
                    </w:rPr>
                  </w:pPr>
                  <w:r>
                    <w:rPr>
                      <w:rFonts w:hint="eastAsia"/>
                      <w:szCs w:val="21"/>
                    </w:rPr>
                    <w:t>单位</w:t>
                  </w:r>
                </w:p>
              </w:tc>
              <w:tc>
                <w:tcPr>
                  <w:tcW w:w="1556" w:type="dxa"/>
                  <w:tcBorders>
                    <w:top w:val="single" w:color="auto" w:sz="12" w:space="0"/>
                    <w:left w:val="single" w:color="auto" w:sz="6" w:space="0"/>
                    <w:bottom w:val="single" w:color="auto" w:sz="12" w:space="0"/>
                    <w:right w:val="single" w:color="auto" w:sz="6" w:space="0"/>
                  </w:tcBorders>
                  <w:vAlign w:val="center"/>
                </w:tcPr>
                <w:p w14:paraId="729F240B">
                  <w:pPr>
                    <w:pStyle w:val="66"/>
                    <w:spacing w:before="0" w:after="0"/>
                    <w:jc w:val="center"/>
                    <w:rPr>
                      <w:szCs w:val="21"/>
                    </w:rPr>
                  </w:pPr>
                  <w:r>
                    <w:rPr>
                      <w:rFonts w:hint="eastAsia"/>
                      <w:szCs w:val="21"/>
                    </w:rPr>
                    <w:t>年用量</w:t>
                  </w:r>
                </w:p>
              </w:tc>
              <w:tc>
                <w:tcPr>
                  <w:tcW w:w="3170" w:type="dxa"/>
                  <w:tcBorders>
                    <w:top w:val="single" w:color="auto" w:sz="12" w:space="0"/>
                    <w:left w:val="single" w:color="auto" w:sz="6" w:space="0"/>
                    <w:bottom w:val="single" w:color="auto" w:sz="12" w:space="0"/>
                    <w:right w:val="single" w:color="auto" w:sz="12" w:space="0"/>
                  </w:tcBorders>
                  <w:tcMar>
                    <w:left w:w="85" w:type="dxa"/>
                  </w:tcMar>
                  <w:vAlign w:val="center"/>
                </w:tcPr>
                <w:p w14:paraId="5E36A43E">
                  <w:pPr>
                    <w:pStyle w:val="66"/>
                    <w:spacing w:before="0" w:after="0"/>
                    <w:jc w:val="center"/>
                    <w:rPr>
                      <w:szCs w:val="21"/>
                    </w:rPr>
                  </w:pPr>
                  <w:r>
                    <w:rPr>
                      <w:rFonts w:hint="eastAsia"/>
                      <w:szCs w:val="21"/>
                    </w:rPr>
                    <w:t>备注</w:t>
                  </w:r>
                </w:p>
              </w:tc>
            </w:tr>
            <w:tr w14:paraId="56DD75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750" w:type="dxa"/>
                  <w:tcBorders>
                    <w:top w:val="single" w:color="auto" w:sz="12" w:space="0"/>
                    <w:left w:val="single" w:color="auto" w:sz="12" w:space="0"/>
                    <w:bottom w:val="single" w:color="auto" w:sz="6" w:space="0"/>
                    <w:right w:val="single" w:color="auto" w:sz="6" w:space="0"/>
                  </w:tcBorders>
                  <w:tcMar>
                    <w:left w:w="85" w:type="dxa"/>
                  </w:tcMar>
                  <w:vAlign w:val="center"/>
                </w:tcPr>
                <w:p w14:paraId="6ABFF3B1">
                  <w:pPr>
                    <w:pStyle w:val="66"/>
                    <w:spacing w:before="0" w:after="0"/>
                    <w:jc w:val="center"/>
                    <w:rPr>
                      <w:szCs w:val="21"/>
                    </w:rPr>
                  </w:pPr>
                  <w:r>
                    <w:rPr>
                      <w:szCs w:val="21"/>
                    </w:rPr>
                    <w:t>1</w:t>
                  </w:r>
                </w:p>
              </w:tc>
              <w:tc>
                <w:tcPr>
                  <w:tcW w:w="1671" w:type="dxa"/>
                  <w:tcBorders>
                    <w:top w:val="single" w:color="auto" w:sz="12" w:space="0"/>
                    <w:left w:val="single" w:color="auto" w:sz="6" w:space="0"/>
                    <w:bottom w:val="single" w:color="auto" w:sz="6" w:space="0"/>
                    <w:right w:val="single" w:color="auto" w:sz="6" w:space="0"/>
                  </w:tcBorders>
                  <w:tcMar>
                    <w:left w:w="85" w:type="dxa"/>
                  </w:tcMar>
                  <w:vAlign w:val="center"/>
                </w:tcPr>
                <w:p w14:paraId="60F4BF1D">
                  <w:pPr>
                    <w:pStyle w:val="66"/>
                    <w:spacing w:before="0" w:after="0"/>
                    <w:jc w:val="center"/>
                    <w:rPr>
                      <w:szCs w:val="21"/>
                    </w:rPr>
                  </w:pPr>
                  <w:r>
                    <w:rPr>
                      <w:rFonts w:hint="eastAsia"/>
                      <w:szCs w:val="21"/>
                    </w:rPr>
                    <w:t>原木</w:t>
                  </w:r>
                </w:p>
              </w:tc>
              <w:tc>
                <w:tcPr>
                  <w:tcW w:w="1135" w:type="dxa"/>
                  <w:tcBorders>
                    <w:top w:val="single" w:color="auto" w:sz="12" w:space="0"/>
                    <w:left w:val="single" w:color="auto" w:sz="6" w:space="0"/>
                    <w:bottom w:val="single" w:color="auto" w:sz="6" w:space="0"/>
                    <w:right w:val="single" w:color="auto" w:sz="6" w:space="0"/>
                  </w:tcBorders>
                  <w:vAlign w:val="center"/>
                </w:tcPr>
                <w:p w14:paraId="2854B85E">
                  <w:pPr>
                    <w:pStyle w:val="66"/>
                    <w:spacing w:before="0" w:after="0"/>
                    <w:jc w:val="center"/>
                    <w:rPr>
                      <w:szCs w:val="21"/>
                    </w:rPr>
                  </w:pPr>
                  <w:r>
                    <w:rPr>
                      <w:szCs w:val="21"/>
                    </w:rPr>
                    <w:t>m</w:t>
                  </w:r>
                  <w:r>
                    <w:rPr>
                      <w:szCs w:val="21"/>
                      <w:vertAlign w:val="superscript"/>
                    </w:rPr>
                    <w:t>3</w:t>
                  </w:r>
                </w:p>
              </w:tc>
              <w:tc>
                <w:tcPr>
                  <w:tcW w:w="1556" w:type="dxa"/>
                  <w:tcBorders>
                    <w:top w:val="single" w:color="auto" w:sz="12" w:space="0"/>
                    <w:left w:val="single" w:color="auto" w:sz="6" w:space="0"/>
                    <w:bottom w:val="single" w:color="auto" w:sz="6" w:space="0"/>
                    <w:right w:val="single" w:color="auto" w:sz="6" w:space="0"/>
                  </w:tcBorders>
                  <w:vAlign w:val="center"/>
                </w:tcPr>
                <w:p w14:paraId="5531B927">
                  <w:pPr>
                    <w:pStyle w:val="66"/>
                    <w:spacing w:before="0" w:after="0"/>
                    <w:jc w:val="center"/>
                    <w:rPr>
                      <w:szCs w:val="21"/>
                    </w:rPr>
                  </w:pPr>
                  <w:r>
                    <w:rPr>
                      <w:szCs w:val="21"/>
                    </w:rPr>
                    <w:t>16290</w:t>
                  </w:r>
                </w:p>
              </w:tc>
              <w:tc>
                <w:tcPr>
                  <w:tcW w:w="3170" w:type="dxa"/>
                  <w:tcBorders>
                    <w:top w:val="single" w:color="auto" w:sz="12" w:space="0"/>
                    <w:left w:val="single" w:color="auto" w:sz="6" w:space="0"/>
                    <w:bottom w:val="single" w:color="auto" w:sz="6" w:space="0"/>
                    <w:right w:val="single" w:color="auto" w:sz="12" w:space="0"/>
                  </w:tcBorders>
                  <w:tcMar>
                    <w:left w:w="85" w:type="dxa"/>
                  </w:tcMar>
                  <w:vAlign w:val="center"/>
                </w:tcPr>
                <w:p w14:paraId="6F98E030">
                  <w:pPr>
                    <w:pStyle w:val="66"/>
                    <w:spacing w:before="0" w:after="0"/>
                    <w:jc w:val="center"/>
                    <w:rPr>
                      <w:szCs w:val="21"/>
                    </w:rPr>
                  </w:pPr>
                  <w:r>
                    <w:rPr>
                      <w:rFonts w:hint="eastAsia"/>
                      <w:szCs w:val="21"/>
                    </w:rPr>
                    <w:t>外购</w:t>
                  </w:r>
                  <w:r>
                    <w:rPr>
                      <w:rFonts w:hint="eastAsia"/>
                      <w:color w:val="FF0000"/>
                      <w:szCs w:val="21"/>
                    </w:rPr>
                    <w:t>，周边林场原木料，柳沙等</w:t>
                  </w:r>
                </w:p>
              </w:tc>
            </w:tr>
            <w:tr w14:paraId="1D9889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750" w:type="dxa"/>
                  <w:tcBorders>
                    <w:top w:val="single" w:color="auto" w:sz="6" w:space="0"/>
                    <w:left w:val="single" w:color="auto" w:sz="12" w:space="0"/>
                    <w:bottom w:val="single" w:color="auto" w:sz="6" w:space="0"/>
                    <w:right w:val="single" w:color="auto" w:sz="6" w:space="0"/>
                  </w:tcBorders>
                  <w:tcMar>
                    <w:left w:w="85" w:type="dxa"/>
                  </w:tcMar>
                  <w:vAlign w:val="center"/>
                </w:tcPr>
                <w:p w14:paraId="08E4C379">
                  <w:pPr>
                    <w:pStyle w:val="66"/>
                    <w:spacing w:before="0" w:after="0"/>
                    <w:jc w:val="center"/>
                    <w:rPr>
                      <w:szCs w:val="21"/>
                    </w:rPr>
                  </w:pPr>
                  <w:r>
                    <w:rPr>
                      <w:szCs w:val="21"/>
                    </w:rPr>
                    <w:t>2</w:t>
                  </w:r>
                </w:p>
              </w:tc>
              <w:tc>
                <w:tcPr>
                  <w:tcW w:w="1671" w:type="dxa"/>
                  <w:tcBorders>
                    <w:top w:val="single" w:color="auto" w:sz="6" w:space="0"/>
                    <w:left w:val="single" w:color="auto" w:sz="6" w:space="0"/>
                    <w:bottom w:val="single" w:color="auto" w:sz="6" w:space="0"/>
                    <w:right w:val="single" w:color="auto" w:sz="6" w:space="0"/>
                  </w:tcBorders>
                  <w:tcMar>
                    <w:left w:w="85" w:type="dxa"/>
                  </w:tcMar>
                  <w:vAlign w:val="center"/>
                </w:tcPr>
                <w:p w14:paraId="4B2BAC0F">
                  <w:pPr>
                    <w:pStyle w:val="66"/>
                    <w:spacing w:before="0" w:after="0"/>
                    <w:jc w:val="center"/>
                    <w:rPr>
                      <w:szCs w:val="21"/>
                    </w:rPr>
                  </w:pPr>
                  <w:r>
                    <w:rPr>
                      <w:rFonts w:hint="eastAsia"/>
                      <w:szCs w:val="21"/>
                    </w:rPr>
                    <w:t>水</w:t>
                  </w:r>
                </w:p>
              </w:tc>
              <w:tc>
                <w:tcPr>
                  <w:tcW w:w="1135" w:type="dxa"/>
                  <w:tcBorders>
                    <w:top w:val="single" w:color="auto" w:sz="6" w:space="0"/>
                    <w:left w:val="single" w:color="auto" w:sz="6" w:space="0"/>
                    <w:bottom w:val="single" w:color="auto" w:sz="6" w:space="0"/>
                    <w:right w:val="single" w:color="auto" w:sz="6" w:space="0"/>
                  </w:tcBorders>
                  <w:vAlign w:val="center"/>
                </w:tcPr>
                <w:p w14:paraId="657490A4">
                  <w:pPr>
                    <w:pStyle w:val="66"/>
                    <w:spacing w:before="0" w:after="0"/>
                    <w:jc w:val="center"/>
                    <w:rPr>
                      <w:szCs w:val="21"/>
                    </w:rPr>
                  </w:pPr>
                  <w:r>
                    <w:rPr>
                      <w:szCs w:val="21"/>
                    </w:rPr>
                    <w:t>t/a</w:t>
                  </w:r>
                </w:p>
              </w:tc>
              <w:tc>
                <w:tcPr>
                  <w:tcW w:w="1556" w:type="dxa"/>
                  <w:tcBorders>
                    <w:top w:val="single" w:color="auto" w:sz="6" w:space="0"/>
                    <w:left w:val="single" w:color="auto" w:sz="6" w:space="0"/>
                    <w:bottom w:val="single" w:color="auto" w:sz="6" w:space="0"/>
                    <w:right w:val="single" w:color="auto" w:sz="6" w:space="0"/>
                  </w:tcBorders>
                  <w:vAlign w:val="center"/>
                </w:tcPr>
                <w:p w14:paraId="43DDD193">
                  <w:pPr>
                    <w:pStyle w:val="66"/>
                    <w:spacing w:before="0" w:after="0"/>
                    <w:jc w:val="center"/>
                    <w:rPr>
                      <w:szCs w:val="21"/>
                    </w:rPr>
                  </w:pPr>
                  <w:r>
                    <w:t>168</w:t>
                  </w:r>
                </w:p>
              </w:tc>
              <w:tc>
                <w:tcPr>
                  <w:tcW w:w="3170" w:type="dxa"/>
                  <w:tcBorders>
                    <w:top w:val="single" w:color="auto" w:sz="6" w:space="0"/>
                    <w:left w:val="single" w:color="auto" w:sz="6" w:space="0"/>
                    <w:bottom w:val="single" w:color="auto" w:sz="6" w:space="0"/>
                    <w:right w:val="single" w:color="auto" w:sz="12" w:space="0"/>
                  </w:tcBorders>
                  <w:tcMar>
                    <w:left w:w="85" w:type="dxa"/>
                  </w:tcMar>
                  <w:vAlign w:val="center"/>
                </w:tcPr>
                <w:p w14:paraId="2FBDC0C1">
                  <w:pPr>
                    <w:pStyle w:val="66"/>
                    <w:spacing w:before="0" w:after="0"/>
                    <w:jc w:val="center"/>
                    <w:rPr>
                      <w:szCs w:val="21"/>
                    </w:rPr>
                  </w:pPr>
                  <w:r>
                    <w:rPr>
                      <w:rFonts w:hint="eastAsia"/>
                      <w:szCs w:val="21"/>
                    </w:rPr>
                    <w:t>市政水网</w:t>
                  </w:r>
                </w:p>
              </w:tc>
            </w:tr>
            <w:tr w14:paraId="1D21A4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750" w:type="dxa"/>
                  <w:tcBorders>
                    <w:top w:val="single" w:color="auto" w:sz="6" w:space="0"/>
                    <w:left w:val="single" w:color="auto" w:sz="12" w:space="0"/>
                    <w:bottom w:val="single" w:color="auto" w:sz="12" w:space="0"/>
                    <w:right w:val="single" w:color="auto" w:sz="6" w:space="0"/>
                  </w:tcBorders>
                  <w:tcMar>
                    <w:left w:w="85" w:type="dxa"/>
                  </w:tcMar>
                  <w:vAlign w:val="center"/>
                </w:tcPr>
                <w:p w14:paraId="7FDECD3B">
                  <w:pPr>
                    <w:pStyle w:val="66"/>
                    <w:spacing w:before="0" w:after="0"/>
                    <w:jc w:val="center"/>
                    <w:rPr>
                      <w:szCs w:val="21"/>
                    </w:rPr>
                  </w:pPr>
                  <w:r>
                    <w:rPr>
                      <w:szCs w:val="21"/>
                    </w:rPr>
                    <w:t>3</w:t>
                  </w:r>
                </w:p>
              </w:tc>
              <w:tc>
                <w:tcPr>
                  <w:tcW w:w="1671" w:type="dxa"/>
                  <w:tcBorders>
                    <w:top w:val="single" w:color="auto" w:sz="6" w:space="0"/>
                    <w:left w:val="single" w:color="auto" w:sz="6" w:space="0"/>
                    <w:bottom w:val="single" w:color="auto" w:sz="12" w:space="0"/>
                    <w:right w:val="single" w:color="auto" w:sz="6" w:space="0"/>
                  </w:tcBorders>
                  <w:tcMar>
                    <w:left w:w="85" w:type="dxa"/>
                  </w:tcMar>
                  <w:vAlign w:val="center"/>
                </w:tcPr>
                <w:p w14:paraId="21744E51">
                  <w:pPr>
                    <w:pStyle w:val="66"/>
                    <w:spacing w:before="0" w:after="0"/>
                    <w:jc w:val="center"/>
                    <w:rPr>
                      <w:szCs w:val="21"/>
                    </w:rPr>
                  </w:pPr>
                  <w:r>
                    <w:rPr>
                      <w:rFonts w:hint="eastAsia"/>
                      <w:szCs w:val="21"/>
                    </w:rPr>
                    <w:t>电</w:t>
                  </w:r>
                </w:p>
              </w:tc>
              <w:tc>
                <w:tcPr>
                  <w:tcW w:w="1135" w:type="dxa"/>
                  <w:tcBorders>
                    <w:top w:val="single" w:color="auto" w:sz="6" w:space="0"/>
                    <w:left w:val="single" w:color="auto" w:sz="6" w:space="0"/>
                    <w:bottom w:val="single" w:color="auto" w:sz="12" w:space="0"/>
                    <w:right w:val="single" w:color="auto" w:sz="6" w:space="0"/>
                  </w:tcBorders>
                  <w:vAlign w:val="center"/>
                </w:tcPr>
                <w:p w14:paraId="05ED32E6">
                  <w:pPr>
                    <w:pStyle w:val="66"/>
                    <w:spacing w:before="0" w:after="0"/>
                    <w:jc w:val="center"/>
                    <w:rPr>
                      <w:szCs w:val="21"/>
                    </w:rPr>
                  </w:pPr>
                  <w:r>
                    <w:rPr>
                      <w:szCs w:val="21"/>
                    </w:rPr>
                    <w:t>kW</w:t>
                  </w:r>
                  <w:r>
                    <w:rPr>
                      <w:rFonts w:hint="eastAsia"/>
                      <w:szCs w:val="21"/>
                    </w:rPr>
                    <w:t>·</w:t>
                  </w:r>
                  <w:r>
                    <w:rPr>
                      <w:szCs w:val="21"/>
                    </w:rPr>
                    <w:t>h</w:t>
                  </w:r>
                </w:p>
              </w:tc>
              <w:tc>
                <w:tcPr>
                  <w:tcW w:w="1556" w:type="dxa"/>
                  <w:tcBorders>
                    <w:top w:val="single" w:color="auto" w:sz="6" w:space="0"/>
                    <w:left w:val="single" w:color="auto" w:sz="6" w:space="0"/>
                    <w:bottom w:val="single" w:color="auto" w:sz="12" w:space="0"/>
                    <w:right w:val="single" w:color="auto" w:sz="6" w:space="0"/>
                  </w:tcBorders>
                  <w:vAlign w:val="center"/>
                </w:tcPr>
                <w:p w14:paraId="77C6613E">
                  <w:pPr>
                    <w:pStyle w:val="66"/>
                    <w:spacing w:before="0" w:after="0"/>
                    <w:jc w:val="center"/>
                    <w:rPr>
                      <w:szCs w:val="21"/>
                    </w:rPr>
                  </w:pPr>
                  <w:r>
                    <w:t>2</w:t>
                  </w:r>
                  <w:r>
                    <w:rPr>
                      <w:rFonts w:hint="eastAsia"/>
                    </w:rPr>
                    <w:t>万</w:t>
                  </w:r>
                </w:p>
              </w:tc>
              <w:tc>
                <w:tcPr>
                  <w:tcW w:w="3170" w:type="dxa"/>
                  <w:tcBorders>
                    <w:top w:val="single" w:color="auto" w:sz="6" w:space="0"/>
                    <w:left w:val="single" w:color="auto" w:sz="6" w:space="0"/>
                    <w:bottom w:val="single" w:color="auto" w:sz="12" w:space="0"/>
                    <w:right w:val="single" w:color="auto" w:sz="12" w:space="0"/>
                  </w:tcBorders>
                  <w:tcMar>
                    <w:left w:w="85" w:type="dxa"/>
                  </w:tcMar>
                  <w:vAlign w:val="center"/>
                </w:tcPr>
                <w:p w14:paraId="108D7080">
                  <w:pPr>
                    <w:pStyle w:val="66"/>
                    <w:spacing w:before="0" w:after="0"/>
                    <w:jc w:val="center"/>
                    <w:rPr>
                      <w:szCs w:val="21"/>
                    </w:rPr>
                  </w:pPr>
                  <w:r>
                    <w:rPr>
                      <w:rFonts w:hint="eastAsia"/>
                      <w:szCs w:val="21"/>
                    </w:rPr>
                    <w:t>市政电网</w:t>
                  </w:r>
                </w:p>
              </w:tc>
            </w:tr>
          </w:tbl>
          <w:p w14:paraId="41CD77FF">
            <w:pPr>
              <w:spacing w:line="360" w:lineRule="auto"/>
              <w:ind w:firstLine="468" w:firstLineChars="195"/>
              <w:textAlignment w:val="baseline"/>
              <w:rPr>
                <w:b/>
                <w:sz w:val="24"/>
              </w:rPr>
            </w:pPr>
            <w:r>
              <w:rPr>
                <w:b/>
                <w:sz w:val="24"/>
              </w:rPr>
              <w:t>6</w:t>
            </w:r>
            <w:r>
              <w:rPr>
                <w:rFonts w:hint="eastAsia"/>
                <w:b/>
                <w:sz w:val="24"/>
              </w:rPr>
              <w:t>、产品方案</w:t>
            </w:r>
          </w:p>
          <w:p w14:paraId="028154EC">
            <w:pPr>
              <w:spacing w:line="360" w:lineRule="auto"/>
              <w:ind w:firstLine="468" w:firstLineChars="195"/>
              <w:jc w:val="center"/>
              <w:textAlignment w:val="baseline"/>
              <w:rPr>
                <w:rFonts w:ascii="黑体" w:hAnsi="黑体" w:eastAsia="黑体"/>
                <w:bCs/>
                <w:sz w:val="24"/>
              </w:rPr>
            </w:pPr>
            <w:r>
              <w:rPr>
                <w:rFonts w:hint="eastAsia" w:ascii="黑体" w:hAnsi="黑体" w:eastAsia="黑体"/>
                <w:bCs/>
                <w:sz w:val="24"/>
              </w:rPr>
              <w:t>表</w:t>
            </w:r>
            <w:r>
              <w:rPr>
                <w:rFonts w:ascii="黑体" w:hAnsi="黑体" w:eastAsia="黑体"/>
                <w:bCs/>
                <w:sz w:val="24"/>
              </w:rPr>
              <w:t xml:space="preserve">1-5  </w:t>
            </w:r>
            <w:r>
              <w:rPr>
                <w:rFonts w:hint="eastAsia" w:ascii="黑体" w:hAnsi="黑体" w:eastAsia="黑体"/>
                <w:bCs/>
                <w:sz w:val="24"/>
              </w:rPr>
              <w:t>项目产品方案一览表</w:t>
            </w:r>
          </w:p>
          <w:tbl>
            <w:tblPr>
              <w:tblStyle w:val="25"/>
              <w:tblW w:w="83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1841"/>
              <w:gridCol w:w="1415"/>
              <w:gridCol w:w="1699"/>
              <w:gridCol w:w="2061"/>
            </w:tblGrid>
            <w:tr w14:paraId="6EE34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Borders>
                    <w:top w:val="single" w:color="auto" w:sz="12" w:space="0"/>
                    <w:left w:val="single" w:color="auto" w:sz="12" w:space="0"/>
                    <w:bottom w:val="single" w:color="auto" w:sz="12" w:space="0"/>
                    <w:right w:val="single" w:color="auto" w:sz="4" w:space="0"/>
                  </w:tcBorders>
                  <w:vAlign w:val="center"/>
                </w:tcPr>
                <w:p w14:paraId="36A388B3">
                  <w:pPr>
                    <w:jc w:val="center"/>
                    <w:textAlignment w:val="baseline"/>
                    <w:rPr>
                      <w:bCs/>
                      <w:szCs w:val="21"/>
                    </w:rPr>
                  </w:pPr>
                  <w:r>
                    <w:rPr>
                      <w:rFonts w:hint="eastAsia"/>
                      <w:bCs/>
                      <w:szCs w:val="21"/>
                    </w:rPr>
                    <w:t>产品性质</w:t>
                  </w:r>
                </w:p>
              </w:tc>
              <w:tc>
                <w:tcPr>
                  <w:tcW w:w="1841" w:type="dxa"/>
                  <w:tcBorders>
                    <w:top w:val="single" w:color="auto" w:sz="12" w:space="0"/>
                    <w:left w:val="single" w:color="auto" w:sz="4" w:space="0"/>
                    <w:bottom w:val="single" w:color="auto" w:sz="12" w:space="0"/>
                    <w:right w:val="single" w:color="auto" w:sz="4" w:space="0"/>
                  </w:tcBorders>
                  <w:vAlign w:val="center"/>
                </w:tcPr>
                <w:p w14:paraId="3ABFFFE4">
                  <w:pPr>
                    <w:jc w:val="center"/>
                    <w:textAlignment w:val="baseline"/>
                    <w:rPr>
                      <w:bCs/>
                      <w:szCs w:val="21"/>
                    </w:rPr>
                  </w:pPr>
                  <w:r>
                    <w:rPr>
                      <w:rFonts w:hint="eastAsia"/>
                      <w:bCs/>
                      <w:szCs w:val="21"/>
                    </w:rPr>
                    <w:t>产品名称</w:t>
                  </w:r>
                </w:p>
              </w:tc>
              <w:tc>
                <w:tcPr>
                  <w:tcW w:w="1415" w:type="dxa"/>
                  <w:tcBorders>
                    <w:top w:val="single" w:color="auto" w:sz="12" w:space="0"/>
                    <w:left w:val="single" w:color="auto" w:sz="4" w:space="0"/>
                    <w:bottom w:val="single" w:color="auto" w:sz="12" w:space="0"/>
                    <w:right w:val="single" w:color="auto" w:sz="4" w:space="0"/>
                  </w:tcBorders>
                  <w:vAlign w:val="center"/>
                </w:tcPr>
                <w:p w14:paraId="72C89588">
                  <w:pPr>
                    <w:jc w:val="center"/>
                    <w:textAlignment w:val="baseline"/>
                    <w:rPr>
                      <w:bCs/>
                      <w:szCs w:val="21"/>
                    </w:rPr>
                  </w:pPr>
                  <w:r>
                    <w:rPr>
                      <w:rFonts w:hint="eastAsia"/>
                      <w:bCs/>
                      <w:szCs w:val="21"/>
                    </w:rPr>
                    <w:t>生产规模</w:t>
                  </w:r>
                </w:p>
              </w:tc>
              <w:tc>
                <w:tcPr>
                  <w:tcW w:w="1699" w:type="dxa"/>
                  <w:tcBorders>
                    <w:top w:val="single" w:color="auto" w:sz="12" w:space="0"/>
                    <w:left w:val="single" w:color="auto" w:sz="4" w:space="0"/>
                    <w:bottom w:val="single" w:color="auto" w:sz="12" w:space="0"/>
                    <w:right w:val="single" w:color="auto" w:sz="4" w:space="0"/>
                  </w:tcBorders>
                  <w:vAlign w:val="center"/>
                </w:tcPr>
                <w:p w14:paraId="141D7C18">
                  <w:pPr>
                    <w:jc w:val="center"/>
                    <w:textAlignment w:val="baseline"/>
                    <w:rPr>
                      <w:bCs/>
                      <w:szCs w:val="21"/>
                    </w:rPr>
                  </w:pPr>
                  <w:r>
                    <w:rPr>
                      <w:rFonts w:hint="eastAsia"/>
                      <w:bCs/>
                      <w:szCs w:val="21"/>
                    </w:rPr>
                    <w:t>用途</w:t>
                  </w:r>
                </w:p>
              </w:tc>
              <w:tc>
                <w:tcPr>
                  <w:tcW w:w="2061" w:type="dxa"/>
                  <w:tcBorders>
                    <w:top w:val="single" w:color="auto" w:sz="12" w:space="0"/>
                    <w:left w:val="single" w:color="auto" w:sz="4" w:space="0"/>
                    <w:bottom w:val="single" w:color="auto" w:sz="12" w:space="0"/>
                    <w:right w:val="single" w:color="auto" w:sz="12" w:space="0"/>
                  </w:tcBorders>
                  <w:vAlign w:val="center"/>
                </w:tcPr>
                <w:p w14:paraId="4A2E5798">
                  <w:pPr>
                    <w:jc w:val="center"/>
                    <w:textAlignment w:val="baseline"/>
                    <w:rPr>
                      <w:bCs/>
                      <w:szCs w:val="21"/>
                    </w:rPr>
                  </w:pPr>
                  <w:r>
                    <w:rPr>
                      <w:rFonts w:hint="eastAsia"/>
                      <w:bCs/>
                      <w:szCs w:val="21"/>
                    </w:rPr>
                    <w:t>备注</w:t>
                  </w:r>
                </w:p>
              </w:tc>
            </w:tr>
            <w:tr w14:paraId="5AC1E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Borders>
                    <w:top w:val="single" w:color="auto" w:sz="12" w:space="0"/>
                    <w:left w:val="single" w:color="auto" w:sz="12" w:space="0"/>
                    <w:bottom w:val="single" w:color="auto" w:sz="12" w:space="0"/>
                    <w:right w:val="single" w:color="auto" w:sz="4" w:space="0"/>
                  </w:tcBorders>
                  <w:vAlign w:val="center"/>
                </w:tcPr>
                <w:p w14:paraId="206F6702">
                  <w:pPr>
                    <w:jc w:val="center"/>
                    <w:textAlignment w:val="baseline"/>
                    <w:rPr>
                      <w:bCs/>
                      <w:szCs w:val="21"/>
                    </w:rPr>
                  </w:pPr>
                  <w:r>
                    <w:rPr>
                      <w:rFonts w:hint="eastAsia"/>
                      <w:bCs/>
                      <w:szCs w:val="21"/>
                    </w:rPr>
                    <w:t>主产品</w:t>
                  </w:r>
                </w:p>
              </w:tc>
              <w:tc>
                <w:tcPr>
                  <w:tcW w:w="1841" w:type="dxa"/>
                  <w:tcBorders>
                    <w:top w:val="single" w:color="auto" w:sz="12" w:space="0"/>
                    <w:left w:val="single" w:color="auto" w:sz="4" w:space="0"/>
                    <w:bottom w:val="single" w:color="auto" w:sz="12" w:space="0"/>
                    <w:right w:val="single" w:color="auto" w:sz="4" w:space="0"/>
                  </w:tcBorders>
                  <w:vAlign w:val="center"/>
                </w:tcPr>
                <w:p w14:paraId="6CCF8307">
                  <w:pPr>
                    <w:jc w:val="center"/>
                    <w:textAlignment w:val="baseline"/>
                    <w:rPr>
                      <w:bCs/>
                      <w:szCs w:val="21"/>
                    </w:rPr>
                  </w:pPr>
                  <w:r>
                    <w:rPr>
                      <w:rFonts w:hint="eastAsia"/>
                      <w:bCs/>
                      <w:szCs w:val="21"/>
                    </w:rPr>
                    <w:t>锯材</w:t>
                  </w:r>
                </w:p>
              </w:tc>
              <w:tc>
                <w:tcPr>
                  <w:tcW w:w="1415" w:type="dxa"/>
                  <w:tcBorders>
                    <w:top w:val="single" w:color="auto" w:sz="12" w:space="0"/>
                    <w:left w:val="single" w:color="auto" w:sz="4" w:space="0"/>
                    <w:bottom w:val="single" w:color="auto" w:sz="12" w:space="0"/>
                    <w:right w:val="single" w:color="auto" w:sz="4" w:space="0"/>
                  </w:tcBorders>
                  <w:vAlign w:val="center"/>
                </w:tcPr>
                <w:p w14:paraId="6FE2926F">
                  <w:pPr>
                    <w:jc w:val="center"/>
                    <w:textAlignment w:val="baseline"/>
                    <w:rPr>
                      <w:bCs/>
                      <w:szCs w:val="21"/>
                    </w:rPr>
                  </w:pPr>
                  <w:r>
                    <w:rPr>
                      <w:bCs/>
                      <w:szCs w:val="21"/>
                    </w:rPr>
                    <w:t>15000</w:t>
                  </w:r>
                  <w:r>
                    <w:t xml:space="preserve"> </w:t>
                  </w:r>
                  <w:r>
                    <w:rPr>
                      <w:bCs/>
                      <w:szCs w:val="21"/>
                    </w:rPr>
                    <w:t>m</w:t>
                  </w:r>
                  <w:r>
                    <w:rPr>
                      <w:bCs/>
                      <w:szCs w:val="21"/>
                      <w:vertAlign w:val="superscript"/>
                    </w:rPr>
                    <w:t>3</w:t>
                  </w:r>
                  <w:r>
                    <w:rPr>
                      <w:bCs/>
                      <w:szCs w:val="21"/>
                    </w:rPr>
                    <w:t>/a</w:t>
                  </w:r>
                </w:p>
              </w:tc>
              <w:tc>
                <w:tcPr>
                  <w:tcW w:w="1699" w:type="dxa"/>
                  <w:tcBorders>
                    <w:top w:val="single" w:color="auto" w:sz="12" w:space="0"/>
                    <w:left w:val="single" w:color="auto" w:sz="4" w:space="0"/>
                    <w:bottom w:val="single" w:color="auto" w:sz="12" w:space="0"/>
                    <w:right w:val="single" w:color="auto" w:sz="4" w:space="0"/>
                  </w:tcBorders>
                  <w:vAlign w:val="center"/>
                </w:tcPr>
                <w:p w14:paraId="66A2942B">
                  <w:pPr>
                    <w:jc w:val="center"/>
                    <w:textAlignment w:val="baseline"/>
                    <w:rPr>
                      <w:bCs/>
                      <w:szCs w:val="21"/>
                    </w:rPr>
                  </w:pPr>
                  <w:r>
                    <w:rPr>
                      <w:rFonts w:hint="eastAsia"/>
                      <w:bCs/>
                      <w:szCs w:val="21"/>
                    </w:rPr>
                    <w:t>外售进行深加工</w:t>
                  </w:r>
                </w:p>
              </w:tc>
              <w:tc>
                <w:tcPr>
                  <w:tcW w:w="2061" w:type="dxa"/>
                  <w:tcBorders>
                    <w:top w:val="single" w:color="auto" w:sz="12" w:space="0"/>
                    <w:left w:val="single" w:color="auto" w:sz="4" w:space="0"/>
                    <w:bottom w:val="single" w:color="auto" w:sz="12" w:space="0"/>
                    <w:right w:val="single" w:color="auto" w:sz="12" w:space="0"/>
                  </w:tcBorders>
                  <w:vAlign w:val="center"/>
                </w:tcPr>
                <w:p w14:paraId="061B275E">
                  <w:pPr>
                    <w:jc w:val="center"/>
                    <w:textAlignment w:val="baseline"/>
                    <w:rPr>
                      <w:bCs/>
                      <w:szCs w:val="21"/>
                    </w:rPr>
                  </w:pPr>
                  <w:r>
                    <w:rPr>
                      <w:rFonts w:hint="eastAsia"/>
                      <w:bCs/>
                      <w:szCs w:val="21"/>
                    </w:rPr>
                    <w:t>《防腐木材》（</w:t>
                  </w:r>
                  <w:r>
                    <w:rPr>
                      <w:bCs/>
                      <w:szCs w:val="21"/>
                    </w:rPr>
                    <w:t>GB/T 22102-2008</w:t>
                  </w:r>
                  <w:r>
                    <w:rPr>
                      <w:rFonts w:hint="eastAsia"/>
                      <w:bCs/>
                      <w:szCs w:val="21"/>
                    </w:rPr>
                    <w:t>）；《防腐木材生产规范》（</w:t>
                  </w:r>
                  <w:r>
                    <w:rPr>
                      <w:bCs/>
                      <w:szCs w:val="21"/>
                    </w:rPr>
                    <w:t>GB 22280-2008</w:t>
                  </w:r>
                  <w:r>
                    <w:rPr>
                      <w:rFonts w:hint="eastAsia"/>
                      <w:bCs/>
                      <w:szCs w:val="21"/>
                    </w:rPr>
                    <w:t>）</w:t>
                  </w:r>
                </w:p>
              </w:tc>
            </w:tr>
          </w:tbl>
          <w:p w14:paraId="5002FEDB">
            <w:pPr>
              <w:spacing w:line="360" w:lineRule="auto"/>
              <w:ind w:firstLine="468" w:firstLineChars="195"/>
              <w:textAlignment w:val="baseline"/>
              <w:rPr>
                <w:sz w:val="24"/>
              </w:rPr>
            </w:pPr>
            <w:r>
              <w:rPr>
                <w:b/>
                <w:sz w:val="24"/>
              </w:rPr>
              <w:t>7</w:t>
            </w:r>
            <w:r>
              <w:rPr>
                <w:rFonts w:hint="eastAsia"/>
                <w:b/>
                <w:sz w:val="24"/>
              </w:rPr>
              <w:t>、公辅设施</w:t>
            </w:r>
          </w:p>
          <w:p w14:paraId="1DF80029">
            <w:pPr>
              <w:spacing w:line="360" w:lineRule="auto"/>
              <w:ind w:firstLine="468" w:firstLineChars="195"/>
              <w:textAlignment w:val="baseline"/>
              <w:rPr>
                <w:sz w:val="24"/>
              </w:rPr>
            </w:pPr>
            <w:r>
              <w:rPr>
                <w:rFonts w:hint="eastAsia"/>
                <w:snapToGrid w:val="0"/>
                <w:kern w:val="0"/>
                <w:sz w:val="24"/>
              </w:rPr>
              <w:t>（</w:t>
            </w:r>
            <w:r>
              <w:rPr>
                <w:snapToGrid w:val="0"/>
                <w:kern w:val="0"/>
                <w:sz w:val="24"/>
              </w:rPr>
              <w:t>1</w:t>
            </w:r>
            <w:r>
              <w:rPr>
                <w:rFonts w:hint="eastAsia"/>
                <w:snapToGrid w:val="0"/>
                <w:kern w:val="0"/>
                <w:sz w:val="24"/>
              </w:rPr>
              <w:t>）项目用水</w:t>
            </w:r>
          </w:p>
          <w:p w14:paraId="4E2AEE40">
            <w:pPr>
              <w:spacing w:line="360" w:lineRule="auto"/>
              <w:ind w:firstLine="468" w:firstLineChars="195"/>
              <w:textAlignment w:val="baseline"/>
              <w:rPr>
                <w:snapToGrid w:val="0"/>
                <w:kern w:val="0"/>
                <w:sz w:val="24"/>
              </w:rPr>
            </w:pPr>
            <w:r>
              <w:rPr>
                <w:rFonts w:hint="eastAsia"/>
                <w:snapToGrid w:val="0"/>
                <w:kern w:val="0"/>
                <w:sz w:val="24"/>
              </w:rPr>
              <w:t>项目用水主要为生活用水、消防及冷却用水等，员工饮水采用桶装水，其余用水由农村供水管网提供，供水压力能满足要求。本项目车间采取清扫清洁，不用水冲洗，仅干燥天气采取洒水降尘。</w:t>
            </w:r>
          </w:p>
          <w:p w14:paraId="6002E06B">
            <w:pPr>
              <w:spacing w:line="360" w:lineRule="auto"/>
              <w:ind w:firstLine="468" w:firstLineChars="195"/>
              <w:textAlignment w:val="baseline"/>
              <w:rPr>
                <w:snapToGrid w:val="0"/>
                <w:kern w:val="0"/>
                <w:sz w:val="24"/>
              </w:rPr>
            </w:pPr>
            <w:r>
              <w:rPr>
                <w:snapToGrid w:val="0"/>
                <w:kern w:val="0"/>
                <w:sz w:val="24"/>
              </w:rPr>
              <w:fldChar w:fldCharType="begin"/>
            </w:r>
            <w:r>
              <w:rPr>
                <w:snapToGrid w:val="0"/>
                <w:kern w:val="0"/>
                <w:sz w:val="24"/>
              </w:rPr>
              <w:instrText xml:space="preserve"> = 1 \* GB3 </w:instrText>
            </w:r>
            <w:r>
              <w:rPr>
                <w:snapToGrid w:val="0"/>
                <w:kern w:val="0"/>
                <w:sz w:val="24"/>
              </w:rPr>
              <w:fldChar w:fldCharType="separate"/>
            </w:r>
            <w:r>
              <w:rPr>
                <w:rFonts w:hint="eastAsia"/>
                <w:snapToGrid w:val="0"/>
                <w:kern w:val="0"/>
                <w:sz w:val="24"/>
              </w:rPr>
              <w:t>①</w:t>
            </w:r>
            <w:r>
              <w:rPr>
                <w:snapToGrid w:val="0"/>
                <w:kern w:val="0"/>
                <w:sz w:val="24"/>
              </w:rPr>
              <w:fldChar w:fldCharType="end"/>
            </w:r>
            <w:r>
              <w:rPr>
                <w:snapToGrid w:val="0"/>
                <w:kern w:val="0"/>
                <w:sz w:val="24"/>
              </w:rPr>
              <w:t xml:space="preserve"> </w:t>
            </w:r>
            <w:r>
              <w:rPr>
                <w:rFonts w:hint="eastAsia"/>
                <w:snapToGrid w:val="0"/>
                <w:kern w:val="0"/>
                <w:sz w:val="24"/>
              </w:rPr>
              <w:t>生活用水</w:t>
            </w:r>
          </w:p>
          <w:p w14:paraId="69685A89">
            <w:pPr>
              <w:spacing w:line="360" w:lineRule="auto"/>
              <w:ind w:firstLine="468" w:firstLineChars="195"/>
              <w:textAlignment w:val="baseline"/>
              <w:rPr>
                <w:snapToGrid w:val="0"/>
                <w:kern w:val="0"/>
                <w:sz w:val="24"/>
              </w:rPr>
            </w:pPr>
            <w:r>
              <w:rPr>
                <w:rFonts w:hint="eastAsia"/>
                <w:snapToGrid w:val="0"/>
                <w:kern w:val="0"/>
                <w:sz w:val="24"/>
              </w:rPr>
              <w:t>本项目劳动定员</w:t>
            </w:r>
            <w:r>
              <w:rPr>
                <w:snapToGrid w:val="0"/>
                <w:kern w:val="0"/>
                <w:sz w:val="24"/>
              </w:rPr>
              <w:t>8</w:t>
            </w:r>
            <w:r>
              <w:rPr>
                <w:rFonts w:hint="eastAsia"/>
                <w:snapToGrid w:val="0"/>
                <w:kern w:val="0"/>
                <w:sz w:val="24"/>
              </w:rPr>
              <w:t>人，员工均为当地人，6人不在厂区食宿，</w:t>
            </w:r>
            <w:r>
              <w:rPr>
                <w:snapToGrid w:val="0"/>
                <w:kern w:val="0"/>
                <w:sz w:val="24"/>
              </w:rPr>
              <w:t>2</w:t>
            </w:r>
            <w:r>
              <w:rPr>
                <w:rFonts w:hint="eastAsia"/>
                <w:snapToGrid w:val="0"/>
                <w:kern w:val="0"/>
                <w:sz w:val="24"/>
              </w:rPr>
              <w:t>名值守人员住宿。根据《四川省用水定额（修订稿）》，用水定额非住宿人员按</w:t>
            </w:r>
            <w:r>
              <w:rPr>
                <w:snapToGrid w:val="0"/>
                <w:kern w:val="0"/>
                <w:sz w:val="24"/>
              </w:rPr>
              <w:t>60L/</w:t>
            </w:r>
            <w:r>
              <w:rPr>
                <w:rFonts w:hint="eastAsia"/>
                <w:snapToGrid w:val="0"/>
                <w:kern w:val="0"/>
                <w:sz w:val="24"/>
              </w:rPr>
              <w:t>人</w:t>
            </w:r>
            <w:r>
              <w:rPr>
                <w:snapToGrid w:val="0"/>
                <w:kern w:val="0"/>
                <w:sz w:val="24"/>
              </w:rPr>
              <w:t>•</w:t>
            </w:r>
            <w:r>
              <w:rPr>
                <w:rFonts w:hint="eastAsia"/>
                <w:snapToGrid w:val="0"/>
                <w:kern w:val="0"/>
                <w:sz w:val="24"/>
              </w:rPr>
              <w:t>日、住宿人员按</w:t>
            </w:r>
            <w:r>
              <w:rPr>
                <w:snapToGrid w:val="0"/>
                <w:kern w:val="0"/>
                <w:sz w:val="24"/>
              </w:rPr>
              <w:t>100L/</w:t>
            </w:r>
            <w:r>
              <w:rPr>
                <w:rFonts w:hint="eastAsia"/>
                <w:snapToGrid w:val="0"/>
                <w:kern w:val="0"/>
                <w:sz w:val="24"/>
              </w:rPr>
              <w:t>人</w:t>
            </w:r>
            <w:r>
              <w:rPr>
                <w:snapToGrid w:val="0"/>
                <w:kern w:val="0"/>
                <w:sz w:val="24"/>
              </w:rPr>
              <w:t>•</w:t>
            </w:r>
            <w:r>
              <w:rPr>
                <w:rFonts w:hint="eastAsia"/>
                <w:snapToGrid w:val="0"/>
                <w:kern w:val="0"/>
                <w:sz w:val="24"/>
              </w:rPr>
              <w:t>日，则所需生活新鲜水为</w:t>
            </w:r>
            <w:r>
              <w:rPr>
                <w:snapToGrid w:val="0"/>
                <w:kern w:val="0"/>
                <w:sz w:val="24"/>
              </w:rPr>
              <w:t>0.56m</w:t>
            </w:r>
            <w:r>
              <w:rPr>
                <w:snapToGrid w:val="0"/>
                <w:kern w:val="0"/>
                <w:sz w:val="24"/>
                <w:vertAlign w:val="superscript"/>
              </w:rPr>
              <w:t>3</w:t>
            </w:r>
            <w:r>
              <w:rPr>
                <w:snapToGrid w:val="0"/>
                <w:kern w:val="0"/>
                <w:sz w:val="24"/>
              </w:rPr>
              <w:t>/d</w:t>
            </w:r>
            <w:r>
              <w:rPr>
                <w:rFonts w:hint="eastAsia"/>
                <w:snapToGrid w:val="0"/>
                <w:kern w:val="0"/>
                <w:sz w:val="24"/>
              </w:rPr>
              <w:t>，</w:t>
            </w:r>
            <w:r>
              <w:rPr>
                <w:snapToGrid w:val="0"/>
                <w:kern w:val="0"/>
                <w:sz w:val="24"/>
              </w:rPr>
              <w:t>168m</w:t>
            </w:r>
            <w:r>
              <w:rPr>
                <w:snapToGrid w:val="0"/>
                <w:kern w:val="0"/>
                <w:sz w:val="24"/>
                <w:vertAlign w:val="superscript"/>
              </w:rPr>
              <w:t>3</w:t>
            </w:r>
            <w:r>
              <w:rPr>
                <w:snapToGrid w:val="0"/>
                <w:kern w:val="0"/>
                <w:sz w:val="24"/>
              </w:rPr>
              <w:t>/a</w:t>
            </w:r>
            <w:r>
              <w:rPr>
                <w:rFonts w:hint="eastAsia"/>
                <w:snapToGrid w:val="0"/>
                <w:kern w:val="0"/>
                <w:sz w:val="24"/>
              </w:rPr>
              <w:t>。</w:t>
            </w:r>
          </w:p>
          <w:p w14:paraId="636628A9">
            <w:pPr>
              <w:spacing w:line="360" w:lineRule="auto"/>
              <w:ind w:firstLine="468" w:firstLineChars="195"/>
              <w:textAlignment w:val="baseline"/>
              <w:rPr>
                <w:snapToGrid w:val="0"/>
                <w:kern w:val="0"/>
                <w:sz w:val="24"/>
              </w:rPr>
            </w:pPr>
            <w:r>
              <w:rPr>
                <w:rFonts w:hint="eastAsia"/>
                <w:snapToGrid w:val="0"/>
                <w:kern w:val="0"/>
                <w:sz w:val="24"/>
              </w:rPr>
              <w:t>②生产用水</w:t>
            </w:r>
          </w:p>
          <w:p w14:paraId="6132D500">
            <w:pPr>
              <w:spacing w:line="360" w:lineRule="auto"/>
              <w:ind w:firstLine="468" w:firstLineChars="195"/>
              <w:textAlignment w:val="baseline"/>
              <w:rPr>
                <w:snapToGrid w:val="0"/>
                <w:kern w:val="0"/>
                <w:sz w:val="24"/>
              </w:rPr>
            </w:pPr>
            <w:r>
              <w:rPr>
                <w:rFonts w:hint="eastAsia"/>
                <w:snapToGrid w:val="0"/>
                <w:kern w:val="0"/>
                <w:sz w:val="24"/>
              </w:rPr>
              <w:t>本项目为无水生产工艺，生产过程中无生产废水外排。</w:t>
            </w:r>
          </w:p>
          <w:p w14:paraId="762259A2">
            <w:pPr>
              <w:spacing w:line="360" w:lineRule="auto"/>
              <w:ind w:firstLine="468" w:firstLineChars="195"/>
              <w:textAlignment w:val="baseline"/>
              <w:rPr>
                <w:snapToGrid w:val="0"/>
                <w:kern w:val="0"/>
                <w:sz w:val="24"/>
              </w:rPr>
            </w:pPr>
            <w:r>
              <w:rPr>
                <w:rFonts w:hint="eastAsia"/>
                <w:snapToGrid w:val="0"/>
                <w:kern w:val="0"/>
                <w:sz w:val="24"/>
              </w:rPr>
              <w:t>项目用水量预测及分配情况见下表</w:t>
            </w:r>
            <w:r>
              <w:rPr>
                <w:snapToGrid w:val="0"/>
                <w:kern w:val="0"/>
                <w:sz w:val="24"/>
              </w:rPr>
              <w:t>1-6</w:t>
            </w:r>
            <w:r>
              <w:rPr>
                <w:rFonts w:hint="eastAsia"/>
                <w:snapToGrid w:val="0"/>
                <w:kern w:val="0"/>
                <w:sz w:val="24"/>
              </w:rPr>
              <w:t>。</w:t>
            </w:r>
          </w:p>
          <w:p w14:paraId="1ED586A0">
            <w:pPr>
              <w:widowControl/>
              <w:adjustRightInd w:val="0"/>
              <w:snapToGrid w:val="0"/>
              <w:spacing w:line="276" w:lineRule="auto"/>
              <w:ind w:left="63" w:leftChars="30" w:right="92" w:rightChars="44" w:firstLine="480" w:firstLineChars="200"/>
              <w:jc w:val="right"/>
              <w:rPr>
                <w:rFonts w:ascii="黑体" w:hAnsi="黑体" w:eastAsia="黑体"/>
                <w:snapToGrid w:val="0"/>
                <w:kern w:val="0"/>
                <w:sz w:val="24"/>
              </w:rPr>
            </w:pPr>
            <w:r>
              <w:rPr>
                <w:rFonts w:hint="eastAsia" w:ascii="黑体" w:hAnsi="黑体" w:eastAsia="黑体"/>
                <w:snapToGrid w:val="0"/>
                <w:kern w:val="0"/>
                <w:sz w:val="24"/>
              </w:rPr>
              <w:t>表</w:t>
            </w:r>
            <w:r>
              <w:rPr>
                <w:rFonts w:ascii="黑体" w:hAnsi="黑体" w:eastAsia="黑体"/>
                <w:snapToGrid w:val="0"/>
                <w:kern w:val="0"/>
                <w:sz w:val="24"/>
              </w:rPr>
              <w:t>1-6</w:t>
            </w:r>
            <w:r>
              <w:rPr>
                <w:rFonts w:hint="eastAsia" w:ascii="黑体" w:hAnsi="黑体" w:eastAsia="黑体"/>
                <w:snapToGrid w:val="0"/>
                <w:kern w:val="0"/>
                <w:sz w:val="24"/>
              </w:rPr>
              <w:t>项目用水类型及取水量</w:t>
            </w:r>
            <w:r>
              <w:rPr>
                <w:rFonts w:ascii="黑体" w:hAnsi="黑体" w:eastAsia="黑体"/>
                <w:snapToGrid w:val="0"/>
                <w:kern w:val="0"/>
                <w:sz w:val="24"/>
              </w:rPr>
              <w:t xml:space="preserve">            </w:t>
            </w:r>
            <w:r>
              <w:rPr>
                <w:rFonts w:hint="eastAsia" w:ascii="黑体" w:hAnsi="黑体" w:eastAsia="黑体"/>
                <w:snapToGrid w:val="0"/>
                <w:kern w:val="0"/>
                <w:sz w:val="24"/>
              </w:rPr>
              <w:t>单位：</w:t>
            </w:r>
            <w:r>
              <w:rPr>
                <w:rFonts w:ascii="黑体" w:hAnsi="黑体" w:eastAsia="黑体"/>
                <w:snapToGrid w:val="0"/>
                <w:kern w:val="0"/>
                <w:sz w:val="24"/>
              </w:rPr>
              <w:t>m</w:t>
            </w:r>
            <w:r>
              <w:rPr>
                <w:rFonts w:ascii="黑体" w:hAnsi="黑体" w:eastAsia="黑体"/>
                <w:snapToGrid w:val="0"/>
                <w:kern w:val="0"/>
                <w:sz w:val="24"/>
                <w:vertAlign w:val="superscript"/>
              </w:rPr>
              <w:t>3</w:t>
            </w:r>
            <w:r>
              <w:rPr>
                <w:rFonts w:ascii="黑体" w:hAnsi="黑体" w:eastAsia="黑体"/>
                <w:snapToGrid w:val="0"/>
                <w:kern w:val="0"/>
                <w:sz w:val="24"/>
              </w:rPr>
              <w:t>/d</w:t>
            </w:r>
          </w:p>
          <w:tbl>
            <w:tblPr>
              <w:tblStyle w:val="25"/>
              <w:tblW w:w="828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1"/>
              <w:gridCol w:w="1805"/>
              <w:gridCol w:w="1762"/>
              <w:gridCol w:w="1958"/>
              <w:gridCol w:w="1956"/>
            </w:tblGrid>
            <w:tr w14:paraId="280D85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atLeast"/>
                <w:jc w:val="center"/>
              </w:trPr>
              <w:tc>
                <w:tcPr>
                  <w:tcW w:w="801" w:type="dxa"/>
                  <w:tcBorders>
                    <w:top w:val="single" w:color="auto" w:sz="12" w:space="0"/>
                    <w:left w:val="single" w:color="auto" w:sz="12" w:space="0"/>
                    <w:bottom w:val="single" w:color="auto" w:sz="12" w:space="0"/>
                    <w:right w:val="single" w:color="auto" w:sz="6" w:space="0"/>
                  </w:tcBorders>
                  <w:vAlign w:val="center"/>
                </w:tcPr>
                <w:p w14:paraId="009A7BD3">
                  <w:pPr>
                    <w:jc w:val="center"/>
                    <w:rPr>
                      <w:b/>
                      <w:szCs w:val="21"/>
                    </w:rPr>
                  </w:pPr>
                  <w:r>
                    <w:rPr>
                      <w:rFonts w:hint="eastAsia"/>
                      <w:b/>
                      <w:szCs w:val="21"/>
                    </w:rPr>
                    <w:t>序号</w:t>
                  </w:r>
                </w:p>
              </w:tc>
              <w:tc>
                <w:tcPr>
                  <w:tcW w:w="1805" w:type="dxa"/>
                  <w:tcBorders>
                    <w:top w:val="single" w:color="auto" w:sz="12" w:space="0"/>
                    <w:left w:val="single" w:color="auto" w:sz="6" w:space="0"/>
                    <w:bottom w:val="single" w:color="auto" w:sz="12" w:space="0"/>
                    <w:right w:val="single" w:color="auto" w:sz="6" w:space="0"/>
                  </w:tcBorders>
                  <w:vAlign w:val="center"/>
                </w:tcPr>
                <w:p w14:paraId="418CFD02">
                  <w:pPr>
                    <w:jc w:val="center"/>
                    <w:rPr>
                      <w:b/>
                      <w:szCs w:val="21"/>
                    </w:rPr>
                  </w:pPr>
                  <w:r>
                    <w:rPr>
                      <w:rFonts w:hint="eastAsia"/>
                      <w:b/>
                      <w:szCs w:val="21"/>
                    </w:rPr>
                    <w:t>项目类别</w:t>
                  </w:r>
                </w:p>
              </w:tc>
              <w:tc>
                <w:tcPr>
                  <w:tcW w:w="1762" w:type="dxa"/>
                  <w:tcBorders>
                    <w:top w:val="single" w:color="auto" w:sz="12" w:space="0"/>
                    <w:left w:val="single" w:color="auto" w:sz="6" w:space="0"/>
                    <w:bottom w:val="single" w:color="auto" w:sz="12" w:space="0"/>
                    <w:right w:val="single" w:color="auto" w:sz="6" w:space="0"/>
                  </w:tcBorders>
                  <w:vAlign w:val="center"/>
                </w:tcPr>
                <w:p w14:paraId="58D307C6">
                  <w:pPr>
                    <w:jc w:val="center"/>
                    <w:rPr>
                      <w:b/>
                      <w:szCs w:val="21"/>
                    </w:rPr>
                  </w:pPr>
                  <w:r>
                    <w:rPr>
                      <w:rFonts w:hint="eastAsia"/>
                      <w:b/>
                      <w:szCs w:val="21"/>
                    </w:rPr>
                    <w:t>用水标准</w:t>
                  </w:r>
                </w:p>
              </w:tc>
              <w:tc>
                <w:tcPr>
                  <w:tcW w:w="1958" w:type="dxa"/>
                  <w:tcBorders>
                    <w:top w:val="single" w:color="auto" w:sz="12" w:space="0"/>
                    <w:left w:val="single" w:color="auto" w:sz="6" w:space="0"/>
                    <w:bottom w:val="single" w:color="auto" w:sz="12" w:space="0"/>
                    <w:right w:val="single" w:color="auto" w:sz="6" w:space="0"/>
                  </w:tcBorders>
                  <w:vAlign w:val="center"/>
                </w:tcPr>
                <w:p w14:paraId="32DE1843">
                  <w:pPr>
                    <w:jc w:val="center"/>
                    <w:rPr>
                      <w:b/>
                      <w:szCs w:val="21"/>
                    </w:rPr>
                  </w:pPr>
                  <w:r>
                    <w:rPr>
                      <w:rFonts w:hint="eastAsia"/>
                      <w:b/>
                      <w:szCs w:val="21"/>
                    </w:rPr>
                    <w:t>用水量（</w:t>
                  </w:r>
                  <w:r>
                    <w:rPr>
                      <w:b/>
                      <w:szCs w:val="21"/>
                    </w:rPr>
                    <w:t>m</w:t>
                  </w:r>
                  <w:r>
                    <w:rPr>
                      <w:b/>
                      <w:szCs w:val="21"/>
                      <w:vertAlign w:val="superscript"/>
                    </w:rPr>
                    <w:t>3</w:t>
                  </w:r>
                  <w:r>
                    <w:rPr>
                      <w:b/>
                      <w:szCs w:val="21"/>
                    </w:rPr>
                    <w:t>/d</w:t>
                  </w:r>
                  <w:r>
                    <w:rPr>
                      <w:rFonts w:hint="eastAsia"/>
                      <w:b/>
                      <w:szCs w:val="21"/>
                    </w:rPr>
                    <w:t>）</w:t>
                  </w:r>
                </w:p>
              </w:tc>
              <w:tc>
                <w:tcPr>
                  <w:tcW w:w="1956" w:type="dxa"/>
                  <w:tcBorders>
                    <w:top w:val="single" w:color="auto" w:sz="12" w:space="0"/>
                    <w:left w:val="single" w:color="auto" w:sz="6" w:space="0"/>
                    <w:bottom w:val="single" w:color="auto" w:sz="12" w:space="0"/>
                    <w:right w:val="single" w:color="auto" w:sz="12" w:space="0"/>
                  </w:tcBorders>
                  <w:vAlign w:val="center"/>
                </w:tcPr>
                <w:p w14:paraId="0D559A4F">
                  <w:pPr>
                    <w:jc w:val="center"/>
                    <w:rPr>
                      <w:b/>
                      <w:szCs w:val="21"/>
                    </w:rPr>
                  </w:pPr>
                  <w:r>
                    <w:rPr>
                      <w:rFonts w:hint="eastAsia"/>
                      <w:b/>
                      <w:szCs w:val="21"/>
                    </w:rPr>
                    <w:t>备注</w:t>
                  </w:r>
                </w:p>
              </w:tc>
            </w:tr>
            <w:tr w14:paraId="7DA04C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1" w:hRule="atLeast"/>
                <w:jc w:val="center"/>
              </w:trPr>
              <w:tc>
                <w:tcPr>
                  <w:tcW w:w="801" w:type="dxa"/>
                  <w:tcBorders>
                    <w:top w:val="single" w:color="auto" w:sz="12" w:space="0"/>
                    <w:left w:val="single" w:color="auto" w:sz="12" w:space="0"/>
                    <w:bottom w:val="single" w:color="auto" w:sz="6" w:space="0"/>
                    <w:right w:val="single" w:color="auto" w:sz="6" w:space="0"/>
                  </w:tcBorders>
                  <w:vAlign w:val="center"/>
                </w:tcPr>
                <w:p w14:paraId="29CBCBBA">
                  <w:pPr>
                    <w:jc w:val="center"/>
                    <w:rPr>
                      <w:szCs w:val="21"/>
                    </w:rPr>
                  </w:pPr>
                  <w:r>
                    <w:rPr>
                      <w:szCs w:val="21"/>
                    </w:rPr>
                    <w:t>1</w:t>
                  </w:r>
                </w:p>
              </w:tc>
              <w:tc>
                <w:tcPr>
                  <w:tcW w:w="1805" w:type="dxa"/>
                  <w:tcBorders>
                    <w:top w:val="single" w:color="auto" w:sz="12" w:space="0"/>
                    <w:left w:val="single" w:color="auto" w:sz="6" w:space="0"/>
                    <w:bottom w:val="single" w:color="auto" w:sz="6" w:space="0"/>
                    <w:right w:val="single" w:color="auto" w:sz="6" w:space="0"/>
                  </w:tcBorders>
                  <w:vAlign w:val="center"/>
                </w:tcPr>
                <w:p w14:paraId="0A53636F">
                  <w:pPr>
                    <w:jc w:val="center"/>
                    <w:rPr>
                      <w:szCs w:val="21"/>
                    </w:rPr>
                  </w:pPr>
                  <w:r>
                    <w:rPr>
                      <w:rFonts w:hint="eastAsia"/>
                      <w:szCs w:val="21"/>
                    </w:rPr>
                    <w:t>生活用水</w:t>
                  </w:r>
                </w:p>
              </w:tc>
              <w:tc>
                <w:tcPr>
                  <w:tcW w:w="1762" w:type="dxa"/>
                  <w:tcBorders>
                    <w:top w:val="single" w:color="auto" w:sz="12" w:space="0"/>
                    <w:left w:val="single" w:color="auto" w:sz="6" w:space="0"/>
                    <w:bottom w:val="single" w:color="auto" w:sz="6" w:space="0"/>
                    <w:right w:val="single" w:color="auto" w:sz="6" w:space="0"/>
                  </w:tcBorders>
                  <w:vAlign w:val="center"/>
                </w:tcPr>
                <w:p w14:paraId="3C1A4A07">
                  <w:pPr>
                    <w:jc w:val="center"/>
                    <w:rPr>
                      <w:szCs w:val="21"/>
                    </w:rPr>
                  </w:pPr>
                  <w:r>
                    <w:rPr>
                      <w:szCs w:val="21"/>
                    </w:rPr>
                    <w:t>0.06</w:t>
                  </w:r>
                  <w:r>
                    <w:rPr>
                      <w:b/>
                      <w:szCs w:val="21"/>
                    </w:rPr>
                    <w:t xml:space="preserve"> m</w:t>
                  </w:r>
                  <w:r>
                    <w:rPr>
                      <w:b/>
                      <w:szCs w:val="21"/>
                      <w:vertAlign w:val="superscript"/>
                    </w:rPr>
                    <w:t>3</w:t>
                  </w:r>
                  <w:r>
                    <w:rPr>
                      <w:b/>
                      <w:szCs w:val="21"/>
                    </w:rPr>
                    <w:t>/</w:t>
                  </w:r>
                  <w:r>
                    <w:rPr>
                      <w:rFonts w:hint="eastAsia"/>
                      <w:b/>
                      <w:szCs w:val="21"/>
                    </w:rPr>
                    <w:t>人</w:t>
                  </w:r>
                  <w:r>
                    <w:rPr>
                      <w:b/>
                      <w:szCs w:val="21"/>
                    </w:rPr>
                    <w:t>/d</w:t>
                  </w:r>
                </w:p>
              </w:tc>
              <w:tc>
                <w:tcPr>
                  <w:tcW w:w="1958" w:type="dxa"/>
                  <w:tcBorders>
                    <w:top w:val="single" w:color="auto" w:sz="12" w:space="0"/>
                    <w:left w:val="single" w:color="auto" w:sz="6" w:space="0"/>
                    <w:bottom w:val="single" w:color="auto" w:sz="6" w:space="0"/>
                    <w:right w:val="single" w:color="auto" w:sz="6" w:space="0"/>
                  </w:tcBorders>
                  <w:vAlign w:val="center"/>
                </w:tcPr>
                <w:p w14:paraId="5796CAEE">
                  <w:pPr>
                    <w:jc w:val="center"/>
                    <w:rPr>
                      <w:szCs w:val="21"/>
                    </w:rPr>
                  </w:pPr>
                  <w:r>
                    <w:rPr>
                      <w:szCs w:val="21"/>
                    </w:rPr>
                    <w:t>0.36</w:t>
                  </w:r>
                </w:p>
              </w:tc>
              <w:tc>
                <w:tcPr>
                  <w:tcW w:w="1956" w:type="dxa"/>
                  <w:tcBorders>
                    <w:top w:val="single" w:color="auto" w:sz="12" w:space="0"/>
                    <w:left w:val="single" w:color="auto" w:sz="6" w:space="0"/>
                    <w:bottom w:val="single" w:color="auto" w:sz="6" w:space="0"/>
                    <w:right w:val="single" w:color="auto" w:sz="12" w:space="0"/>
                  </w:tcBorders>
                  <w:vAlign w:val="center"/>
                </w:tcPr>
                <w:p w14:paraId="4EF3E4E0">
                  <w:pPr>
                    <w:jc w:val="center"/>
                    <w:rPr>
                      <w:szCs w:val="21"/>
                    </w:rPr>
                  </w:pPr>
                  <w:r>
                    <w:rPr>
                      <w:rFonts w:hint="eastAsia"/>
                      <w:szCs w:val="21"/>
                    </w:rPr>
                    <w:t>不住宿</w:t>
                  </w:r>
                </w:p>
              </w:tc>
            </w:tr>
            <w:tr w14:paraId="358858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6" w:hRule="atLeast"/>
                <w:jc w:val="center"/>
              </w:trPr>
              <w:tc>
                <w:tcPr>
                  <w:tcW w:w="801" w:type="dxa"/>
                  <w:tcBorders>
                    <w:top w:val="single" w:color="auto" w:sz="6" w:space="0"/>
                    <w:left w:val="single" w:color="auto" w:sz="12" w:space="0"/>
                    <w:bottom w:val="single" w:color="auto" w:sz="6" w:space="0"/>
                    <w:right w:val="single" w:color="auto" w:sz="6" w:space="0"/>
                  </w:tcBorders>
                  <w:vAlign w:val="center"/>
                </w:tcPr>
                <w:p w14:paraId="056C0A95">
                  <w:pPr>
                    <w:jc w:val="center"/>
                    <w:rPr>
                      <w:szCs w:val="21"/>
                    </w:rPr>
                  </w:pPr>
                  <w:r>
                    <w:rPr>
                      <w:szCs w:val="21"/>
                    </w:rPr>
                    <w:t>2</w:t>
                  </w:r>
                </w:p>
              </w:tc>
              <w:tc>
                <w:tcPr>
                  <w:tcW w:w="1805" w:type="dxa"/>
                  <w:tcBorders>
                    <w:top w:val="single" w:color="auto" w:sz="6" w:space="0"/>
                    <w:left w:val="single" w:color="auto" w:sz="6" w:space="0"/>
                    <w:bottom w:val="single" w:color="auto" w:sz="6" w:space="0"/>
                    <w:right w:val="single" w:color="auto" w:sz="6" w:space="0"/>
                  </w:tcBorders>
                  <w:vAlign w:val="center"/>
                </w:tcPr>
                <w:p w14:paraId="1CDEB36C">
                  <w:pPr>
                    <w:jc w:val="center"/>
                    <w:rPr>
                      <w:szCs w:val="21"/>
                    </w:rPr>
                  </w:pPr>
                  <w:r>
                    <w:rPr>
                      <w:rFonts w:hint="eastAsia"/>
                      <w:szCs w:val="21"/>
                    </w:rPr>
                    <w:t>生活用水</w:t>
                  </w:r>
                </w:p>
              </w:tc>
              <w:tc>
                <w:tcPr>
                  <w:tcW w:w="1762" w:type="dxa"/>
                  <w:tcBorders>
                    <w:top w:val="single" w:color="auto" w:sz="6" w:space="0"/>
                    <w:left w:val="single" w:color="auto" w:sz="6" w:space="0"/>
                    <w:bottom w:val="single" w:color="auto" w:sz="6" w:space="0"/>
                    <w:right w:val="single" w:color="auto" w:sz="6" w:space="0"/>
                  </w:tcBorders>
                  <w:vAlign w:val="center"/>
                </w:tcPr>
                <w:p w14:paraId="2696000A">
                  <w:pPr>
                    <w:jc w:val="center"/>
                    <w:rPr>
                      <w:szCs w:val="21"/>
                    </w:rPr>
                  </w:pPr>
                  <w:r>
                    <w:rPr>
                      <w:szCs w:val="21"/>
                    </w:rPr>
                    <w:t>0.1</w:t>
                  </w:r>
                  <w:r>
                    <w:rPr>
                      <w:b/>
                      <w:szCs w:val="21"/>
                    </w:rPr>
                    <w:t xml:space="preserve"> m</w:t>
                  </w:r>
                  <w:r>
                    <w:rPr>
                      <w:b/>
                      <w:szCs w:val="21"/>
                      <w:vertAlign w:val="superscript"/>
                    </w:rPr>
                    <w:t>3</w:t>
                  </w:r>
                  <w:r>
                    <w:rPr>
                      <w:b/>
                      <w:szCs w:val="21"/>
                    </w:rPr>
                    <w:t>/</w:t>
                  </w:r>
                  <w:r>
                    <w:rPr>
                      <w:rFonts w:hint="eastAsia"/>
                      <w:b/>
                      <w:szCs w:val="21"/>
                    </w:rPr>
                    <w:t>人</w:t>
                  </w:r>
                  <w:r>
                    <w:rPr>
                      <w:b/>
                      <w:szCs w:val="21"/>
                    </w:rPr>
                    <w:t>/d</w:t>
                  </w:r>
                </w:p>
              </w:tc>
              <w:tc>
                <w:tcPr>
                  <w:tcW w:w="1958" w:type="dxa"/>
                  <w:tcBorders>
                    <w:top w:val="single" w:color="auto" w:sz="6" w:space="0"/>
                    <w:left w:val="single" w:color="auto" w:sz="6" w:space="0"/>
                    <w:bottom w:val="single" w:color="auto" w:sz="6" w:space="0"/>
                    <w:right w:val="single" w:color="auto" w:sz="6" w:space="0"/>
                  </w:tcBorders>
                  <w:vAlign w:val="center"/>
                </w:tcPr>
                <w:p w14:paraId="638C5640">
                  <w:pPr>
                    <w:jc w:val="center"/>
                    <w:rPr>
                      <w:szCs w:val="21"/>
                    </w:rPr>
                  </w:pPr>
                  <w:r>
                    <w:rPr>
                      <w:rFonts w:hint="eastAsia"/>
                      <w:szCs w:val="21"/>
                    </w:rPr>
                    <w:t>0</w:t>
                  </w:r>
                  <w:r>
                    <w:rPr>
                      <w:szCs w:val="21"/>
                    </w:rPr>
                    <w:t>.2</w:t>
                  </w:r>
                </w:p>
              </w:tc>
              <w:tc>
                <w:tcPr>
                  <w:tcW w:w="1956" w:type="dxa"/>
                  <w:tcBorders>
                    <w:top w:val="single" w:color="auto" w:sz="6" w:space="0"/>
                    <w:left w:val="single" w:color="auto" w:sz="6" w:space="0"/>
                    <w:bottom w:val="single" w:color="auto" w:sz="6" w:space="0"/>
                    <w:right w:val="single" w:color="auto" w:sz="12" w:space="0"/>
                  </w:tcBorders>
                  <w:vAlign w:val="center"/>
                </w:tcPr>
                <w:p w14:paraId="19D5AE31">
                  <w:pPr>
                    <w:jc w:val="center"/>
                    <w:rPr>
                      <w:szCs w:val="21"/>
                    </w:rPr>
                  </w:pPr>
                  <w:r>
                    <w:rPr>
                      <w:rFonts w:hint="eastAsia"/>
                      <w:szCs w:val="21"/>
                    </w:rPr>
                    <w:t>住宿</w:t>
                  </w:r>
                </w:p>
              </w:tc>
            </w:tr>
            <w:tr w14:paraId="60E935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6" w:hRule="atLeast"/>
                <w:jc w:val="center"/>
              </w:trPr>
              <w:tc>
                <w:tcPr>
                  <w:tcW w:w="801" w:type="dxa"/>
                  <w:tcBorders>
                    <w:top w:val="single" w:color="auto" w:sz="6" w:space="0"/>
                    <w:left w:val="single" w:color="auto" w:sz="12" w:space="0"/>
                    <w:bottom w:val="single" w:color="auto" w:sz="6" w:space="0"/>
                    <w:right w:val="single" w:color="auto" w:sz="6" w:space="0"/>
                  </w:tcBorders>
                  <w:vAlign w:val="center"/>
                </w:tcPr>
                <w:p w14:paraId="58CDBD62">
                  <w:pPr>
                    <w:jc w:val="center"/>
                    <w:rPr>
                      <w:szCs w:val="21"/>
                    </w:rPr>
                  </w:pPr>
                  <w:r>
                    <w:rPr>
                      <w:rFonts w:hint="eastAsia"/>
                      <w:szCs w:val="21"/>
                    </w:rPr>
                    <w:t>3</w:t>
                  </w:r>
                </w:p>
              </w:tc>
              <w:tc>
                <w:tcPr>
                  <w:tcW w:w="1805" w:type="dxa"/>
                  <w:tcBorders>
                    <w:top w:val="single" w:color="auto" w:sz="6" w:space="0"/>
                    <w:left w:val="single" w:color="auto" w:sz="6" w:space="0"/>
                    <w:bottom w:val="single" w:color="auto" w:sz="6" w:space="0"/>
                    <w:right w:val="single" w:color="auto" w:sz="6" w:space="0"/>
                  </w:tcBorders>
                  <w:vAlign w:val="center"/>
                </w:tcPr>
                <w:p w14:paraId="67E73343">
                  <w:pPr>
                    <w:jc w:val="center"/>
                    <w:rPr>
                      <w:szCs w:val="21"/>
                    </w:rPr>
                  </w:pPr>
                  <w:r>
                    <w:rPr>
                      <w:rFonts w:hint="eastAsia"/>
                      <w:szCs w:val="21"/>
                    </w:rPr>
                    <w:t>其他用水</w:t>
                  </w:r>
                </w:p>
              </w:tc>
              <w:tc>
                <w:tcPr>
                  <w:tcW w:w="1762" w:type="dxa"/>
                  <w:tcBorders>
                    <w:top w:val="single" w:color="auto" w:sz="6" w:space="0"/>
                    <w:left w:val="single" w:color="auto" w:sz="6" w:space="0"/>
                    <w:bottom w:val="single" w:color="auto" w:sz="6" w:space="0"/>
                    <w:right w:val="single" w:color="auto" w:sz="6" w:space="0"/>
                  </w:tcBorders>
                  <w:vAlign w:val="center"/>
                </w:tcPr>
                <w:p w14:paraId="2BA6894D">
                  <w:pPr>
                    <w:jc w:val="center"/>
                    <w:rPr>
                      <w:szCs w:val="21"/>
                    </w:rPr>
                  </w:pPr>
                  <w:r>
                    <w:rPr>
                      <w:szCs w:val="21"/>
                    </w:rPr>
                    <w:t xml:space="preserve">0.2 </w:t>
                  </w:r>
                  <w:r>
                    <w:rPr>
                      <w:b/>
                      <w:szCs w:val="21"/>
                    </w:rPr>
                    <w:t>m</w:t>
                  </w:r>
                  <w:r>
                    <w:rPr>
                      <w:b/>
                      <w:szCs w:val="21"/>
                      <w:vertAlign w:val="superscript"/>
                    </w:rPr>
                    <w:t>3</w:t>
                  </w:r>
                  <w:r>
                    <w:rPr>
                      <w:b/>
                      <w:szCs w:val="21"/>
                    </w:rPr>
                    <w:t xml:space="preserve"> /d</w:t>
                  </w:r>
                </w:p>
              </w:tc>
              <w:tc>
                <w:tcPr>
                  <w:tcW w:w="1958" w:type="dxa"/>
                  <w:tcBorders>
                    <w:top w:val="single" w:color="auto" w:sz="6" w:space="0"/>
                    <w:left w:val="single" w:color="auto" w:sz="6" w:space="0"/>
                    <w:bottom w:val="single" w:color="auto" w:sz="6" w:space="0"/>
                    <w:right w:val="single" w:color="auto" w:sz="6" w:space="0"/>
                  </w:tcBorders>
                  <w:vAlign w:val="center"/>
                </w:tcPr>
                <w:p w14:paraId="2EEE2165">
                  <w:pPr>
                    <w:jc w:val="center"/>
                    <w:rPr>
                      <w:szCs w:val="21"/>
                    </w:rPr>
                  </w:pPr>
                  <w:r>
                    <w:rPr>
                      <w:szCs w:val="21"/>
                    </w:rPr>
                    <w:t>0.2</w:t>
                  </w:r>
                </w:p>
              </w:tc>
              <w:tc>
                <w:tcPr>
                  <w:tcW w:w="1956" w:type="dxa"/>
                  <w:tcBorders>
                    <w:top w:val="single" w:color="auto" w:sz="6" w:space="0"/>
                    <w:left w:val="single" w:color="auto" w:sz="6" w:space="0"/>
                    <w:bottom w:val="single" w:color="auto" w:sz="6" w:space="0"/>
                    <w:right w:val="single" w:color="auto" w:sz="12" w:space="0"/>
                  </w:tcBorders>
                  <w:vAlign w:val="center"/>
                </w:tcPr>
                <w:p w14:paraId="0083F20B">
                  <w:pPr>
                    <w:jc w:val="center"/>
                    <w:rPr>
                      <w:szCs w:val="21"/>
                    </w:rPr>
                  </w:pPr>
                  <w:r>
                    <w:rPr>
                      <w:rFonts w:hint="eastAsia"/>
                      <w:szCs w:val="21"/>
                    </w:rPr>
                    <w:t>消防及洒水等</w:t>
                  </w:r>
                </w:p>
              </w:tc>
            </w:tr>
            <w:tr w14:paraId="289ACE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2606" w:type="dxa"/>
                  <w:gridSpan w:val="2"/>
                  <w:tcBorders>
                    <w:top w:val="single" w:color="auto" w:sz="6" w:space="0"/>
                    <w:left w:val="single" w:color="auto" w:sz="12" w:space="0"/>
                    <w:bottom w:val="single" w:color="auto" w:sz="12" w:space="0"/>
                    <w:right w:val="single" w:color="auto" w:sz="6" w:space="0"/>
                  </w:tcBorders>
                  <w:vAlign w:val="center"/>
                </w:tcPr>
                <w:p w14:paraId="4ABB0A3E">
                  <w:pPr>
                    <w:jc w:val="center"/>
                    <w:rPr>
                      <w:szCs w:val="21"/>
                    </w:rPr>
                  </w:pPr>
                  <w:r>
                    <w:rPr>
                      <w:rFonts w:hint="eastAsia"/>
                      <w:szCs w:val="21"/>
                    </w:rPr>
                    <w:t>合计</w:t>
                  </w:r>
                </w:p>
              </w:tc>
              <w:tc>
                <w:tcPr>
                  <w:tcW w:w="1762" w:type="dxa"/>
                  <w:tcBorders>
                    <w:top w:val="single" w:color="auto" w:sz="6" w:space="0"/>
                    <w:left w:val="single" w:color="auto" w:sz="6" w:space="0"/>
                    <w:bottom w:val="single" w:color="auto" w:sz="12" w:space="0"/>
                    <w:right w:val="single" w:color="auto" w:sz="6" w:space="0"/>
                  </w:tcBorders>
                  <w:vAlign w:val="center"/>
                </w:tcPr>
                <w:p w14:paraId="0484DC9F">
                  <w:pPr>
                    <w:jc w:val="center"/>
                    <w:rPr>
                      <w:szCs w:val="21"/>
                    </w:rPr>
                  </w:pPr>
                  <w:r>
                    <w:rPr>
                      <w:szCs w:val="21"/>
                    </w:rPr>
                    <w:t>/</w:t>
                  </w:r>
                </w:p>
              </w:tc>
              <w:tc>
                <w:tcPr>
                  <w:tcW w:w="3914" w:type="dxa"/>
                  <w:gridSpan w:val="2"/>
                  <w:tcBorders>
                    <w:top w:val="single" w:color="auto" w:sz="6" w:space="0"/>
                    <w:left w:val="single" w:color="auto" w:sz="6" w:space="0"/>
                    <w:bottom w:val="single" w:color="auto" w:sz="12" w:space="0"/>
                    <w:right w:val="single" w:color="auto" w:sz="12" w:space="0"/>
                  </w:tcBorders>
                  <w:vAlign w:val="center"/>
                </w:tcPr>
                <w:p w14:paraId="7810690B">
                  <w:pPr>
                    <w:jc w:val="center"/>
                    <w:rPr>
                      <w:szCs w:val="21"/>
                    </w:rPr>
                  </w:pPr>
                  <w:r>
                    <w:rPr>
                      <w:szCs w:val="21"/>
                    </w:rPr>
                    <w:t>0.56m</w:t>
                  </w:r>
                  <w:r>
                    <w:rPr>
                      <w:szCs w:val="21"/>
                      <w:vertAlign w:val="superscript"/>
                    </w:rPr>
                    <w:t>3</w:t>
                  </w:r>
                  <w:r>
                    <w:rPr>
                      <w:szCs w:val="21"/>
                    </w:rPr>
                    <w:t>/d</w:t>
                  </w:r>
                  <w:r>
                    <w:rPr>
                      <w:rFonts w:hint="eastAsia"/>
                      <w:szCs w:val="21"/>
                      <w:lang w:eastAsia="zh-CN"/>
                    </w:rPr>
                    <w:t>;</w:t>
                  </w:r>
                  <w:r>
                    <w:rPr>
                      <w:szCs w:val="21"/>
                    </w:rPr>
                    <w:t>168m</w:t>
                  </w:r>
                  <w:r>
                    <w:rPr>
                      <w:szCs w:val="21"/>
                      <w:vertAlign w:val="superscript"/>
                    </w:rPr>
                    <w:t>3</w:t>
                  </w:r>
                  <w:r>
                    <w:rPr>
                      <w:szCs w:val="21"/>
                    </w:rPr>
                    <w:t>/a</w:t>
                  </w:r>
                </w:p>
              </w:tc>
            </w:tr>
          </w:tbl>
          <w:p w14:paraId="55EDCFC9">
            <w:pPr>
              <w:widowControl/>
              <w:adjustRightInd w:val="0"/>
              <w:snapToGrid w:val="0"/>
              <w:spacing w:line="400" w:lineRule="exact"/>
              <w:ind w:left="63" w:leftChars="30" w:right="92" w:rightChars="44" w:firstLine="480" w:firstLineChars="200"/>
              <w:jc w:val="left"/>
              <w:rPr>
                <w:snapToGrid w:val="0"/>
                <w:kern w:val="0"/>
                <w:sz w:val="24"/>
              </w:rPr>
            </w:pPr>
            <w:r>
              <w:rPr>
                <w:rFonts w:hint="eastAsia"/>
                <w:snapToGrid w:val="0"/>
                <w:kern w:val="0"/>
                <w:sz w:val="24"/>
              </w:rPr>
              <w:t>（</w:t>
            </w:r>
            <w:r>
              <w:rPr>
                <w:snapToGrid w:val="0"/>
                <w:kern w:val="0"/>
                <w:sz w:val="24"/>
              </w:rPr>
              <w:t>2</w:t>
            </w:r>
            <w:r>
              <w:rPr>
                <w:rFonts w:hint="eastAsia"/>
                <w:snapToGrid w:val="0"/>
                <w:kern w:val="0"/>
                <w:sz w:val="24"/>
              </w:rPr>
              <w:t>）排水</w:t>
            </w:r>
          </w:p>
          <w:p w14:paraId="1F4947F5">
            <w:pPr>
              <w:widowControl/>
              <w:adjustRightInd w:val="0"/>
              <w:snapToGrid w:val="0"/>
              <w:spacing w:line="400" w:lineRule="exact"/>
              <w:ind w:left="63" w:leftChars="30" w:right="92" w:rightChars="44" w:firstLine="480" w:firstLineChars="200"/>
              <w:jc w:val="left"/>
              <w:rPr>
                <w:snapToGrid w:val="0"/>
                <w:kern w:val="0"/>
                <w:sz w:val="24"/>
              </w:rPr>
            </w:pPr>
            <w:r>
              <w:rPr>
                <w:snapToGrid w:val="0"/>
                <w:kern w:val="0"/>
                <w:sz w:val="24"/>
              </w:rPr>
              <w:t>i</w:t>
            </w:r>
            <w:r>
              <w:rPr>
                <w:rFonts w:hint="eastAsia"/>
                <w:snapToGrid w:val="0"/>
                <w:kern w:val="0"/>
                <w:sz w:val="24"/>
              </w:rPr>
              <w:t>、雨水排放：雨水经雨水沟导流后直接外排。</w:t>
            </w:r>
          </w:p>
          <w:p w14:paraId="79F2859B">
            <w:pPr>
              <w:widowControl/>
              <w:adjustRightInd w:val="0"/>
              <w:snapToGrid w:val="0"/>
              <w:spacing w:line="400" w:lineRule="exact"/>
              <w:ind w:left="63" w:leftChars="30" w:right="92" w:rightChars="44" w:firstLine="480" w:firstLineChars="200"/>
              <w:jc w:val="left"/>
              <w:rPr>
                <w:snapToGrid w:val="0"/>
                <w:kern w:val="0"/>
                <w:sz w:val="24"/>
              </w:rPr>
            </w:pPr>
            <w:r>
              <w:rPr>
                <w:snapToGrid w:val="0"/>
                <w:kern w:val="0"/>
                <w:sz w:val="24"/>
              </w:rPr>
              <w:t>ii</w:t>
            </w:r>
            <w:r>
              <w:rPr>
                <w:rFonts w:hint="eastAsia"/>
                <w:snapToGrid w:val="0"/>
                <w:kern w:val="0"/>
                <w:sz w:val="24"/>
              </w:rPr>
              <w:t>、生活污水：项目依托现有办公及生活用房，员工生活污水依托现有污水预处理池处理。</w:t>
            </w:r>
          </w:p>
          <w:p w14:paraId="67FC72EF">
            <w:pPr>
              <w:widowControl/>
              <w:adjustRightInd w:val="0"/>
              <w:snapToGrid w:val="0"/>
              <w:spacing w:line="400" w:lineRule="exact"/>
              <w:ind w:left="63" w:leftChars="30" w:right="92" w:rightChars="44" w:firstLine="480" w:firstLineChars="200"/>
              <w:jc w:val="left"/>
              <w:rPr>
                <w:snapToGrid w:val="0"/>
                <w:kern w:val="0"/>
                <w:sz w:val="24"/>
              </w:rPr>
            </w:pPr>
            <w:r>
              <w:rPr>
                <w:rFonts w:hint="eastAsia"/>
                <w:snapToGrid w:val="0"/>
                <w:kern w:val="0"/>
                <w:sz w:val="24"/>
              </w:rPr>
              <w:t>（</w:t>
            </w:r>
            <w:r>
              <w:rPr>
                <w:snapToGrid w:val="0"/>
                <w:kern w:val="0"/>
                <w:sz w:val="24"/>
              </w:rPr>
              <w:t>3</w:t>
            </w:r>
            <w:r>
              <w:rPr>
                <w:rFonts w:hint="eastAsia"/>
                <w:snapToGrid w:val="0"/>
                <w:kern w:val="0"/>
                <w:sz w:val="24"/>
              </w:rPr>
              <w:t>）供电</w:t>
            </w:r>
          </w:p>
          <w:p w14:paraId="5AD21CC1">
            <w:pPr>
              <w:widowControl/>
              <w:adjustRightInd w:val="0"/>
              <w:snapToGrid w:val="0"/>
              <w:spacing w:line="400" w:lineRule="exact"/>
              <w:ind w:left="63" w:leftChars="30" w:right="92" w:rightChars="44" w:firstLine="480" w:firstLineChars="200"/>
              <w:jc w:val="left"/>
              <w:rPr>
                <w:snapToGrid w:val="0"/>
                <w:kern w:val="0"/>
                <w:sz w:val="24"/>
              </w:rPr>
            </w:pPr>
            <w:r>
              <w:rPr>
                <w:rFonts w:hint="eastAsia"/>
                <w:snapToGrid w:val="0"/>
                <w:kern w:val="0"/>
                <w:sz w:val="24"/>
              </w:rPr>
              <w:t>本项目所用电由当地电网提供，为已建供电系统。</w:t>
            </w:r>
          </w:p>
        </w:tc>
      </w:tr>
      <w:tr w14:paraId="1F778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8" w:type="dxa"/>
            <w:gridSpan w:val="6"/>
          </w:tcPr>
          <w:p w14:paraId="0092F48C">
            <w:pPr>
              <w:spacing w:line="360" w:lineRule="auto"/>
              <w:rPr>
                <w:b/>
                <w:sz w:val="24"/>
              </w:rPr>
            </w:pPr>
            <w:r>
              <w:rPr>
                <w:rFonts w:hint="eastAsia"/>
                <w:b/>
                <w:sz w:val="24"/>
              </w:rPr>
              <w:t>与本项目有关的原有污染情况及主要环境问题：</w:t>
            </w:r>
          </w:p>
          <w:p w14:paraId="140257F6">
            <w:pPr>
              <w:widowControl/>
              <w:adjustRightInd w:val="0"/>
              <w:snapToGrid w:val="0"/>
              <w:spacing w:line="480" w:lineRule="exact"/>
              <w:ind w:firstLine="480" w:firstLineChars="200"/>
              <w:rPr>
                <w:sz w:val="24"/>
              </w:rPr>
            </w:pPr>
            <w:r>
              <w:rPr>
                <w:rFonts w:hint="eastAsia"/>
                <w:sz w:val="24"/>
              </w:rPr>
              <w:t>本项目建设场地为建设用地，经调查了解，项目位于</w:t>
            </w:r>
            <w:r>
              <w:rPr>
                <w:rFonts w:hint="eastAsia"/>
                <w:bCs/>
                <w:sz w:val="24"/>
              </w:rPr>
              <w:t>峨边彝族自治县平等乡观慈村三组，</w:t>
            </w:r>
            <w:r>
              <w:rPr>
                <w:rFonts w:hint="eastAsia"/>
                <w:sz w:val="24"/>
              </w:rPr>
              <w:t>原为原木堆场。土地现状为闲置彩钢棚和露天堆场，其中彩钢棚拟设置为木材生产加工区及成品堆放区，项目原材料露天堆放。项目所在地目前无环保手续，现新建木材加工厂后进行手续的规范，无环保投诉等遗留问题存在。</w:t>
            </w:r>
          </w:p>
          <w:p w14:paraId="344BC4DA">
            <w:pPr>
              <w:widowControl/>
              <w:adjustRightInd w:val="0"/>
              <w:snapToGrid w:val="0"/>
              <w:spacing w:line="480" w:lineRule="exact"/>
              <w:rPr>
                <w:sz w:val="24"/>
              </w:rPr>
            </w:pPr>
          </w:p>
          <w:p w14:paraId="76BA491F">
            <w:pPr>
              <w:widowControl/>
              <w:adjustRightInd w:val="0"/>
              <w:snapToGrid w:val="0"/>
              <w:spacing w:line="480" w:lineRule="exact"/>
              <w:rPr>
                <w:sz w:val="24"/>
              </w:rPr>
            </w:pPr>
          </w:p>
          <w:p w14:paraId="43F7A288">
            <w:pPr>
              <w:widowControl/>
              <w:adjustRightInd w:val="0"/>
              <w:snapToGrid w:val="0"/>
              <w:spacing w:line="480" w:lineRule="exact"/>
              <w:rPr>
                <w:sz w:val="24"/>
              </w:rPr>
            </w:pPr>
          </w:p>
          <w:p w14:paraId="7C8B93B9">
            <w:pPr>
              <w:widowControl/>
              <w:adjustRightInd w:val="0"/>
              <w:snapToGrid w:val="0"/>
              <w:spacing w:line="480" w:lineRule="exact"/>
              <w:rPr>
                <w:sz w:val="24"/>
              </w:rPr>
            </w:pPr>
          </w:p>
          <w:p w14:paraId="052DBCE6">
            <w:pPr>
              <w:widowControl/>
              <w:adjustRightInd w:val="0"/>
              <w:snapToGrid w:val="0"/>
              <w:spacing w:line="480" w:lineRule="exact"/>
              <w:rPr>
                <w:sz w:val="24"/>
              </w:rPr>
            </w:pPr>
          </w:p>
          <w:p w14:paraId="1227F806">
            <w:pPr>
              <w:widowControl/>
              <w:adjustRightInd w:val="0"/>
              <w:snapToGrid w:val="0"/>
              <w:spacing w:line="480" w:lineRule="exact"/>
              <w:rPr>
                <w:sz w:val="24"/>
              </w:rPr>
            </w:pPr>
          </w:p>
          <w:p w14:paraId="40F2986F">
            <w:pPr>
              <w:widowControl/>
              <w:adjustRightInd w:val="0"/>
              <w:snapToGrid w:val="0"/>
              <w:spacing w:line="480" w:lineRule="exact"/>
              <w:rPr>
                <w:sz w:val="24"/>
              </w:rPr>
            </w:pPr>
          </w:p>
          <w:p w14:paraId="5B164D6D">
            <w:pPr>
              <w:widowControl/>
              <w:adjustRightInd w:val="0"/>
              <w:snapToGrid w:val="0"/>
              <w:spacing w:line="480" w:lineRule="exact"/>
              <w:rPr>
                <w:sz w:val="24"/>
              </w:rPr>
            </w:pPr>
          </w:p>
          <w:p w14:paraId="3AF880BC">
            <w:pPr>
              <w:widowControl/>
              <w:adjustRightInd w:val="0"/>
              <w:snapToGrid w:val="0"/>
              <w:spacing w:line="480" w:lineRule="exact"/>
              <w:rPr>
                <w:sz w:val="24"/>
              </w:rPr>
            </w:pPr>
          </w:p>
          <w:p w14:paraId="53D005F8">
            <w:pPr>
              <w:widowControl/>
              <w:adjustRightInd w:val="0"/>
              <w:snapToGrid w:val="0"/>
              <w:spacing w:line="480" w:lineRule="exact"/>
              <w:rPr>
                <w:sz w:val="24"/>
              </w:rPr>
            </w:pPr>
          </w:p>
          <w:p w14:paraId="55C8A218">
            <w:pPr>
              <w:widowControl/>
              <w:adjustRightInd w:val="0"/>
              <w:snapToGrid w:val="0"/>
              <w:spacing w:line="480" w:lineRule="exact"/>
              <w:rPr>
                <w:sz w:val="24"/>
              </w:rPr>
            </w:pPr>
          </w:p>
          <w:p w14:paraId="38E6BE99">
            <w:pPr>
              <w:widowControl/>
              <w:adjustRightInd w:val="0"/>
              <w:snapToGrid w:val="0"/>
              <w:spacing w:line="480" w:lineRule="exact"/>
              <w:rPr>
                <w:sz w:val="24"/>
              </w:rPr>
            </w:pPr>
          </w:p>
          <w:p w14:paraId="5CB178E3">
            <w:pPr>
              <w:widowControl/>
              <w:adjustRightInd w:val="0"/>
              <w:snapToGrid w:val="0"/>
              <w:spacing w:line="480" w:lineRule="exact"/>
              <w:rPr>
                <w:sz w:val="24"/>
              </w:rPr>
            </w:pPr>
          </w:p>
        </w:tc>
      </w:tr>
    </w:tbl>
    <w:p w14:paraId="4694CDE7">
      <w:pPr>
        <w:outlineLvl w:val="0"/>
        <w:rPr>
          <w:bCs/>
          <w:sz w:val="32"/>
        </w:rPr>
      </w:pPr>
      <w:r>
        <w:rPr>
          <w:bCs/>
          <w:sz w:val="32"/>
        </w:rPr>
        <w:br w:type="page"/>
      </w:r>
      <w:r>
        <w:rPr>
          <w:rFonts w:hint="eastAsia"/>
          <w:b/>
          <w:sz w:val="32"/>
        </w:rPr>
        <w:t>建设项目所在地自然环境简况</w:t>
      </w:r>
      <w:r>
        <w:rPr>
          <w:b/>
          <w:sz w:val="32"/>
        </w:rPr>
        <w:t xml:space="preserve">                   </w:t>
      </w:r>
      <w:r>
        <w:rPr>
          <w:rFonts w:hint="eastAsia"/>
          <w:b/>
          <w:sz w:val="32"/>
          <w:lang w:eastAsia="zh-CN"/>
        </w:rPr>
        <w:t>（</w:t>
      </w:r>
      <w:r>
        <w:rPr>
          <w:rFonts w:hint="eastAsia"/>
          <w:b/>
          <w:sz w:val="32"/>
        </w:rPr>
        <w:t>表二</w:t>
      </w:r>
      <w:r>
        <w:rPr>
          <w:rFonts w:hint="eastAsia"/>
          <w:b/>
          <w:sz w:val="32"/>
          <w:lang w:eastAsia="zh-CN"/>
        </w:rPr>
        <w:t>）</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5A04A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tcPr>
          <w:p w14:paraId="55ABEECF">
            <w:pPr>
              <w:spacing w:line="360" w:lineRule="auto"/>
              <w:rPr>
                <w:b/>
                <w:sz w:val="30"/>
                <w:szCs w:val="30"/>
              </w:rPr>
            </w:pPr>
            <w:r>
              <w:rPr>
                <w:rFonts w:hint="eastAsia"/>
                <w:b/>
                <w:sz w:val="30"/>
                <w:szCs w:val="30"/>
              </w:rPr>
              <w:t>自然环境简况（地形、地貌、地质、气候、气象、水文、植被、生物多样性等）：</w:t>
            </w:r>
          </w:p>
          <w:p w14:paraId="3FF55783">
            <w:pPr>
              <w:spacing w:before="120" w:after="120" w:line="360" w:lineRule="auto"/>
              <w:rPr>
                <w:b/>
                <w:sz w:val="28"/>
                <w:szCs w:val="28"/>
              </w:rPr>
            </w:pPr>
            <w:r>
              <w:rPr>
                <w:rFonts w:hint="eastAsia"/>
                <w:b/>
                <w:sz w:val="28"/>
                <w:szCs w:val="28"/>
              </w:rPr>
              <w:t>一、地理位置</w:t>
            </w:r>
          </w:p>
          <w:p w14:paraId="29EC41D7">
            <w:pPr>
              <w:spacing w:line="480" w:lineRule="exact"/>
              <w:ind w:firstLine="480" w:firstLineChars="200"/>
              <w:rPr>
                <w:sz w:val="24"/>
                <w:lang w:val="zh-CN"/>
              </w:rPr>
            </w:pPr>
            <w:r>
              <w:rPr>
                <w:rFonts w:hint="eastAsia"/>
                <w:sz w:val="24"/>
                <w:lang w:val="zh-CN"/>
              </w:rPr>
              <w:t>峨边位于四川省西南部的小凉山区，与佛教圣地峨眉山毗邻。县城沙坪镇介于东经</w:t>
            </w:r>
            <w:r>
              <w:rPr>
                <w:sz w:val="24"/>
                <w:lang w:val="zh-CN"/>
              </w:rPr>
              <w:t>103°15′</w:t>
            </w:r>
            <w:r>
              <w:rPr>
                <w:rFonts w:hint="eastAsia"/>
                <w:sz w:val="24"/>
                <w:lang w:val="zh-CN"/>
              </w:rPr>
              <w:t>至</w:t>
            </w:r>
            <w:r>
              <w:rPr>
                <w:sz w:val="24"/>
                <w:lang w:val="zh-CN"/>
              </w:rPr>
              <w:t>103°33′</w:t>
            </w:r>
            <w:r>
              <w:rPr>
                <w:rFonts w:hint="eastAsia"/>
                <w:sz w:val="24"/>
                <w:lang w:val="zh-CN"/>
              </w:rPr>
              <w:t>，北纬</w:t>
            </w:r>
            <w:r>
              <w:rPr>
                <w:sz w:val="24"/>
                <w:lang w:val="zh-CN"/>
              </w:rPr>
              <w:t>29°15′</w:t>
            </w:r>
            <w:r>
              <w:rPr>
                <w:rFonts w:hint="eastAsia"/>
                <w:sz w:val="24"/>
                <w:lang w:val="zh-CN"/>
              </w:rPr>
              <w:t>之间。东西宽</w:t>
            </w:r>
            <w:r>
              <w:rPr>
                <w:sz w:val="24"/>
                <w:lang w:val="zh-CN"/>
              </w:rPr>
              <w:t>56</w:t>
            </w:r>
            <w:r>
              <w:rPr>
                <w:rFonts w:hint="eastAsia"/>
                <w:sz w:val="24"/>
                <w:lang w:val="zh-CN"/>
              </w:rPr>
              <w:t>千米，南北长</w:t>
            </w:r>
            <w:r>
              <w:rPr>
                <w:sz w:val="24"/>
                <w:lang w:val="zh-CN"/>
              </w:rPr>
              <w:t>73</w:t>
            </w:r>
            <w:r>
              <w:rPr>
                <w:rFonts w:hint="eastAsia"/>
                <w:sz w:val="24"/>
                <w:lang w:val="zh-CN"/>
              </w:rPr>
              <w:t>千米，全县幅员面积</w:t>
            </w:r>
            <w:r>
              <w:rPr>
                <w:sz w:val="24"/>
                <w:lang w:val="zh-CN"/>
              </w:rPr>
              <w:t>2395.5</w:t>
            </w:r>
            <w:r>
              <w:rPr>
                <w:rFonts w:hint="eastAsia"/>
                <w:sz w:val="24"/>
                <w:lang w:val="zh-CN"/>
              </w:rPr>
              <w:t>平方千米。成（都）昆（明）铁路横越县城，省道</w:t>
            </w:r>
            <w:r>
              <w:rPr>
                <w:sz w:val="24"/>
                <w:lang w:val="zh-CN"/>
              </w:rPr>
              <w:t>306</w:t>
            </w:r>
            <w:r>
              <w:rPr>
                <w:rFonts w:hint="eastAsia"/>
                <w:sz w:val="24"/>
                <w:lang w:val="zh-CN"/>
              </w:rPr>
              <w:t>线穿过县境，距乐山大佛</w:t>
            </w:r>
            <w:r>
              <w:rPr>
                <w:sz w:val="24"/>
                <w:lang w:val="zh-CN"/>
              </w:rPr>
              <w:t>108</w:t>
            </w:r>
            <w:r>
              <w:rPr>
                <w:rFonts w:hint="eastAsia"/>
                <w:sz w:val="24"/>
                <w:lang w:val="zh-CN"/>
              </w:rPr>
              <w:t>千米，是通往大凉山的门户。</w:t>
            </w:r>
          </w:p>
          <w:p w14:paraId="08C65A1F">
            <w:pPr>
              <w:spacing w:line="360" w:lineRule="auto"/>
              <w:ind w:firstLine="480" w:firstLineChars="200"/>
              <w:rPr>
                <w:sz w:val="24"/>
              </w:rPr>
            </w:pPr>
            <w:r>
              <w:rPr>
                <w:rFonts w:hint="eastAsia"/>
                <w:sz w:val="24"/>
              </w:rPr>
              <w:t>本项目位于</w:t>
            </w:r>
            <w:r>
              <w:rPr>
                <w:rFonts w:hint="eastAsia"/>
                <w:bCs/>
                <w:sz w:val="24"/>
              </w:rPr>
              <w:t>峨边彝族自治县平等乡观慈村三组（中心坐标东经：</w:t>
            </w:r>
            <w:r>
              <w:rPr>
                <w:bCs/>
                <w:sz w:val="24"/>
              </w:rPr>
              <w:t>103.5304°</w:t>
            </w:r>
            <w:r>
              <w:rPr>
                <w:rFonts w:hint="eastAsia"/>
                <w:bCs/>
                <w:sz w:val="24"/>
              </w:rPr>
              <w:t>，北纬：</w:t>
            </w:r>
            <w:r>
              <w:rPr>
                <w:bCs/>
                <w:sz w:val="24"/>
              </w:rPr>
              <w:t>29.1505°</w:t>
            </w:r>
            <w:r>
              <w:rPr>
                <w:rFonts w:hint="eastAsia"/>
                <w:bCs/>
                <w:sz w:val="24"/>
              </w:rPr>
              <w:t>）</w:t>
            </w:r>
            <w:r>
              <w:rPr>
                <w:rFonts w:hint="eastAsia"/>
                <w:sz w:val="24"/>
              </w:rPr>
              <w:t>。项目地理位置见附图</w:t>
            </w:r>
            <w:r>
              <w:rPr>
                <w:sz w:val="24"/>
              </w:rPr>
              <w:t>1</w:t>
            </w:r>
            <w:r>
              <w:rPr>
                <w:rFonts w:hint="eastAsia"/>
                <w:sz w:val="24"/>
              </w:rPr>
              <w:t>。</w:t>
            </w:r>
          </w:p>
          <w:p w14:paraId="3C7C0B7D">
            <w:pPr>
              <w:spacing w:before="120" w:after="120" w:line="360" w:lineRule="auto"/>
              <w:rPr>
                <w:b/>
                <w:sz w:val="28"/>
                <w:szCs w:val="28"/>
              </w:rPr>
            </w:pPr>
            <w:r>
              <w:rPr>
                <w:rFonts w:hint="eastAsia"/>
                <w:b/>
                <w:sz w:val="28"/>
                <w:szCs w:val="28"/>
              </w:rPr>
              <w:t>二、地质、地形、地貌</w:t>
            </w:r>
          </w:p>
          <w:p w14:paraId="170F9A45">
            <w:pPr>
              <w:adjustRightInd w:val="0"/>
              <w:snapToGrid w:val="0"/>
              <w:spacing w:line="360" w:lineRule="auto"/>
              <w:ind w:firstLine="480" w:firstLineChars="200"/>
              <w:rPr>
                <w:sz w:val="24"/>
              </w:rPr>
            </w:pPr>
            <w:r>
              <w:rPr>
                <w:rFonts w:hint="eastAsia"/>
                <w:sz w:val="24"/>
              </w:rPr>
              <w:t>自治县地处四川盆地与云贵高原的过渡地带，属亚热带湿润季风气候，境内群山耸峙、山峦重叠、沟壑纵横、高差悬殊，最高马鞍山主峰海拔4288米，最低海拔469米。相对高差悬殊达3800米，形成西南高东北低逐渐倾斜地势。由于高差悬殊，使得地貌、气候、植被、土壤及农业利用方式，都呈现出明显的垂直分布规律。</w:t>
            </w:r>
          </w:p>
          <w:p w14:paraId="4C9DF3ED">
            <w:pPr>
              <w:adjustRightInd w:val="0"/>
              <w:snapToGrid w:val="0"/>
              <w:spacing w:line="360" w:lineRule="auto"/>
              <w:ind w:firstLine="480" w:firstLineChars="200"/>
              <w:rPr>
                <w:sz w:val="24"/>
              </w:rPr>
            </w:pPr>
            <w:r>
              <w:rPr>
                <w:rFonts w:hint="eastAsia"/>
                <w:sz w:val="24"/>
              </w:rPr>
              <w:t>厂区属四川盆地西南边缘大渡河北岸中、高山，中深切割区，总体地势西部较高，南、北、东三边皆为沟谷。最高海拔1410m，最低海拔940m，相对高差470m。区内多圆顶山，馒头山，因出露地层以碳酸盐岩石为主，岩溶地貌较为发育，溶蚀漏斗、溶蚀洼地、溶洞和溶丘较发育。</w:t>
            </w:r>
          </w:p>
          <w:p w14:paraId="71D8BAFE">
            <w:pPr>
              <w:adjustRightInd w:val="0"/>
              <w:snapToGrid w:val="0"/>
              <w:spacing w:line="360" w:lineRule="auto"/>
              <w:ind w:firstLine="480" w:firstLineChars="200"/>
              <w:rPr>
                <w:sz w:val="24"/>
              </w:rPr>
            </w:pPr>
            <w:r>
              <w:rPr>
                <w:rFonts w:hint="eastAsia"/>
                <w:sz w:val="24"/>
              </w:rPr>
              <w:t>按《四川省工程地质分区图》划分，厂区属玉龙复式向斜次级褶皱为子岗鼻状宽缓向斜南东翼，区内断裂构造不发育。受2008年 “5.12汶川”大地震及2013年“4.20芦山”地震影响，本区均有十分明显的震感，且使部份房屋产生裂缝，因此，本区为地震波及区。按《建筑抗震设计规范》（GB50011—2010）规定，乐山市</w:t>
            </w:r>
            <w:r>
              <w:rPr>
                <w:rFonts w:hint="eastAsia"/>
                <w:sz w:val="24"/>
                <w:lang w:eastAsia="zh-CN"/>
              </w:rPr>
              <w:t>峨边彝族自治县</w:t>
            </w:r>
            <w:r>
              <w:rPr>
                <w:rFonts w:hint="eastAsia"/>
                <w:sz w:val="24"/>
              </w:rPr>
              <w:t>抗震设防烈度为7度，设计基本地震加速度值为0.10g，属设计地震第二组，区域上处于不稳定区。目前该区域岩层结构相对较完整稳定，除局部地段有小规模的崩塌外，其余地段均无大面积崩塌、滑坡、泥石流等地质灾害现象。</w:t>
            </w:r>
          </w:p>
          <w:p w14:paraId="1A566790">
            <w:pPr>
              <w:spacing w:before="120" w:after="120" w:line="360" w:lineRule="auto"/>
              <w:rPr>
                <w:b/>
                <w:sz w:val="28"/>
                <w:szCs w:val="28"/>
              </w:rPr>
            </w:pPr>
            <w:r>
              <w:rPr>
                <w:rFonts w:hint="eastAsia"/>
                <w:b/>
                <w:sz w:val="28"/>
                <w:szCs w:val="28"/>
              </w:rPr>
              <w:t>三、气候特征</w:t>
            </w:r>
          </w:p>
          <w:p w14:paraId="7E3DF45B">
            <w:pPr>
              <w:adjustRightInd w:val="0"/>
              <w:snapToGrid w:val="0"/>
              <w:spacing w:line="360" w:lineRule="auto"/>
              <w:ind w:firstLine="480" w:firstLineChars="200"/>
              <w:rPr>
                <w:sz w:val="24"/>
              </w:rPr>
            </w:pPr>
            <w:r>
              <w:rPr>
                <w:rFonts w:hint="eastAsia"/>
                <w:sz w:val="24"/>
              </w:rPr>
              <w:t>峨边属亚热带湿润季风气候，由于地形高差悬殊，气温随</w:t>
            </w:r>
            <w:r>
              <w:rPr>
                <w:rFonts w:hint="eastAsia"/>
                <w:sz w:val="24"/>
                <w:lang w:eastAsia="zh-CN"/>
              </w:rPr>
              <w:t>海拔</w:t>
            </w:r>
            <w:r>
              <w:rPr>
                <w:rFonts w:hint="eastAsia"/>
                <w:sz w:val="24"/>
              </w:rPr>
              <w:t>而异，垂直差异明显，形成“一山分四季，十里不同天；山顶戴雪帽，山脚百花鲜”的小凉山区气象景观。具有气候温和，雨量充沛，云雾多，湿度大，光照少，无霜期长，农业气候四季分明，有春迟、夏短、秋早、冬长的特点。</w:t>
            </w:r>
          </w:p>
          <w:p w14:paraId="29D4532D">
            <w:pPr>
              <w:adjustRightInd w:val="0"/>
              <w:snapToGrid w:val="0"/>
              <w:spacing w:line="360" w:lineRule="auto"/>
              <w:ind w:firstLine="480" w:firstLineChars="200"/>
              <w:rPr>
                <w:sz w:val="24"/>
              </w:rPr>
            </w:pPr>
            <w:r>
              <w:rPr>
                <w:rFonts w:hint="eastAsia"/>
                <w:sz w:val="24"/>
              </w:rPr>
              <w:t>县境内气温年平均为16.6℃，极端高温为35.7℃，极端低温为－3.2℃。7月最热，月平均为25.3℃；1月最冷，月平均为6.5℃。</w:t>
            </w:r>
            <w:r>
              <w:rPr>
                <w:rFonts w:hint="eastAsia"/>
                <w:sz w:val="24"/>
                <w:lang w:eastAsia="zh-CN"/>
              </w:rPr>
              <w:t>年际变化</w:t>
            </w:r>
            <w:r>
              <w:rPr>
                <w:rFonts w:hint="eastAsia"/>
                <w:sz w:val="24"/>
              </w:rPr>
              <w:t>微小，高低相差1℃。历年日照平均总时数为1049.3时，日平均近6小时，实照时数占全年可照时数的24％。日照时数随</w:t>
            </w:r>
            <w:r>
              <w:rPr>
                <w:rFonts w:hint="eastAsia"/>
                <w:sz w:val="24"/>
                <w:lang w:eastAsia="zh-CN"/>
              </w:rPr>
              <w:t>海拔</w:t>
            </w:r>
            <w:r>
              <w:rPr>
                <w:rFonts w:hint="eastAsia"/>
                <w:sz w:val="24"/>
              </w:rPr>
              <w:t>不同而变化各异。</w:t>
            </w:r>
          </w:p>
          <w:p w14:paraId="482A9BEE">
            <w:pPr>
              <w:adjustRightInd w:val="0"/>
              <w:snapToGrid w:val="0"/>
              <w:spacing w:line="360" w:lineRule="auto"/>
              <w:ind w:firstLine="480" w:firstLineChars="200"/>
              <w:rPr>
                <w:sz w:val="24"/>
                <w:szCs w:val="20"/>
              </w:rPr>
            </w:pPr>
            <w:r>
              <w:rPr>
                <w:rFonts w:hint="eastAsia"/>
                <w:sz w:val="24"/>
              </w:rPr>
              <w:t>降水：在县境内随着海拔高低而分布不均。低山河谷区历年平均降水量为831.9毫米，中山区降水量年均为1000毫米左右，高山区年均降水量为1000－1500毫米，海拔在2250米以上的原始森林区，年降水量在1500－2000毫米。降水分配不均，降水量从东北向西南逐渐递减，年度变化率在23－16％左右，例如东部的五渡镇龚嘴地带，年均降水量1275.5</w:t>
            </w:r>
            <w:r>
              <w:rPr>
                <w:rFonts w:hint="eastAsia"/>
                <w:sz w:val="24"/>
                <w:szCs w:val="20"/>
              </w:rPr>
              <w:t>毫米，在西南部的勒乌乡地区，年均降水量则为725.5毫米，并形成冬干、春旱、夏洪、秋涝的气象特点。</w:t>
            </w:r>
          </w:p>
          <w:p w14:paraId="5EF67673">
            <w:pPr>
              <w:spacing w:before="120" w:after="120" w:line="360" w:lineRule="auto"/>
              <w:rPr>
                <w:b/>
                <w:sz w:val="28"/>
                <w:szCs w:val="28"/>
              </w:rPr>
            </w:pPr>
            <w:r>
              <w:rPr>
                <w:rFonts w:hint="eastAsia"/>
                <w:b/>
                <w:sz w:val="28"/>
                <w:szCs w:val="28"/>
              </w:rPr>
              <w:t>四、水文特征</w:t>
            </w:r>
          </w:p>
          <w:p w14:paraId="0FB88901">
            <w:pPr>
              <w:adjustRightInd w:val="0"/>
              <w:snapToGrid w:val="0"/>
              <w:spacing w:line="360" w:lineRule="auto"/>
              <w:ind w:firstLine="480" w:firstLineChars="200"/>
              <w:rPr>
                <w:sz w:val="24"/>
              </w:rPr>
            </w:pPr>
            <w:r>
              <w:rPr>
                <w:rFonts w:hint="eastAsia"/>
                <w:sz w:val="24"/>
              </w:rPr>
              <w:t>县境内河流众多，均属大渡河水系，水源丰富，水质优良。最大河流为大渡河，是全国重点治理开发的河流之一。大渡河从西北的金口河流入境内，而后转为东西向，流经本县的宜坪、沙坪、新场、共和、毛坪至五渡六个乡镇，流入沙湾区，县境流程68公里。</w:t>
            </w:r>
          </w:p>
          <w:p w14:paraId="09AF289E">
            <w:pPr>
              <w:adjustRightInd w:val="0"/>
              <w:snapToGrid w:val="0"/>
              <w:spacing w:line="360" w:lineRule="auto"/>
              <w:ind w:firstLine="480" w:firstLineChars="200"/>
              <w:rPr>
                <w:sz w:val="24"/>
              </w:rPr>
            </w:pPr>
            <w:r>
              <w:rPr>
                <w:rFonts w:hint="eastAsia"/>
                <w:sz w:val="24"/>
              </w:rPr>
              <w:t>除大渡河之外，县境内还有常年性全程流水的大小河流42条。集雨面积在100平方公里以上的主要溪河有8条，总长309.1公里，集雨面积共1836平方公里，水面积合计4700余亩，它们发源于高山原始森林或岩层涌泉，蜿蜒于崇山峻岭之中，水质清澈甘醇，流量稳定，洪枯季节变数不大。</w:t>
            </w:r>
          </w:p>
          <w:p w14:paraId="0552C6A8">
            <w:pPr>
              <w:spacing w:before="120" w:after="120" w:line="480" w:lineRule="exact"/>
              <w:rPr>
                <w:b/>
                <w:sz w:val="28"/>
                <w:szCs w:val="28"/>
              </w:rPr>
            </w:pPr>
            <w:r>
              <w:rPr>
                <w:rFonts w:hint="eastAsia"/>
                <w:b/>
                <w:sz w:val="28"/>
                <w:szCs w:val="28"/>
              </w:rPr>
              <w:t>五、矿产资源概况</w:t>
            </w:r>
          </w:p>
          <w:p w14:paraId="539BDACB">
            <w:pPr>
              <w:spacing w:before="120" w:after="120" w:line="480" w:lineRule="exact"/>
              <w:ind w:firstLine="480" w:firstLineChars="200"/>
              <w:rPr>
                <w:sz w:val="24"/>
              </w:rPr>
            </w:pPr>
            <w:r>
              <w:rPr>
                <w:rFonts w:hint="eastAsia"/>
                <w:sz w:val="24"/>
              </w:rPr>
              <w:t>峨边彝族自治县境内已发现矿产种类有：可燃有机岩、黑色金属、有色金属、贵金属、非金属和食用微墨元素补充剂六大类，主要矿种有：煤、铁、铜、铅、锌、铝、砂、金、硬质耐火粘土、熔剂石灰岩、硫铁、重晶石、磷块岩、伊利石、水泥原料石灰岩、钾长石、脉石英、石膏、石棉、水晶、大理岩、花岗岩、方解石、石墨、玄武岩、砖瓦粘土及饮用矿泉水和医疗温泉等</w:t>
            </w:r>
            <w:r>
              <w:rPr>
                <w:sz w:val="24"/>
              </w:rPr>
              <w:t>28</w:t>
            </w:r>
            <w:r>
              <w:rPr>
                <w:rFonts w:hint="eastAsia"/>
                <w:sz w:val="24"/>
              </w:rPr>
              <w:t>个矿种。</w:t>
            </w:r>
          </w:p>
          <w:p w14:paraId="5452232C">
            <w:pPr>
              <w:spacing w:before="120" w:after="120" w:line="360" w:lineRule="auto"/>
              <w:ind w:firstLine="480" w:firstLineChars="200"/>
              <w:rPr>
                <w:sz w:val="24"/>
                <w:szCs w:val="20"/>
              </w:rPr>
            </w:pPr>
            <w:r>
              <w:rPr>
                <w:rFonts w:hint="eastAsia"/>
                <w:sz w:val="24"/>
                <w:szCs w:val="20"/>
              </w:rPr>
              <w:t>根据现场调查，项目评价范围内无珍稀、濒危动植物，无生态保护物种和自然保护区等生态敏感点，不在拟定的生态红线区内。</w:t>
            </w:r>
          </w:p>
          <w:p w14:paraId="6E1C3496">
            <w:pPr>
              <w:spacing w:before="120" w:after="120" w:line="360" w:lineRule="auto"/>
              <w:rPr>
                <w:b/>
                <w:sz w:val="28"/>
                <w:szCs w:val="28"/>
              </w:rPr>
            </w:pPr>
            <w:r>
              <w:rPr>
                <w:rFonts w:hint="eastAsia"/>
                <w:b/>
                <w:sz w:val="28"/>
                <w:szCs w:val="28"/>
              </w:rPr>
              <w:t>六、主要植被及动物资源</w:t>
            </w:r>
            <w:r>
              <w:rPr>
                <w:b/>
                <w:sz w:val="28"/>
                <w:szCs w:val="28"/>
              </w:rPr>
              <w:t xml:space="preserve">  </w:t>
            </w:r>
          </w:p>
          <w:p w14:paraId="1DFAC203">
            <w:pPr>
              <w:spacing w:line="500" w:lineRule="exact"/>
              <w:ind w:firstLine="480" w:firstLineChars="200"/>
              <w:rPr>
                <w:sz w:val="24"/>
              </w:rPr>
            </w:pPr>
            <w:r>
              <w:rPr>
                <w:rFonts w:hint="eastAsia"/>
                <w:sz w:val="24"/>
              </w:rPr>
              <w:t>峨边彝族自治县森林植被属于亚热带常绿阔叶林区，川东盆地偏湿性常绿阔叶林亚带，全县森林覆盖率为</w:t>
            </w:r>
            <w:r>
              <w:rPr>
                <w:sz w:val="24"/>
              </w:rPr>
              <w:t>42%</w:t>
            </w:r>
            <w:r>
              <w:rPr>
                <w:rFonts w:hint="eastAsia"/>
                <w:sz w:val="24"/>
              </w:rPr>
              <w:t>，河源地区森林覆盖率达</w:t>
            </w:r>
            <w:r>
              <w:rPr>
                <w:sz w:val="24"/>
              </w:rPr>
              <w:t>62.2%</w:t>
            </w:r>
            <w:r>
              <w:rPr>
                <w:rFonts w:hint="eastAsia"/>
                <w:sz w:val="24"/>
              </w:rPr>
              <w:t>。由于受山地地形制约，形成了相应的山地生物垂直带，植被垂直带谱明显，由低到高依次为：</w:t>
            </w:r>
          </w:p>
          <w:p w14:paraId="37F1B95E">
            <w:pPr>
              <w:spacing w:line="500" w:lineRule="exact"/>
              <w:ind w:firstLine="480" w:firstLineChars="200"/>
              <w:rPr>
                <w:sz w:val="24"/>
              </w:rPr>
            </w:pPr>
            <w:r>
              <w:rPr>
                <w:rFonts w:hint="eastAsia"/>
                <w:sz w:val="24"/>
              </w:rPr>
              <w:t>海拔</w:t>
            </w:r>
            <w:r>
              <w:rPr>
                <w:sz w:val="24"/>
              </w:rPr>
              <w:t>1300</w:t>
            </w:r>
            <w:r>
              <w:rPr>
                <w:rFonts w:hint="eastAsia"/>
                <w:sz w:val="24"/>
              </w:rPr>
              <w:t>～</w:t>
            </w:r>
            <w:r>
              <w:rPr>
                <w:sz w:val="24"/>
              </w:rPr>
              <w:t>2000m</w:t>
            </w:r>
            <w:r>
              <w:rPr>
                <w:rFonts w:hint="eastAsia"/>
                <w:sz w:val="24"/>
              </w:rPr>
              <w:t>，为亚热带常绿阔叶林带；海拔</w:t>
            </w:r>
            <w:r>
              <w:rPr>
                <w:sz w:val="24"/>
              </w:rPr>
              <w:t>2000</w:t>
            </w:r>
            <w:r>
              <w:rPr>
                <w:rFonts w:hint="eastAsia"/>
                <w:sz w:val="24"/>
              </w:rPr>
              <w:t>～</w:t>
            </w:r>
            <w:r>
              <w:rPr>
                <w:sz w:val="24"/>
              </w:rPr>
              <w:t>2400m</w:t>
            </w:r>
            <w:r>
              <w:rPr>
                <w:rFonts w:hint="eastAsia"/>
                <w:sz w:val="24"/>
              </w:rPr>
              <w:t>，为针阔叶林混交林带；海拔</w:t>
            </w:r>
            <w:r>
              <w:rPr>
                <w:sz w:val="24"/>
              </w:rPr>
              <w:t>2400</w:t>
            </w:r>
            <w:r>
              <w:rPr>
                <w:rFonts w:hint="eastAsia"/>
                <w:sz w:val="24"/>
              </w:rPr>
              <w:t>～</w:t>
            </w:r>
            <w:r>
              <w:rPr>
                <w:sz w:val="24"/>
              </w:rPr>
              <w:t>3700m</w:t>
            </w:r>
            <w:r>
              <w:rPr>
                <w:rFonts w:hint="eastAsia"/>
                <w:sz w:val="24"/>
              </w:rPr>
              <w:t>，为暗针叶林带；海拔</w:t>
            </w:r>
            <w:r>
              <w:rPr>
                <w:sz w:val="24"/>
              </w:rPr>
              <w:t>3700</w:t>
            </w:r>
            <w:r>
              <w:rPr>
                <w:rFonts w:hint="eastAsia"/>
                <w:sz w:val="24"/>
              </w:rPr>
              <w:t>以上，为高山灌丛和草甸带。</w:t>
            </w:r>
          </w:p>
          <w:p w14:paraId="4F61218A">
            <w:pPr>
              <w:spacing w:line="500" w:lineRule="exact"/>
              <w:ind w:firstLine="480" w:firstLineChars="200"/>
              <w:rPr>
                <w:sz w:val="24"/>
              </w:rPr>
            </w:pPr>
            <w:r>
              <w:rPr>
                <w:rFonts w:hint="eastAsia"/>
                <w:sz w:val="24"/>
              </w:rPr>
              <w:t>峨边彝族自治县有林草地面积</w:t>
            </w:r>
            <w:r>
              <w:rPr>
                <w:sz w:val="24"/>
              </w:rPr>
              <w:t>25.09</w:t>
            </w:r>
            <w:r>
              <w:rPr>
                <w:rFonts w:hint="eastAsia"/>
                <w:sz w:val="24"/>
              </w:rPr>
              <w:t>万</w:t>
            </w:r>
            <w:r>
              <w:rPr>
                <w:sz w:val="24"/>
              </w:rPr>
              <w:t>hm</w:t>
            </w:r>
            <w:r>
              <w:rPr>
                <w:sz w:val="24"/>
                <w:vertAlign w:val="superscript"/>
              </w:rPr>
              <w:t>2</w:t>
            </w:r>
            <w:r>
              <w:rPr>
                <w:rFonts w:hint="eastAsia"/>
                <w:sz w:val="24"/>
              </w:rPr>
              <w:t>，占全县总面积的</w:t>
            </w:r>
            <w:r>
              <w:rPr>
                <w:sz w:val="24"/>
              </w:rPr>
              <w:t>37.1%</w:t>
            </w:r>
            <w:r>
              <w:rPr>
                <w:rFonts w:hint="eastAsia"/>
                <w:sz w:val="24"/>
              </w:rPr>
              <w:t>，天然草场面积</w:t>
            </w:r>
            <w:r>
              <w:rPr>
                <w:sz w:val="24"/>
              </w:rPr>
              <w:t>33.44</w:t>
            </w:r>
            <w:r>
              <w:rPr>
                <w:rFonts w:hint="eastAsia"/>
                <w:sz w:val="24"/>
              </w:rPr>
              <w:t>万</w:t>
            </w:r>
            <w:r>
              <w:rPr>
                <w:sz w:val="24"/>
              </w:rPr>
              <w:t>hm</w:t>
            </w:r>
            <w:r>
              <w:rPr>
                <w:sz w:val="24"/>
                <w:vertAlign w:val="superscript"/>
              </w:rPr>
              <w:t>2</w:t>
            </w:r>
            <w:r>
              <w:rPr>
                <w:rFonts w:hint="eastAsia"/>
                <w:sz w:val="24"/>
              </w:rPr>
              <w:t>，占全县总面积的</w:t>
            </w:r>
            <w:r>
              <w:rPr>
                <w:sz w:val="24"/>
              </w:rPr>
              <w:t>49.4%</w:t>
            </w:r>
            <w:r>
              <w:rPr>
                <w:rFonts w:hint="eastAsia"/>
                <w:sz w:val="24"/>
              </w:rPr>
              <w:t>。</w:t>
            </w:r>
          </w:p>
          <w:p w14:paraId="5C509588">
            <w:pPr>
              <w:spacing w:line="500" w:lineRule="exact"/>
              <w:ind w:firstLine="480" w:firstLineChars="200"/>
              <w:rPr>
                <w:sz w:val="24"/>
              </w:rPr>
            </w:pPr>
            <w:r>
              <w:rPr>
                <w:rFonts w:hint="eastAsia"/>
                <w:sz w:val="24"/>
              </w:rPr>
              <w:t>据调查，峨边彝族自治县树种包括针叶树种、阔叶树种、灌木树种及经济树种。其中针叶树种主要包括松科的云杉树、冷杉树、铁杉树、落叶松树、松树，柏科的侧柏树，树种有云杉、巴山冷杉、苍山冷杉、云南铁杉、红杉、云南松、高山松和侧柏等；阔叶乔木树种主要包括杨柳科、壳斗科、桦木科的山杨、川杨、青杨、刺叶栎、细叶青冈和红桦等；灌木树种主要有枸子木、三颗针、野蔷薇和杜鹃等。全县主要草种有高山寒草、高山早熟禾、珠牙蓼、黑花苔草、羊茅、披碱草等，主要分布在海拔</w:t>
            </w:r>
            <w:r>
              <w:rPr>
                <w:sz w:val="24"/>
              </w:rPr>
              <w:t>3700m</w:t>
            </w:r>
            <w:r>
              <w:rPr>
                <w:rFonts w:hint="eastAsia"/>
                <w:sz w:val="24"/>
              </w:rPr>
              <w:t>以上的高山宽谷、缓坡和小型台地。</w:t>
            </w:r>
          </w:p>
          <w:p w14:paraId="1A85598D">
            <w:pPr>
              <w:spacing w:line="500" w:lineRule="exact"/>
              <w:ind w:firstLine="480" w:firstLineChars="200"/>
              <w:rPr>
                <w:sz w:val="24"/>
              </w:rPr>
            </w:pPr>
            <w:r>
              <w:rPr>
                <w:rFonts w:hint="eastAsia"/>
                <w:sz w:val="24"/>
              </w:rPr>
              <w:t>国家珍稀保护的野生动物如大熊猫、羚羊、豹、小熊猫、黑熊、岩羊等均分布在黑竹沟自然保护区、黑竹沟风景名胜区和黑竹沟森林公园内的高海拔林区，不受工程建设的影响。</w:t>
            </w:r>
            <w:r>
              <w:rPr>
                <w:rFonts w:hint="eastAsia"/>
                <w:sz w:val="24"/>
                <w:u w:val="single"/>
              </w:rPr>
              <w:t>项目拟建厂址位于峨边彝族自治县平等乡观慈村三组，该区域人类活动频繁，受人类活动的干扰，区内无珍稀保护动物。</w:t>
            </w:r>
          </w:p>
          <w:p w14:paraId="6ABE24CF">
            <w:pPr>
              <w:pStyle w:val="10"/>
              <w:spacing w:after="0" w:line="360" w:lineRule="auto"/>
              <w:rPr>
                <w:sz w:val="24"/>
              </w:rPr>
            </w:pPr>
          </w:p>
          <w:p w14:paraId="7671295F">
            <w:pPr>
              <w:pStyle w:val="10"/>
              <w:spacing w:after="0" w:line="360" w:lineRule="auto"/>
              <w:rPr>
                <w:sz w:val="24"/>
              </w:rPr>
            </w:pPr>
          </w:p>
          <w:p w14:paraId="1CC90132">
            <w:pPr>
              <w:pStyle w:val="10"/>
              <w:spacing w:after="0" w:line="360" w:lineRule="auto"/>
              <w:rPr>
                <w:sz w:val="24"/>
              </w:rPr>
            </w:pPr>
          </w:p>
          <w:p w14:paraId="3412C46B">
            <w:pPr>
              <w:pStyle w:val="10"/>
              <w:spacing w:after="0" w:line="360" w:lineRule="auto"/>
              <w:rPr>
                <w:sz w:val="24"/>
              </w:rPr>
            </w:pPr>
          </w:p>
          <w:p w14:paraId="346BFAC7">
            <w:pPr>
              <w:pStyle w:val="10"/>
              <w:spacing w:after="0" w:line="360" w:lineRule="auto"/>
              <w:rPr>
                <w:sz w:val="24"/>
              </w:rPr>
            </w:pPr>
          </w:p>
          <w:p w14:paraId="33CA432A">
            <w:pPr>
              <w:pStyle w:val="10"/>
              <w:spacing w:after="0" w:line="360" w:lineRule="auto"/>
              <w:rPr>
                <w:sz w:val="24"/>
              </w:rPr>
            </w:pPr>
          </w:p>
          <w:p w14:paraId="4221E441">
            <w:pPr>
              <w:pStyle w:val="10"/>
              <w:spacing w:after="0" w:line="360" w:lineRule="auto"/>
              <w:rPr>
                <w:sz w:val="24"/>
              </w:rPr>
            </w:pPr>
          </w:p>
          <w:p w14:paraId="5BEF0454">
            <w:pPr>
              <w:pStyle w:val="10"/>
              <w:spacing w:after="0" w:line="360" w:lineRule="auto"/>
              <w:rPr>
                <w:sz w:val="24"/>
              </w:rPr>
            </w:pPr>
          </w:p>
          <w:p w14:paraId="5A570B93">
            <w:pPr>
              <w:pStyle w:val="10"/>
              <w:spacing w:after="0" w:line="360" w:lineRule="auto"/>
              <w:rPr>
                <w:sz w:val="24"/>
              </w:rPr>
            </w:pPr>
          </w:p>
          <w:p w14:paraId="0CA3E4EC">
            <w:pPr>
              <w:pStyle w:val="10"/>
              <w:spacing w:after="0" w:line="360" w:lineRule="auto"/>
              <w:rPr>
                <w:sz w:val="24"/>
              </w:rPr>
            </w:pPr>
          </w:p>
          <w:p w14:paraId="24137150">
            <w:pPr>
              <w:pStyle w:val="10"/>
              <w:spacing w:after="0" w:line="360" w:lineRule="auto"/>
              <w:rPr>
                <w:sz w:val="24"/>
              </w:rPr>
            </w:pPr>
          </w:p>
          <w:p w14:paraId="1A8B2191">
            <w:pPr>
              <w:pStyle w:val="10"/>
              <w:spacing w:after="0" w:line="360" w:lineRule="auto"/>
              <w:rPr>
                <w:sz w:val="24"/>
              </w:rPr>
            </w:pPr>
          </w:p>
          <w:p w14:paraId="405A4AA7">
            <w:pPr>
              <w:pStyle w:val="10"/>
              <w:spacing w:after="0" w:line="360" w:lineRule="auto"/>
              <w:rPr>
                <w:sz w:val="24"/>
              </w:rPr>
            </w:pPr>
          </w:p>
          <w:p w14:paraId="79BD6885">
            <w:pPr>
              <w:pStyle w:val="10"/>
              <w:spacing w:after="0" w:line="360" w:lineRule="auto"/>
              <w:rPr>
                <w:sz w:val="24"/>
              </w:rPr>
            </w:pPr>
          </w:p>
          <w:p w14:paraId="5C71237E">
            <w:pPr>
              <w:pStyle w:val="10"/>
              <w:spacing w:after="0" w:line="360" w:lineRule="auto"/>
              <w:rPr>
                <w:sz w:val="24"/>
              </w:rPr>
            </w:pPr>
          </w:p>
          <w:p w14:paraId="6806D571">
            <w:pPr>
              <w:pStyle w:val="10"/>
              <w:spacing w:after="0" w:line="360" w:lineRule="auto"/>
              <w:rPr>
                <w:sz w:val="24"/>
              </w:rPr>
            </w:pPr>
          </w:p>
          <w:p w14:paraId="068DC7A3">
            <w:pPr>
              <w:pStyle w:val="10"/>
              <w:spacing w:after="0" w:line="360" w:lineRule="auto"/>
              <w:rPr>
                <w:sz w:val="24"/>
              </w:rPr>
            </w:pPr>
          </w:p>
          <w:p w14:paraId="4785D59B">
            <w:pPr>
              <w:pStyle w:val="10"/>
              <w:spacing w:after="0" w:line="360" w:lineRule="auto"/>
              <w:rPr>
                <w:sz w:val="24"/>
              </w:rPr>
            </w:pPr>
          </w:p>
          <w:p w14:paraId="350D725F">
            <w:pPr>
              <w:pStyle w:val="10"/>
              <w:spacing w:after="0" w:line="360" w:lineRule="auto"/>
              <w:rPr>
                <w:sz w:val="24"/>
              </w:rPr>
            </w:pPr>
          </w:p>
          <w:p w14:paraId="1BA8D179">
            <w:pPr>
              <w:pStyle w:val="10"/>
              <w:spacing w:after="0" w:line="360" w:lineRule="auto"/>
              <w:rPr>
                <w:sz w:val="24"/>
              </w:rPr>
            </w:pPr>
          </w:p>
          <w:p w14:paraId="5509887E">
            <w:pPr>
              <w:pStyle w:val="10"/>
              <w:spacing w:after="0" w:line="360" w:lineRule="auto"/>
              <w:rPr>
                <w:sz w:val="24"/>
              </w:rPr>
            </w:pPr>
          </w:p>
          <w:p w14:paraId="705F9A91">
            <w:pPr>
              <w:pStyle w:val="10"/>
              <w:spacing w:after="0" w:line="360" w:lineRule="auto"/>
              <w:rPr>
                <w:sz w:val="24"/>
              </w:rPr>
            </w:pPr>
          </w:p>
          <w:p w14:paraId="543B44B5">
            <w:pPr>
              <w:pStyle w:val="10"/>
              <w:spacing w:after="0" w:line="360" w:lineRule="auto"/>
              <w:rPr>
                <w:sz w:val="24"/>
              </w:rPr>
            </w:pPr>
          </w:p>
          <w:p w14:paraId="0A60AF1B">
            <w:pPr>
              <w:pStyle w:val="10"/>
              <w:spacing w:after="0" w:line="360" w:lineRule="auto"/>
              <w:rPr>
                <w:sz w:val="24"/>
              </w:rPr>
            </w:pPr>
          </w:p>
          <w:p w14:paraId="052AB19E">
            <w:pPr>
              <w:pStyle w:val="10"/>
              <w:spacing w:after="0" w:line="360" w:lineRule="auto"/>
              <w:rPr>
                <w:sz w:val="24"/>
              </w:rPr>
            </w:pPr>
          </w:p>
          <w:p w14:paraId="6B7A9DCD">
            <w:pPr>
              <w:pStyle w:val="10"/>
              <w:spacing w:after="0" w:line="360" w:lineRule="auto"/>
              <w:rPr>
                <w:sz w:val="24"/>
              </w:rPr>
            </w:pPr>
          </w:p>
        </w:tc>
      </w:tr>
    </w:tbl>
    <w:p w14:paraId="42E1D7F5">
      <w:pPr>
        <w:pStyle w:val="2"/>
        <w:spacing w:before="0" w:after="0" w:line="240" w:lineRule="auto"/>
        <w:rPr>
          <w:b w:val="0"/>
          <w:bCs w:val="0"/>
          <w:sz w:val="32"/>
          <w:szCs w:val="32"/>
        </w:rPr>
      </w:pPr>
      <w:r>
        <w:rPr>
          <w:sz w:val="32"/>
          <w:szCs w:val="32"/>
        </w:rPr>
        <w:br w:type="page"/>
      </w:r>
      <w:r>
        <w:rPr>
          <w:rFonts w:hint="eastAsia"/>
          <w:sz w:val="32"/>
          <w:szCs w:val="24"/>
        </w:rPr>
        <w:t>环境质量状况</w:t>
      </w:r>
      <w:r>
        <w:rPr>
          <w:sz w:val="32"/>
          <w:szCs w:val="24"/>
        </w:rPr>
        <w:t xml:space="preserve">                                 </w:t>
      </w:r>
      <w:r>
        <w:rPr>
          <w:rFonts w:hint="eastAsia"/>
          <w:sz w:val="32"/>
          <w:szCs w:val="24"/>
          <w:lang w:eastAsia="zh-CN"/>
        </w:rPr>
        <w:t>（</w:t>
      </w:r>
      <w:r>
        <w:rPr>
          <w:rFonts w:hint="eastAsia"/>
          <w:sz w:val="32"/>
          <w:szCs w:val="24"/>
        </w:rPr>
        <w:t>表三</w:t>
      </w:r>
      <w:r>
        <w:rPr>
          <w:rFonts w:hint="eastAsia"/>
          <w:sz w:val="32"/>
          <w:szCs w:val="24"/>
          <w:lang w:eastAsia="zh-CN"/>
        </w:rPr>
        <w:t>）</w:t>
      </w:r>
    </w:p>
    <w:tbl>
      <w:tblPr>
        <w:tblStyle w:val="25"/>
        <w:tblW w:w="8426"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57" w:type="dxa"/>
          <w:bottom w:w="0" w:type="dxa"/>
          <w:right w:w="57" w:type="dxa"/>
        </w:tblCellMar>
      </w:tblPr>
      <w:tblGrid>
        <w:gridCol w:w="8426"/>
      </w:tblGrid>
      <w:tr w14:paraId="0F4480C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7" w:type="dxa"/>
            <w:bottom w:w="0" w:type="dxa"/>
            <w:right w:w="57" w:type="dxa"/>
          </w:tblCellMar>
        </w:tblPrEx>
        <w:trPr>
          <w:trHeight w:val="983" w:hRule="atLeast"/>
          <w:jc w:val="center"/>
        </w:trPr>
        <w:tc>
          <w:tcPr>
            <w:tcW w:w="8426" w:type="dxa"/>
            <w:tcBorders>
              <w:top w:val="single" w:color="auto" w:sz="4" w:space="0"/>
            </w:tcBorders>
          </w:tcPr>
          <w:p w14:paraId="6D26B355">
            <w:pPr>
              <w:spacing w:line="360" w:lineRule="auto"/>
              <w:rPr>
                <w:b/>
                <w:bCs/>
                <w:sz w:val="24"/>
              </w:rPr>
            </w:pPr>
            <w:r>
              <w:rPr>
                <w:rFonts w:hint="eastAsia"/>
                <w:b/>
                <w:bCs/>
                <w:sz w:val="24"/>
              </w:rPr>
              <w:t>建设项目所在地区域环境质量现状及主要环境问题（环境空气、地面水、地下水、声环境、生态环境等）：</w:t>
            </w:r>
          </w:p>
          <w:p w14:paraId="00BAC236">
            <w:pPr>
              <w:pStyle w:val="134"/>
              <w:ind w:firstLine="480"/>
              <w:rPr>
                <w:rFonts w:cs="Times New Roman"/>
              </w:rPr>
            </w:pPr>
            <w:r>
              <w:rPr>
                <w:rFonts w:hint="eastAsia" w:cs="Times New Roman"/>
              </w:rPr>
              <w:t>本项目为新建项目，项目位于</w:t>
            </w:r>
            <w:r>
              <w:rPr>
                <w:rFonts w:hint="eastAsia"/>
                <w:bCs/>
              </w:rPr>
              <w:t>峨边彝族自治县平等乡观慈村三组</w:t>
            </w:r>
            <w:r>
              <w:rPr>
                <w:rFonts w:hint="eastAsia" w:cs="Times New Roman"/>
              </w:rPr>
              <w:t>，为掌握该项目所在地的环境质量现状，本次环评委托四川蜀环环境检测有限责任公司对本项目厂界环境噪声、无组织废气进行检测，监测结果见四川蜀环环境检测有限责任公司（蜀环检字</w:t>
            </w:r>
            <w:r>
              <w:rPr>
                <w:rFonts w:hint="eastAsia" w:cs="Times New Roman"/>
                <w:lang w:eastAsia="zh-CN"/>
              </w:rPr>
              <w:t>〔2020〕26号</w:t>
            </w:r>
            <w:r>
              <w:rPr>
                <w:rFonts w:hint="eastAsia" w:cs="Times New Roman"/>
              </w:rPr>
              <w:t>），</w:t>
            </w:r>
            <w:r>
              <w:rPr>
                <w:rFonts w:hint="eastAsia" w:cs="Times New Roman"/>
                <w:bCs/>
              </w:rPr>
              <w:t>环境空气质量及地表水质量引用</w:t>
            </w:r>
            <w:r>
              <w:rPr>
                <w:rFonts w:hint="eastAsia"/>
                <w:bCs/>
              </w:rPr>
              <w:t>《乐山市</w:t>
            </w:r>
            <w:r>
              <w:rPr>
                <w:bCs/>
              </w:rPr>
              <w:t>2019</w:t>
            </w:r>
            <w:r>
              <w:rPr>
                <w:rFonts w:hint="eastAsia"/>
                <w:bCs/>
              </w:rPr>
              <w:t>年环境质量公报》等</w:t>
            </w:r>
            <w:r>
              <w:rPr>
                <w:rFonts w:hint="eastAsia" w:cs="Times New Roman"/>
                <w:bCs/>
              </w:rPr>
              <w:t>。</w:t>
            </w:r>
            <w:r>
              <w:rPr>
                <w:rFonts w:hint="eastAsia" w:cs="Times New Roman"/>
              </w:rPr>
              <w:t>现对项目所在区域环境质量现状评述如下：</w:t>
            </w:r>
          </w:p>
          <w:p w14:paraId="3B0C6AD7">
            <w:pPr>
              <w:spacing w:line="360" w:lineRule="auto"/>
              <w:rPr>
                <w:b/>
                <w:sz w:val="24"/>
              </w:rPr>
            </w:pPr>
            <w:r>
              <w:rPr>
                <w:rFonts w:hint="eastAsia"/>
                <w:b/>
                <w:sz w:val="24"/>
              </w:rPr>
              <w:t>一、环境空气质量</w:t>
            </w:r>
          </w:p>
          <w:p w14:paraId="05A2B3B6">
            <w:pPr>
              <w:adjustRightInd w:val="0"/>
              <w:snapToGrid w:val="0"/>
              <w:spacing w:line="480" w:lineRule="exact"/>
              <w:ind w:right="77" w:rightChars="37" w:firstLine="480" w:firstLineChars="200"/>
              <w:jc w:val="left"/>
              <w:rPr>
                <w:sz w:val="24"/>
              </w:rPr>
            </w:pPr>
            <w:r>
              <w:rPr>
                <w:sz w:val="24"/>
              </w:rPr>
              <w:fldChar w:fldCharType="begin"/>
            </w:r>
            <w:r>
              <w:rPr>
                <w:sz w:val="24"/>
              </w:rPr>
              <w:instrText xml:space="preserve"> = 1 \* GB3 </w:instrText>
            </w:r>
            <w:r>
              <w:rPr>
                <w:sz w:val="24"/>
              </w:rPr>
              <w:fldChar w:fldCharType="separate"/>
            </w:r>
            <w:r>
              <w:rPr>
                <w:rFonts w:hint="eastAsia" w:ascii="宋体" w:hAnsi="宋体" w:cs="宋体"/>
                <w:sz w:val="24"/>
              </w:rPr>
              <w:t>①</w:t>
            </w:r>
            <w:r>
              <w:rPr>
                <w:sz w:val="24"/>
              </w:rPr>
              <w:fldChar w:fldCharType="end"/>
            </w:r>
            <w:r>
              <w:rPr>
                <w:sz w:val="24"/>
              </w:rPr>
              <w:t>环境空气数据来源</w:t>
            </w:r>
          </w:p>
          <w:p w14:paraId="4DD50AB5">
            <w:pPr>
              <w:adjustRightInd w:val="0"/>
              <w:snapToGrid w:val="0"/>
              <w:spacing w:line="480" w:lineRule="exact"/>
              <w:ind w:right="77" w:rightChars="37" w:firstLine="480" w:firstLineChars="200"/>
              <w:jc w:val="left"/>
              <w:rPr>
                <w:sz w:val="24"/>
              </w:rPr>
            </w:pPr>
            <w:r>
              <w:rPr>
                <w:sz w:val="24"/>
              </w:rPr>
              <w:t>本次环境空气质量引用乐山市2019年环境质量公报中的监测数据，符合《环境影响评价技术导则 大气环境》（HJ2.2-2018）中“6.2数据来源”的要求。</w:t>
            </w:r>
          </w:p>
          <w:p w14:paraId="0108A770">
            <w:pPr>
              <w:adjustRightInd w:val="0"/>
              <w:snapToGrid w:val="0"/>
              <w:spacing w:line="480" w:lineRule="exact"/>
              <w:ind w:right="77" w:rightChars="37" w:firstLine="480" w:firstLineChars="200"/>
              <w:jc w:val="left"/>
              <w:rPr>
                <w:sz w:val="24"/>
              </w:rPr>
            </w:pPr>
            <w:r>
              <w:rPr>
                <w:sz w:val="24"/>
              </w:rPr>
              <w:t>根据《乐山市2019年环境质量公报》，本项目所在区域大气环境质量现状情况见表3-1。</w:t>
            </w:r>
          </w:p>
          <w:p w14:paraId="440C1375">
            <w:pPr>
              <w:pStyle w:val="134"/>
              <w:ind w:firstLine="0" w:firstLineChars="0"/>
              <w:jc w:val="center"/>
              <w:rPr>
                <w:rFonts w:cs="Times New Roman"/>
              </w:rPr>
            </w:pPr>
            <w:r>
              <w:rPr>
                <w:rFonts w:cs="Times New Roman"/>
                <w:snapToGrid w:val="0"/>
                <w:kern w:val="0"/>
                <w:szCs w:val="24"/>
              </w:rPr>
              <w:t>表3-1  2019年乐山市空气质量数据统计表    单位：</w:t>
            </w:r>
            <w:r>
              <w:rPr>
                <w:rFonts w:hint="eastAsia" w:cs="Times New Roman"/>
                <w:snapToGrid w:val="0"/>
                <w:kern w:val="0"/>
                <w:szCs w:val="24"/>
                <w:lang w:eastAsia="zh-CN"/>
              </w:rPr>
              <w:t>μg/m3</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9"/>
              <w:gridCol w:w="922"/>
              <w:gridCol w:w="1054"/>
              <w:gridCol w:w="1054"/>
              <w:gridCol w:w="1054"/>
              <w:gridCol w:w="1054"/>
              <w:gridCol w:w="1185"/>
            </w:tblGrid>
            <w:tr w14:paraId="438D4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1192" w:type="pct"/>
                  <w:vAlign w:val="center"/>
                </w:tcPr>
                <w:p w14:paraId="1E5349F2">
                  <w:pPr>
                    <w:spacing w:line="360" w:lineRule="exact"/>
                    <w:jc w:val="center"/>
                    <w:rPr>
                      <w:szCs w:val="21"/>
                    </w:rPr>
                  </w:pPr>
                  <w:r>
                    <w:rPr>
                      <w:szCs w:val="21"/>
                    </w:rPr>
                    <w:t>项目</w:t>
                  </w:r>
                </w:p>
              </w:tc>
              <w:tc>
                <w:tcPr>
                  <w:tcW w:w="555" w:type="pct"/>
                  <w:vAlign w:val="center"/>
                </w:tcPr>
                <w:p w14:paraId="7C489111">
                  <w:pPr>
                    <w:spacing w:line="360" w:lineRule="exact"/>
                    <w:jc w:val="center"/>
                    <w:rPr>
                      <w:szCs w:val="21"/>
                    </w:rPr>
                  </w:pPr>
                  <w:r>
                    <w:rPr>
                      <w:szCs w:val="21"/>
                    </w:rPr>
                    <w:t>SO</w:t>
                  </w:r>
                  <w:r>
                    <w:rPr>
                      <w:szCs w:val="21"/>
                      <w:vertAlign w:val="subscript"/>
                    </w:rPr>
                    <w:t>2</w:t>
                  </w:r>
                </w:p>
              </w:tc>
              <w:tc>
                <w:tcPr>
                  <w:tcW w:w="635" w:type="pct"/>
                  <w:vAlign w:val="center"/>
                </w:tcPr>
                <w:p w14:paraId="06F2364F">
                  <w:pPr>
                    <w:spacing w:line="360" w:lineRule="exact"/>
                    <w:jc w:val="center"/>
                    <w:rPr>
                      <w:szCs w:val="21"/>
                    </w:rPr>
                  </w:pPr>
                  <w:r>
                    <w:rPr>
                      <w:szCs w:val="21"/>
                    </w:rPr>
                    <w:t>NO</w:t>
                  </w:r>
                  <w:r>
                    <w:rPr>
                      <w:szCs w:val="21"/>
                      <w:vertAlign w:val="subscript"/>
                    </w:rPr>
                    <w:t>2</w:t>
                  </w:r>
                </w:p>
              </w:tc>
              <w:tc>
                <w:tcPr>
                  <w:tcW w:w="635" w:type="pct"/>
                  <w:vAlign w:val="center"/>
                </w:tcPr>
                <w:p w14:paraId="151A355E">
                  <w:pPr>
                    <w:spacing w:line="360" w:lineRule="exact"/>
                    <w:jc w:val="center"/>
                    <w:rPr>
                      <w:szCs w:val="21"/>
                    </w:rPr>
                  </w:pPr>
                  <w:r>
                    <w:rPr>
                      <w:szCs w:val="21"/>
                    </w:rPr>
                    <w:t>CO</w:t>
                  </w:r>
                </w:p>
              </w:tc>
              <w:tc>
                <w:tcPr>
                  <w:tcW w:w="635" w:type="pct"/>
                  <w:vAlign w:val="center"/>
                </w:tcPr>
                <w:p w14:paraId="297E0143">
                  <w:pPr>
                    <w:spacing w:line="360" w:lineRule="exact"/>
                    <w:jc w:val="center"/>
                    <w:rPr>
                      <w:szCs w:val="21"/>
                    </w:rPr>
                  </w:pPr>
                  <w:r>
                    <w:rPr>
                      <w:szCs w:val="21"/>
                    </w:rPr>
                    <w:t>O</w:t>
                  </w:r>
                  <w:r>
                    <w:rPr>
                      <w:szCs w:val="21"/>
                      <w:vertAlign w:val="subscript"/>
                    </w:rPr>
                    <w:t>3</w:t>
                  </w:r>
                </w:p>
              </w:tc>
              <w:tc>
                <w:tcPr>
                  <w:tcW w:w="635" w:type="pct"/>
                  <w:vAlign w:val="center"/>
                </w:tcPr>
                <w:p w14:paraId="62031DF6">
                  <w:pPr>
                    <w:spacing w:line="360" w:lineRule="exact"/>
                    <w:jc w:val="center"/>
                    <w:rPr>
                      <w:szCs w:val="21"/>
                    </w:rPr>
                  </w:pPr>
                  <w:r>
                    <w:rPr>
                      <w:szCs w:val="21"/>
                    </w:rPr>
                    <w:t>PM</w:t>
                  </w:r>
                  <w:r>
                    <w:rPr>
                      <w:szCs w:val="21"/>
                      <w:vertAlign w:val="subscript"/>
                    </w:rPr>
                    <w:t>2.5</w:t>
                  </w:r>
                </w:p>
              </w:tc>
              <w:tc>
                <w:tcPr>
                  <w:tcW w:w="714" w:type="pct"/>
                  <w:vAlign w:val="center"/>
                </w:tcPr>
                <w:p w14:paraId="2CA1502B">
                  <w:pPr>
                    <w:spacing w:line="360" w:lineRule="exact"/>
                    <w:jc w:val="center"/>
                    <w:rPr>
                      <w:szCs w:val="21"/>
                    </w:rPr>
                  </w:pPr>
                  <w:r>
                    <w:rPr>
                      <w:szCs w:val="21"/>
                    </w:rPr>
                    <w:t>PM</w:t>
                  </w:r>
                  <w:r>
                    <w:rPr>
                      <w:szCs w:val="21"/>
                      <w:vertAlign w:val="subscript"/>
                    </w:rPr>
                    <w:t>10</w:t>
                  </w:r>
                </w:p>
              </w:tc>
            </w:tr>
            <w:tr w14:paraId="206F1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192" w:type="pct"/>
                  <w:vAlign w:val="center"/>
                </w:tcPr>
                <w:p w14:paraId="1DF83233">
                  <w:pPr>
                    <w:spacing w:line="360" w:lineRule="exact"/>
                    <w:jc w:val="center"/>
                    <w:rPr>
                      <w:szCs w:val="21"/>
                    </w:rPr>
                  </w:pPr>
                  <w:r>
                    <w:rPr>
                      <w:szCs w:val="21"/>
                    </w:rPr>
                    <w:t>平均浓度</w:t>
                  </w:r>
                </w:p>
              </w:tc>
              <w:tc>
                <w:tcPr>
                  <w:tcW w:w="555" w:type="pct"/>
                  <w:vAlign w:val="center"/>
                </w:tcPr>
                <w:p w14:paraId="55AA9FD3">
                  <w:pPr>
                    <w:spacing w:line="360" w:lineRule="exact"/>
                    <w:jc w:val="center"/>
                    <w:rPr>
                      <w:szCs w:val="21"/>
                    </w:rPr>
                  </w:pPr>
                  <w:r>
                    <w:rPr>
                      <w:szCs w:val="21"/>
                    </w:rPr>
                    <w:t>12.9</w:t>
                  </w:r>
                </w:p>
              </w:tc>
              <w:tc>
                <w:tcPr>
                  <w:tcW w:w="635" w:type="pct"/>
                  <w:vAlign w:val="center"/>
                </w:tcPr>
                <w:p w14:paraId="0DC23E91">
                  <w:pPr>
                    <w:spacing w:line="360" w:lineRule="exact"/>
                    <w:jc w:val="center"/>
                    <w:rPr>
                      <w:szCs w:val="21"/>
                    </w:rPr>
                  </w:pPr>
                  <w:r>
                    <w:rPr>
                      <w:szCs w:val="21"/>
                    </w:rPr>
                    <w:t>24.0</w:t>
                  </w:r>
                </w:p>
              </w:tc>
              <w:tc>
                <w:tcPr>
                  <w:tcW w:w="635" w:type="pct"/>
                  <w:vAlign w:val="center"/>
                </w:tcPr>
                <w:p w14:paraId="6FE6FD24">
                  <w:pPr>
                    <w:spacing w:line="360" w:lineRule="exact"/>
                    <w:jc w:val="center"/>
                    <w:rPr>
                      <w:szCs w:val="21"/>
                    </w:rPr>
                  </w:pPr>
                  <w:r>
                    <w:rPr>
                      <w:szCs w:val="21"/>
                    </w:rPr>
                    <w:t>1.4</w:t>
                  </w:r>
                </w:p>
              </w:tc>
              <w:tc>
                <w:tcPr>
                  <w:tcW w:w="635" w:type="pct"/>
                  <w:vAlign w:val="center"/>
                </w:tcPr>
                <w:p w14:paraId="0B8A3E53">
                  <w:pPr>
                    <w:spacing w:line="360" w:lineRule="exact"/>
                    <w:jc w:val="center"/>
                    <w:rPr>
                      <w:szCs w:val="21"/>
                    </w:rPr>
                  </w:pPr>
                  <w:r>
                    <w:rPr>
                      <w:szCs w:val="21"/>
                    </w:rPr>
                    <w:t>121.4</w:t>
                  </w:r>
                </w:p>
              </w:tc>
              <w:tc>
                <w:tcPr>
                  <w:tcW w:w="635" w:type="pct"/>
                  <w:vAlign w:val="center"/>
                </w:tcPr>
                <w:p w14:paraId="5185AD86">
                  <w:pPr>
                    <w:spacing w:line="360" w:lineRule="exact"/>
                    <w:jc w:val="center"/>
                    <w:rPr>
                      <w:szCs w:val="21"/>
                    </w:rPr>
                  </w:pPr>
                  <w:r>
                    <w:rPr>
                      <w:szCs w:val="21"/>
                    </w:rPr>
                    <w:t>39.1</w:t>
                  </w:r>
                </w:p>
              </w:tc>
              <w:tc>
                <w:tcPr>
                  <w:tcW w:w="714" w:type="pct"/>
                  <w:vAlign w:val="center"/>
                </w:tcPr>
                <w:p w14:paraId="105ED070">
                  <w:pPr>
                    <w:spacing w:line="360" w:lineRule="exact"/>
                    <w:jc w:val="center"/>
                    <w:rPr>
                      <w:szCs w:val="21"/>
                    </w:rPr>
                  </w:pPr>
                  <w:r>
                    <w:rPr>
                      <w:szCs w:val="21"/>
                    </w:rPr>
                    <w:t>61.7</w:t>
                  </w:r>
                </w:p>
              </w:tc>
            </w:tr>
            <w:tr w14:paraId="7EC17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1192" w:type="pct"/>
                  <w:vAlign w:val="center"/>
                </w:tcPr>
                <w:p w14:paraId="61829E49">
                  <w:pPr>
                    <w:spacing w:line="360" w:lineRule="exact"/>
                    <w:jc w:val="center"/>
                    <w:rPr>
                      <w:szCs w:val="21"/>
                    </w:rPr>
                  </w:pPr>
                  <w:r>
                    <w:rPr>
                      <w:szCs w:val="21"/>
                    </w:rPr>
                    <w:t>质量标准（年平均）</w:t>
                  </w:r>
                </w:p>
              </w:tc>
              <w:tc>
                <w:tcPr>
                  <w:tcW w:w="555" w:type="pct"/>
                  <w:vAlign w:val="center"/>
                </w:tcPr>
                <w:p w14:paraId="6AFF5153">
                  <w:pPr>
                    <w:spacing w:line="360" w:lineRule="exact"/>
                    <w:jc w:val="center"/>
                    <w:rPr>
                      <w:szCs w:val="21"/>
                    </w:rPr>
                  </w:pPr>
                  <w:r>
                    <w:rPr>
                      <w:szCs w:val="21"/>
                    </w:rPr>
                    <w:t>60</w:t>
                  </w:r>
                </w:p>
              </w:tc>
              <w:tc>
                <w:tcPr>
                  <w:tcW w:w="635" w:type="pct"/>
                  <w:vAlign w:val="center"/>
                </w:tcPr>
                <w:p w14:paraId="5FDFD230">
                  <w:pPr>
                    <w:spacing w:line="360" w:lineRule="exact"/>
                    <w:jc w:val="center"/>
                    <w:rPr>
                      <w:szCs w:val="21"/>
                    </w:rPr>
                  </w:pPr>
                  <w:r>
                    <w:rPr>
                      <w:szCs w:val="21"/>
                    </w:rPr>
                    <w:t>40</w:t>
                  </w:r>
                </w:p>
              </w:tc>
              <w:tc>
                <w:tcPr>
                  <w:tcW w:w="635" w:type="pct"/>
                  <w:vAlign w:val="center"/>
                </w:tcPr>
                <w:p w14:paraId="288F7127">
                  <w:pPr>
                    <w:spacing w:line="360" w:lineRule="exact"/>
                    <w:jc w:val="center"/>
                    <w:rPr>
                      <w:szCs w:val="21"/>
                    </w:rPr>
                  </w:pPr>
                  <w:r>
                    <w:rPr>
                      <w:szCs w:val="21"/>
                    </w:rPr>
                    <w:t>4</w:t>
                  </w:r>
                </w:p>
              </w:tc>
              <w:tc>
                <w:tcPr>
                  <w:tcW w:w="635" w:type="pct"/>
                  <w:vAlign w:val="center"/>
                </w:tcPr>
                <w:p w14:paraId="21F4A65C">
                  <w:pPr>
                    <w:spacing w:line="360" w:lineRule="exact"/>
                    <w:jc w:val="center"/>
                    <w:rPr>
                      <w:szCs w:val="21"/>
                    </w:rPr>
                  </w:pPr>
                  <w:r>
                    <w:rPr>
                      <w:szCs w:val="21"/>
                    </w:rPr>
                    <w:t>160</w:t>
                  </w:r>
                </w:p>
              </w:tc>
              <w:tc>
                <w:tcPr>
                  <w:tcW w:w="635" w:type="pct"/>
                  <w:vAlign w:val="center"/>
                </w:tcPr>
                <w:p w14:paraId="419ECBF2">
                  <w:pPr>
                    <w:spacing w:line="360" w:lineRule="exact"/>
                    <w:jc w:val="center"/>
                    <w:rPr>
                      <w:szCs w:val="21"/>
                    </w:rPr>
                  </w:pPr>
                  <w:r>
                    <w:rPr>
                      <w:szCs w:val="21"/>
                    </w:rPr>
                    <w:t>35</w:t>
                  </w:r>
                </w:p>
              </w:tc>
              <w:tc>
                <w:tcPr>
                  <w:tcW w:w="714" w:type="pct"/>
                  <w:vAlign w:val="center"/>
                </w:tcPr>
                <w:p w14:paraId="0402E96C">
                  <w:pPr>
                    <w:spacing w:line="360" w:lineRule="exact"/>
                    <w:jc w:val="center"/>
                    <w:rPr>
                      <w:szCs w:val="21"/>
                    </w:rPr>
                  </w:pPr>
                  <w:r>
                    <w:rPr>
                      <w:szCs w:val="21"/>
                    </w:rPr>
                    <w:t>70</w:t>
                  </w:r>
                </w:p>
              </w:tc>
            </w:tr>
            <w:tr w14:paraId="53264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5000" w:type="pct"/>
                  <w:gridSpan w:val="7"/>
                  <w:vAlign w:val="center"/>
                </w:tcPr>
                <w:p w14:paraId="5E8944EE">
                  <w:pPr>
                    <w:spacing w:line="360" w:lineRule="exact"/>
                    <w:jc w:val="left"/>
                    <w:rPr>
                      <w:szCs w:val="21"/>
                    </w:rPr>
                  </w:pPr>
                  <w:r>
                    <w:rPr>
                      <w:szCs w:val="21"/>
                    </w:rPr>
                    <w:t>备注：一氧化碳年均值为24小时平均第95百分位数，臭氧年均值为日最大8小时滑动平均第90百分位数。</w:t>
                  </w:r>
                </w:p>
              </w:tc>
            </w:tr>
          </w:tbl>
          <w:p w14:paraId="7E501C5D">
            <w:pPr>
              <w:adjustRightInd w:val="0"/>
              <w:snapToGrid w:val="0"/>
              <w:spacing w:line="480" w:lineRule="exact"/>
              <w:ind w:right="77" w:rightChars="37" w:firstLine="480" w:firstLineChars="200"/>
              <w:jc w:val="left"/>
              <w:rPr>
                <w:sz w:val="24"/>
              </w:rPr>
            </w:pPr>
            <w:r>
              <w:rPr>
                <w:sz w:val="24"/>
              </w:rPr>
              <w:fldChar w:fldCharType="begin"/>
            </w:r>
            <w:r>
              <w:rPr>
                <w:sz w:val="24"/>
              </w:rPr>
              <w:instrText xml:space="preserve"> = 2 \* GB3 </w:instrText>
            </w:r>
            <w:r>
              <w:rPr>
                <w:sz w:val="24"/>
              </w:rPr>
              <w:fldChar w:fldCharType="separate"/>
            </w:r>
            <w:r>
              <w:rPr>
                <w:rFonts w:hint="eastAsia" w:ascii="宋体" w:hAnsi="宋体" w:cs="宋体"/>
                <w:sz w:val="24"/>
              </w:rPr>
              <w:t>②</w:t>
            </w:r>
            <w:r>
              <w:rPr>
                <w:sz w:val="24"/>
              </w:rPr>
              <w:fldChar w:fldCharType="end"/>
            </w:r>
            <w:r>
              <w:rPr>
                <w:sz w:val="24"/>
              </w:rPr>
              <w:t>评价方法和评价标准</w:t>
            </w:r>
          </w:p>
          <w:p w14:paraId="625D0EA6">
            <w:pPr>
              <w:adjustRightInd w:val="0"/>
              <w:snapToGrid w:val="0"/>
              <w:spacing w:line="480" w:lineRule="exact"/>
              <w:ind w:right="77" w:rightChars="37" w:firstLine="480" w:firstLineChars="200"/>
              <w:jc w:val="left"/>
              <w:rPr>
                <w:sz w:val="24"/>
              </w:rPr>
            </w:pPr>
            <w:r>
              <w:rPr>
                <w:kern w:val="0"/>
                <w:sz w:val="24"/>
              </w:rPr>
              <w:t>依据《环境空气质量标准》（GB 3095-2012）对乐山市2019年二氧化硫</w:t>
            </w:r>
            <w:r>
              <w:rPr>
                <w:rFonts w:hint="eastAsia"/>
                <w:kern w:val="0"/>
                <w:sz w:val="24"/>
                <w:lang w:eastAsia="zh-CN"/>
              </w:rPr>
              <w:t>（</w:t>
            </w:r>
            <w:r>
              <w:rPr>
                <w:kern w:val="0"/>
                <w:sz w:val="24"/>
              </w:rPr>
              <w:t>SO</w:t>
            </w:r>
            <w:r>
              <w:rPr>
                <w:kern w:val="0"/>
                <w:sz w:val="24"/>
                <w:vertAlign w:val="subscript"/>
              </w:rPr>
              <w:t>2</w:t>
            </w:r>
            <w:r>
              <w:rPr>
                <w:rFonts w:hint="eastAsia"/>
                <w:kern w:val="0"/>
                <w:sz w:val="24"/>
                <w:vertAlign w:val="subscript"/>
                <w:lang w:eastAsia="zh-CN"/>
              </w:rPr>
              <w:t>）</w:t>
            </w:r>
            <w:r>
              <w:rPr>
                <w:kern w:val="0"/>
                <w:sz w:val="24"/>
              </w:rPr>
              <w:t>、二氧化氮</w:t>
            </w:r>
            <w:r>
              <w:rPr>
                <w:rFonts w:hint="eastAsia"/>
                <w:kern w:val="0"/>
                <w:sz w:val="24"/>
                <w:lang w:eastAsia="zh-CN"/>
              </w:rPr>
              <w:t>（</w:t>
            </w:r>
            <w:r>
              <w:rPr>
                <w:kern w:val="0"/>
                <w:sz w:val="24"/>
              </w:rPr>
              <w:t>NO</w:t>
            </w:r>
            <w:r>
              <w:rPr>
                <w:kern w:val="0"/>
                <w:sz w:val="24"/>
                <w:vertAlign w:val="subscript"/>
              </w:rPr>
              <w:t>2</w:t>
            </w:r>
            <w:r>
              <w:rPr>
                <w:rFonts w:hint="eastAsia"/>
                <w:kern w:val="0"/>
                <w:sz w:val="24"/>
                <w:vertAlign w:val="subscript"/>
                <w:lang w:eastAsia="zh-CN"/>
              </w:rPr>
              <w:t>）</w:t>
            </w:r>
            <w:r>
              <w:rPr>
                <w:kern w:val="0"/>
                <w:sz w:val="24"/>
              </w:rPr>
              <w:t>、可吸入颗粒物</w:t>
            </w:r>
            <w:r>
              <w:rPr>
                <w:rFonts w:hint="eastAsia"/>
                <w:kern w:val="0"/>
                <w:sz w:val="24"/>
                <w:lang w:eastAsia="zh-CN"/>
              </w:rPr>
              <w:t>（</w:t>
            </w:r>
            <w:r>
              <w:rPr>
                <w:kern w:val="0"/>
                <w:sz w:val="24"/>
              </w:rPr>
              <w:t>PM</w:t>
            </w:r>
            <w:r>
              <w:rPr>
                <w:kern w:val="0"/>
                <w:sz w:val="24"/>
                <w:vertAlign w:val="subscript"/>
              </w:rPr>
              <w:t>10</w:t>
            </w:r>
            <w:r>
              <w:rPr>
                <w:rFonts w:hint="eastAsia"/>
                <w:kern w:val="0"/>
                <w:sz w:val="24"/>
                <w:vertAlign w:val="subscript"/>
                <w:lang w:eastAsia="zh-CN"/>
              </w:rPr>
              <w:t>）</w:t>
            </w:r>
            <w:r>
              <w:rPr>
                <w:kern w:val="0"/>
                <w:sz w:val="24"/>
              </w:rPr>
              <w:t>、细颗粒物</w:t>
            </w:r>
            <w:r>
              <w:rPr>
                <w:rFonts w:hint="eastAsia"/>
                <w:kern w:val="0"/>
                <w:sz w:val="24"/>
                <w:lang w:eastAsia="zh-CN"/>
              </w:rPr>
              <w:t>（</w:t>
            </w:r>
            <w:r>
              <w:rPr>
                <w:kern w:val="0"/>
                <w:sz w:val="24"/>
              </w:rPr>
              <w:t>PM</w:t>
            </w:r>
            <w:r>
              <w:rPr>
                <w:kern w:val="0"/>
                <w:sz w:val="24"/>
                <w:vertAlign w:val="subscript"/>
              </w:rPr>
              <w:t>2.5</w:t>
            </w:r>
            <w:r>
              <w:rPr>
                <w:kern w:val="0"/>
                <w:sz w:val="24"/>
              </w:rPr>
              <w:t>)、一氧化碳</w:t>
            </w:r>
            <w:r>
              <w:rPr>
                <w:rFonts w:hint="eastAsia"/>
                <w:kern w:val="0"/>
                <w:sz w:val="24"/>
                <w:lang w:eastAsia="zh-CN"/>
              </w:rPr>
              <w:t>（</w:t>
            </w:r>
            <w:r>
              <w:rPr>
                <w:kern w:val="0"/>
                <w:sz w:val="24"/>
              </w:rPr>
              <w:t>CO</w:t>
            </w:r>
            <w:r>
              <w:rPr>
                <w:rFonts w:hint="eastAsia"/>
                <w:kern w:val="0"/>
                <w:sz w:val="24"/>
                <w:lang w:eastAsia="zh-CN"/>
              </w:rPr>
              <w:t>）</w:t>
            </w:r>
            <w:r>
              <w:rPr>
                <w:kern w:val="0"/>
                <w:sz w:val="24"/>
              </w:rPr>
              <w:t>、臭氧</w:t>
            </w:r>
            <w:r>
              <w:rPr>
                <w:rFonts w:hint="eastAsia"/>
                <w:kern w:val="0"/>
                <w:sz w:val="24"/>
                <w:lang w:eastAsia="zh-CN"/>
              </w:rPr>
              <w:t>（</w:t>
            </w:r>
            <w:r>
              <w:rPr>
                <w:kern w:val="0"/>
                <w:sz w:val="24"/>
              </w:rPr>
              <w:t>O</w:t>
            </w:r>
            <w:r>
              <w:rPr>
                <w:kern w:val="0"/>
                <w:sz w:val="24"/>
                <w:vertAlign w:val="subscript"/>
              </w:rPr>
              <w:t>3</w:t>
            </w:r>
            <w:r>
              <w:rPr>
                <w:rFonts w:hint="eastAsia"/>
                <w:kern w:val="0"/>
                <w:sz w:val="24"/>
                <w:vertAlign w:val="subscript"/>
                <w:lang w:eastAsia="zh-CN"/>
              </w:rPr>
              <w:t>）</w:t>
            </w:r>
            <w:r>
              <w:rPr>
                <w:kern w:val="0"/>
                <w:sz w:val="24"/>
              </w:rPr>
              <w:t>六项污染物进行评价，六项污染物全部达标即为城市环境空气质量达标。SO</w:t>
            </w:r>
            <w:r>
              <w:rPr>
                <w:kern w:val="0"/>
                <w:sz w:val="24"/>
                <w:vertAlign w:val="subscript"/>
              </w:rPr>
              <w:t>2</w:t>
            </w:r>
            <w:r>
              <w:rPr>
                <w:kern w:val="0"/>
                <w:sz w:val="24"/>
              </w:rPr>
              <w:t>、NO</w:t>
            </w:r>
            <w:r>
              <w:rPr>
                <w:kern w:val="0"/>
                <w:sz w:val="24"/>
                <w:vertAlign w:val="subscript"/>
              </w:rPr>
              <w:t>2</w:t>
            </w:r>
            <w:r>
              <w:rPr>
                <w:kern w:val="0"/>
                <w:sz w:val="24"/>
              </w:rPr>
              <w:t>、PM</w:t>
            </w:r>
            <w:r>
              <w:rPr>
                <w:kern w:val="0"/>
                <w:sz w:val="24"/>
                <w:vertAlign w:val="subscript"/>
              </w:rPr>
              <w:t>10</w:t>
            </w:r>
            <w:r>
              <w:rPr>
                <w:kern w:val="0"/>
                <w:sz w:val="24"/>
              </w:rPr>
              <w:t>和PM</w:t>
            </w:r>
            <w:r>
              <w:rPr>
                <w:kern w:val="0"/>
                <w:sz w:val="24"/>
                <w:vertAlign w:val="subscript"/>
              </w:rPr>
              <w:t>2.5</w:t>
            </w:r>
            <w:r>
              <w:rPr>
                <w:kern w:val="0"/>
                <w:sz w:val="24"/>
              </w:rPr>
              <w:t>年度达标情况由该项污染物年平均浓度对照年平均标准确定，CO年度达标情况由CO日</w:t>
            </w:r>
            <w:r>
              <w:rPr>
                <w:sz w:val="24"/>
              </w:rPr>
              <w:t>均值第95百分位数浓度对照24小时平均标准确定，O</w:t>
            </w:r>
            <w:r>
              <w:rPr>
                <w:sz w:val="24"/>
                <w:vertAlign w:val="subscript"/>
              </w:rPr>
              <w:t>3</w:t>
            </w:r>
            <w:r>
              <w:rPr>
                <w:sz w:val="24"/>
              </w:rPr>
              <w:t>年度达标情况由O3日最大8小时平均第90百分位数浓度对照8小时平均标准确定。达到或好于国家环境空气质量二级标准为达标，超过二级标准为超标。</w:t>
            </w:r>
          </w:p>
          <w:p w14:paraId="2707E1AE">
            <w:pPr>
              <w:adjustRightInd w:val="0"/>
              <w:snapToGrid w:val="0"/>
              <w:spacing w:line="480" w:lineRule="exact"/>
              <w:ind w:right="77" w:rightChars="37" w:firstLine="480" w:firstLineChars="200"/>
              <w:jc w:val="left"/>
              <w:rPr>
                <w:sz w:val="24"/>
              </w:rPr>
            </w:pPr>
            <w:r>
              <w:rPr>
                <w:b/>
                <w:bCs/>
                <w:sz w:val="24"/>
              </w:rPr>
              <w:t>报告数据显示</w:t>
            </w:r>
            <w:r>
              <w:rPr>
                <w:sz w:val="24"/>
              </w:rPr>
              <w:t>：全市11个</w:t>
            </w:r>
            <w:r>
              <w:rPr>
                <w:rFonts w:hint="eastAsia"/>
                <w:sz w:val="24"/>
                <w:lang w:eastAsia="zh-CN"/>
              </w:rPr>
              <w:t>县（市、区）</w:t>
            </w:r>
            <w:r>
              <w:rPr>
                <w:sz w:val="24"/>
              </w:rPr>
              <w:t>环境空气中二氧化硫、二氧化氮、臭氧、一氧化碳和可吸入颗粒物年均浓度分别为12.9μg/m</w:t>
            </w:r>
            <w:r>
              <w:rPr>
                <w:sz w:val="24"/>
                <w:vertAlign w:val="superscript"/>
              </w:rPr>
              <w:t>3</w:t>
            </w:r>
            <w:r>
              <w:rPr>
                <w:sz w:val="24"/>
              </w:rPr>
              <w:t>、24.0μg/m</w:t>
            </w:r>
            <w:r>
              <w:rPr>
                <w:sz w:val="24"/>
                <w:vertAlign w:val="superscript"/>
              </w:rPr>
              <w:t>3</w:t>
            </w:r>
            <w:r>
              <w:rPr>
                <w:sz w:val="24"/>
              </w:rPr>
              <w:t>、121.4μg/m</w:t>
            </w:r>
            <w:r>
              <w:rPr>
                <w:sz w:val="24"/>
                <w:vertAlign w:val="superscript"/>
              </w:rPr>
              <w:t>3</w:t>
            </w:r>
            <w:r>
              <w:rPr>
                <w:sz w:val="24"/>
              </w:rPr>
              <w:t>、1.4μg/m</w:t>
            </w:r>
            <w:r>
              <w:rPr>
                <w:sz w:val="24"/>
                <w:vertAlign w:val="superscript"/>
              </w:rPr>
              <w:t>3</w:t>
            </w:r>
            <w:r>
              <w:rPr>
                <w:sz w:val="24"/>
              </w:rPr>
              <w:t>和61.7mg/m</w:t>
            </w:r>
            <w:r>
              <w:rPr>
                <w:sz w:val="24"/>
                <w:vertAlign w:val="superscript"/>
              </w:rPr>
              <w:t>3</w:t>
            </w:r>
            <w:r>
              <w:rPr>
                <w:sz w:val="24"/>
              </w:rPr>
              <w:t>，均优于国家环境空气二级标准；细颗粒物平均浓度为39.1μg/m</w:t>
            </w:r>
            <w:r>
              <w:rPr>
                <w:sz w:val="24"/>
                <w:vertAlign w:val="superscript"/>
              </w:rPr>
              <w:t>3</w:t>
            </w:r>
            <w:r>
              <w:rPr>
                <w:sz w:val="24"/>
              </w:rPr>
              <w:t>，超过国家环境空气二级标准。</w:t>
            </w:r>
          </w:p>
          <w:p w14:paraId="74698ED9">
            <w:pPr>
              <w:adjustRightInd w:val="0"/>
              <w:snapToGrid w:val="0"/>
              <w:spacing w:line="480" w:lineRule="exact"/>
              <w:ind w:right="77" w:rightChars="37" w:firstLine="480" w:firstLineChars="200"/>
              <w:jc w:val="left"/>
              <w:rPr>
                <w:b/>
                <w:sz w:val="24"/>
              </w:rPr>
            </w:pPr>
            <w:r>
              <w:rPr>
                <w:b/>
                <w:sz w:val="24"/>
              </w:rPr>
              <w:t>根据以上分析，项目所在</w:t>
            </w:r>
            <w:r>
              <w:rPr>
                <w:rFonts w:hint="eastAsia"/>
                <w:b/>
                <w:sz w:val="24"/>
              </w:rPr>
              <w:t>乐山</w:t>
            </w:r>
            <w:r>
              <w:rPr>
                <w:b/>
                <w:sz w:val="24"/>
              </w:rPr>
              <w:t>区域环境空气质量不达标，属于不达标区。</w:t>
            </w:r>
          </w:p>
          <w:p w14:paraId="5F0B48B1">
            <w:pPr>
              <w:widowControl/>
              <w:spacing w:line="360" w:lineRule="auto"/>
              <w:ind w:firstLine="480"/>
              <w:rPr>
                <w:sz w:val="24"/>
              </w:rPr>
            </w:pPr>
            <w:r>
              <w:rPr>
                <w:sz w:val="24"/>
              </w:rPr>
              <w:fldChar w:fldCharType="begin"/>
            </w:r>
            <w:r>
              <w:rPr>
                <w:sz w:val="24"/>
              </w:rPr>
              <w:instrText xml:space="preserve"> = 3 \* GB3 </w:instrText>
            </w:r>
            <w:r>
              <w:rPr>
                <w:sz w:val="24"/>
              </w:rPr>
              <w:fldChar w:fldCharType="separate"/>
            </w:r>
            <w:r>
              <w:rPr>
                <w:rFonts w:hint="eastAsia" w:ascii="宋体" w:hAnsi="宋体" w:cs="宋体"/>
                <w:sz w:val="24"/>
              </w:rPr>
              <w:t>③</w:t>
            </w:r>
            <w:r>
              <w:rPr>
                <w:sz w:val="24"/>
              </w:rPr>
              <w:fldChar w:fldCharType="end"/>
            </w:r>
            <w:r>
              <w:rPr>
                <w:rFonts w:hint="eastAsia"/>
                <w:sz w:val="24"/>
              </w:rPr>
              <w:t>补充数据</w:t>
            </w:r>
          </w:p>
          <w:p w14:paraId="4EF0878A">
            <w:pPr>
              <w:widowControl/>
              <w:spacing w:line="360" w:lineRule="auto"/>
              <w:ind w:firstLine="480"/>
              <w:rPr>
                <w:color w:val="000000"/>
                <w:kern w:val="0"/>
                <w:sz w:val="24"/>
              </w:rPr>
            </w:pPr>
            <w:r>
              <w:rPr>
                <w:rFonts w:hint="eastAsia"/>
                <w:sz w:val="24"/>
              </w:rPr>
              <w:t>根据四川蜀环环境检测有限责任公司于2020年3月编制的《乐山市</w:t>
            </w:r>
            <w:r>
              <w:rPr>
                <w:rFonts w:hint="eastAsia"/>
                <w:sz w:val="24"/>
                <w:lang w:eastAsia="zh-CN"/>
              </w:rPr>
              <w:t>峨边彝族自治县</w:t>
            </w:r>
            <w:r>
              <w:rPr>
                <w:rFonts w:hint="eastAsia"/>
                <w:sz w:val="24"/>
              </w:rPr>
              <w:t>环境空气质量监测点位调整技术报告》大气自动检测站（县政府站点）数据，详见下表：</w:t>
            </w:r>
          </w:p>
          <w:p w14:paraId="7C8C9FC8">
            <w:pPr>
              <w:widowControl/>
              <w:snapToGrid w:val="0"/>
              <w:spacing w:line="360" w:lineRule="auto"/>
              <w:contextualSpacing/>
              <w:jc w:val="center"/>
              <w:rPr>
                <w:color w:val="000000"/>
                <w:kern w:val="0"/>
                <w:szCs w:val="22"/>
              </w:rPr>
            </w:pPr>
            <w:r>
              <w:rPr>
                <w:color w:val="000000"/>
                <w:kern w:val="0"/>
                <w:sz w:val="24"/>
              </w:rPr>
              <w:t>表3-2  20</w:t>
            </w:r>
            <w:r>
              <w:rPr>
                <w:rFonts w:hint="eastAsia"/>
                <w:color w:val="000000"/>
                <w:kern w:val="0"/>
                <w:sz w:val="24"/>
              </w:rPr>
              <w:t>20年3月</w:t>
            </w:r>
            <w:r>
              <w:rPr>
                <w:color w:val="000000"/>
                <w:kern w:val="0"/>
                <w:sz w:val="24"/>
              </w:rPr>
              <w:t>空气污染物监测数据</w:t>
            </w:r>
            <w:r>
              <w:rPr>
                <w:rFonts w:hint="eastAsia"/>
                <w:color w:val="000000"/>
                <w:kern w:val="0"/>
                <w:sz w:val="24"/>
              </w:rPr>
              <w:t>（县政府站点）</w:t>
            </w:r>
          </w:p>
          <w:tbl>
            <w:tblPr>
              <w:tblStyle w:val="25"/>
              <w:tblW w:w="5000" w:type="pct"/>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15" w:type="dxa"/>
                <w:left w:w="15" w:type="dxa"/>
                <w:bottom w:w="15" w:type="dxa"/>
                <w:right w:w="15" w:type="dxa"/>
              </w:tblCellMar>
            </w:tblPr>
            <w:tblGrid>
              <w:gridCol w:w="1295"/>
              <w:gridCol w:w="1162"/>
              <w:gridCol w:w="1172"/>
              <w:gridCol w:w="1170"/>
              <w:gridCol w:w="1170"/>
              <w:gridCol w:w="1170"/>
              <w:gridCol w:w="1173"/>
            </w:tblGrid>
            <w:tr w14:paraId="37F2D2E2">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auto" w:sz="4" w:space="0"/>
                    <w:left w:val="single" w:color="auto" w:sz="4" w:space="0"/>
                    <w:bottom w:val="single" w:color="000000" w:sz="4" w:space="0"/>
                    <w:right w:val="single" w:color="000000" w:sz="4" w:space="0"/>
                    <w:tl2br w:val="single" w:color="000000" w:sz="4" w:space="0"/>
                  </w:tcBorders>
                  <w:vAlign w:val="center"/>
                </w:tcPr>
                <w:p w14:paraId="39DAB604">
                  <w:pPr>
                    <w:widowControl/>
                    <w:snapToGrid w:val="0"/>
                    <w:jc w:val="center"/>
                    <w:textAlignment w:val="center"/>
                    <w:rPr>
                      <w:rFonts w:eastAsia="等线"/>
                      <w:color w:val="000000"/>
                      <w:kern w:val="0"/>
                      <w:szCs w:val="21"/>
                    </w:rPr>
                  </w:pPr>
                  <w:r>
                    <w:rPr>
                      <w:rFonts w:eastAsia="等线"/>
                      <w:color w:val="000000"/>
                      <w:kern w:val="0"/>
                      <w:szCs w:val="21"/>
                    </w:rPr>
                    <w:t>污染物</w:t>
                  </w:r>
                </w:p>
                <w:p w14:paraId="168582C2">
                  <w:pPr>
                    <w:widowControl/>
                    <w:snapToGrid w:val="0"/>
                    <w:jc w:val="center"/>
                    <w:textAlignment w:val="center"/>
                    <w:rPr>
                      <w:rFonts w:eastAsia="等线"/>
                      <w:color w:val="000000"/>
                      <w:szCs w:val="21"/>
                    </w:rPr>
                  </w:pPr>
                  <w:r>
                    <w:rPr>
                      <w:rFonts w:eastAsia="等线"/>
                      <w:color w:val="000000"/>
                      <w:kern w:val="0"/>
                      <w:szCs w:val="21"/>
                    </w:rPr>
                    <w:t>时间</w:t>
                  </w:r>
                </w:p>
              </w:tc>
              <w:tc>
                <w:tcPr>
                  <w:tcW w:w="699" w:type="pct"/>
                  <w:tcBorders>
                    <w:top w:val="single" w:color="auto" w:sz="4" w:space="0"/>
                    <w:left w:val="single" w:color="000000" w:sz="4" w:space="0"/>
                    <w:bottom w:val="single" w:color="000000" w:sz="4" w:space="0"/>
                  </w:tcBorders>
                  <w:vAlign w:val="center"/>
                </w:tcPr>
                <w:p w14:paraId="1AF61502">
                  <w:pPr>
                    <w:widowControl/>
                    <w:snapToGrid w:val="0"/>
                    <w:jc w:val="center"/>
                    <w:textAlignment w:val="center"/>
                    <w:rPr>
                      <w:rFonts w:eastAsia="等线"/>
                      <w:color w:val="000000"/>
                      <w:szCs w:val="21"/>
                    </w:rPr>
                  </w:pPr>
                  <w:r>
                    <w:rPr>
                      <w:rFonts w:eastAsia="等线"/>
                      <w:color w:val="000000"/>
                      <w:kern w:val="0"/>
                      <w:szCs w:val="21"/>
                      <w:lang w:bidi="ar"/>
                    </w:rPr>
                    <w:t>SO</w:t>
                  </w:r>
                  <w:r>
                    <w:rPr>
                      <w:rFonts w:eastAsia="等线"/>
                      <w:color w:val="000000"/>
                      <w:kern w:val="0"/>
                      <w:szCs w:val="21"/>
                      <w:vertAlign w:val="subscript"/>
                      <w:lang w:bidi="ar"/>
                    </w:rPr>
                    <w:t>2</w:t>
                  </w:r>
                  <w:r>
                    <w:rPr>
                      <w:rFonts w:eastAsia="等线"/>
                      <w:color w:val="000000"/>
                      <w:kern w:val="0"/>
                      <w:szCs w:val="21"/>
                      <w:lang w:bidi="ar"/>
                    </w:rPr>
                    <w:t>(</w:t>
                  </w:r>
                  <w:r>
                    <w:rPr>
                      <w:rFonts w:hint="eastAsia" w:eastAsia="等线"/>
                      <w:color w:val="000000"/>
                      <w:kern w:val="0"/>
                      <w:szCs w:val="21"/>
                      <w:lang w:eastAsia="zh-CN" w:bidi="ar"/>
                    </w:rPr>
                    <w:t>μg/m3</w:t>
                  </w:r>
                  <w:r>
                    <w:rPr>
                      <w:rFonts w:eastAsia="等线"/>
                      <w:color w:val="000000"/>
                      <w:kern w:val="0"/>
                      <w:szCs w:val="21"/>
                      <w:lang w:bidi="ar"/>
                    </w:rPr>
                    <w:t>)</w:t>
                  </w:r>
                </w:p>
              </w:tc>
              <w:tc>
                <w:tcPr>
                  <w:tcW w:w="705" w:type="pct"/>
                  <w:tcBorders>
                    <w:top w:val="single" w:color="auto" w:sz="4" w:space="0"/>
                    <w:bottom w:val="single" w:color="000000" w:sz="4" w:space="0"/>
                  </w:tcBorders>
                  <w:vAlign w:val="center"/>
                </w:tcPr>
                <w:p w14:paraId="6D90C0F8">
                  <w:pPr>
                    <w:widowControl/>
                    <w:snapToGrid w:val="0"/>
                    <w:jc w:val="center"/>
                    <w:textAlignment w:val="center"/>
                    <w:rPr>
                      <w:rFonts w:eastAsia="等线"/>
                      <w:color w:val="000000"/>
                      <w:szCs w:val="21"/>
                    </w:rPr>
                  </w:pPr>
                  <w:r>
                    <w:rPr>
                      <w:rFonts w:eastAsia="等线"/>
                      <w:color w:val="000000"/>
                      <w:kern w:val="0"/>
                      <w:szCs w:val="21"/>
                      <w:lang w:bidi="ar"/>
                    </w:rPr>
                    <w:t>NO</w:t>
                  </w:r>
                  <w:r>
                    <w:rPr>
                      <w:rFonts w:eastAsia="等线"/>
                      <w:color w:val="000000"/>
                      <w:kern w:val="0"/>
                      <w:szCs w:val="21"/>
                      <w:vertAlign w:val="subscript"/>
                      <w:lang w:bidi="ar"/>
                    </w:rPr>
                    <w:t>2</w:t>
                  </w:r>
                  <w:r>
                    <w:rPr>
                      <w:rFonts w:eastAsia="等线"/>
                      <w:color w:val="000000"/>
                      <w:kern w:val="0"/>
                      <w:szCs w:val="21"/>
                      <w:lang w:bidi="ar"/>
                    </w:rPr>
                    <w:t>(</w:t>
                  </w:r>
                  <w:r>
                    <w:rPr>
                      <w:rFonts w:hint="eastAsia" w:eastAsia="等线"/>
                      <w:color w:val="000000"/>
                      <w:kern w:val="0"/>
                      <w:szCs w:val="21"/>
                      <w:lang w:eastAsia="zh-CN" w:bidi="ar"/>
                    </w:rPr>
                    <w:t>μg/m3</w:t>
                  </w:r>
                  <w:r>
                    <w:rPr>
                      <w:rFonts w:eastAsia="等线"/>
                      <w:color w:val="000000"/>
                      <w:kern w:val="0"/>
                      <w:szCs w:val="21"/>
                      <w:lang w:bidi="ar"/>
                    </w:rPr>
                    <w:t>)</w:t>
                  </w:r>
                </w:p>
              </w:tc>
              <w:tc>
                <w:tcPr>
                  <w:tcW w:w="704" w:type="pct"/>
                  <w:tcBorders>
                    <w:top w:val="single" w:color="auto" w:sz="4" w:space="0"/>
                    <w:bottom w:val="single" w:color="000000" w:sz="4" w:space="0"/>
                  </w:tcBorders>
                  <w:vAlign w:val="center"/>
                </w:tcPr>
                <w:p w14:paraId="6547E2BA">
                  <w:pPr>
                    <w:widowControl/>
                    <w:snapToGrid w:val="0"/>
                    <w:jc w:val="center"/>
                    <w:textAlignment w:val="center"/>
                    <w:rPr>
                      <w:rFonts w:eastAsia="等线"/>
                      <w:color w:val="000000"/>
                      <w:szCs w:val="21"/>
                    </w:rPr>
                  </w:pPr>
                  <w:r>
                    <w:rPr>
                      <w:rFonts w:eastAsia="等线"/>
                      <w:color w:val="000000"/>
                      <w:kern w:val="0"/>
                      <w:szCs w:val="21"/>
                      <w:lang w:bidi="ar"/>
                    </w:rPr>
                    <w:t>CO(mg/m</w:t>
                  </w:r>
                  <w:r>
                    <w:rPr>
                      <w:rFonts w:ascii="宋体" w:hAnsi="宋体" w:eastAsia="等线" w:cs="宋体"/>
                      <w:color w:val="000000"/>
                      <w:szCs w:val="21"/>
                      <w:vertAlign w:val="superscript"/>
                      <w:lang w:bidi="ar"/>
                    </w:rPr>
                    <w:t>3</w:t>
                  </w:r>
                  <w:r>
                    <w:rPr>
                      <w:rFonts w:ascii="宋体" w:hAnsi="宋体" w:eastAsia="等线" w:cs="宋体"/>
                      <w:color w:val="000000"/>
                      <w:szCs w:val="21"/>
                      <w:lang w:bidi="ar"/>
                    </w:rPr>
                    <w:t>)</w:t>
                  </w:r>
                </w:p>
              </w:tc>
              <w:tc>
                <w:tcPr>
                  <w:tcW w:w="704" w:type="pct"/>
                  <w:tcBorders>
                    <w:top w:val="single" w:color="auto" w:sz="4" w:space="0"/>
                    <w:bottom w:val="single" w:color="000000" w:sz="4" w:space="0"/>
                  </w:tcBorders>
                  <w:vAlign w:val="center"/>
                </w:tcPr>
                <w:p w14:paraId="11D1E47F">
                  <w:pPr>
                    <w:widowControl/>
                    <w:snapToGrid w:val="0"/>
                    <w:jc w:val="center"/>
                    <w:textAlignment w:val="center"/>
                    <w:rPr>
                      <w:rFonts w:eastAsia="等线"/>
                      <w:color w:val="000000"/>
                      <w:szCs w:val="21"/>
                    </w:rPr>
                  </w:pPr>
                  <w:r>
                    <w:rPr>
                      <w:rFonts w:eastAsia="等线"/>
                      <w:color w:val="000000"/>
                      <w:kern w:val="0"/>
                      <w:szCs w:val="21"/>
                      <w:lang w:bidi="ar"/>
                    </w:rPr>
                    <w:t>O</w:t>
                  </w:r>
                  <w:r>
                    <w:rPr>
                      <w:rFonts w:eastAsia="等线"/>
                      <w:color w:val="000000"/>
                      <w:kern w:val="0"/>
                      <w:szCs w:val="21"/>
                      <w:vertAlign w:val="subscript"/>
                      <w:lang w:bidi="ar"/>
                    </w:rPr>
                    <w:t>3</w:t>
                  </w:r>
                  <w:r>
                    <w:rPr>
                      <w:rFonts w:eastAsia="等线"/>
                      <w:color w:val="000000"/>
                      <w:kern w:val="0"/>
                      <w:szCs w:val="21"/>
                      <w:lang w:bidi="ar"/>
                    </w:rPr>
                    <w:t>(</w:t>
                  </w:r>
                  <w:r>
                    <w:rPr>
                      <w:rFonts w:hint="eastAsia" w:eastAsia="等线"/>
                      <w:color w:val="000000"/>
                      <w:kern w:val="0"/>
                      <w:szCs w:val="21"/>
                      <w:lang w:eastAsia="zh-CN" w:bidi="ar"/>
                    </w:rPr>
                    <w:t>μg/m3</w:t>
                  </w:r>
                  <w:r>
                    <w:rPr>
                      <w:rFonts w:eastAsia="等线"/>
                      <w:color w:val="000000"/>
                      <w:kern w:val="0"/>
                      <w:szCs w:val="21"/>
                      <w:lang w:bidi="ar"/>
                    </w:rPr>
                    <w:t>)</w:t>
                  </w:r>
                </w:p>
              </w:tc>
              <w:tc>
                <w:tcPr>
                  <w:tcW w:w="704" w:type="pct"/>
                  <w:tcBorders>
                    <w:top w:val="single" w:color="auto" w:sz="4" w:space="0"/>
                    <w:bottom w:val="single" w:color="000000" w:sz="4" w:space="0"/>
                  </w:tcBorders>
                  <w:vAlign w:val="center"/>
                </w:tcPr>
                <w:p w14:paraId="3C379755">
                  <w:pPr>
                    <w:widowControl/>
                    <w:snapToGrid w:val="0"/>
                    <w:jc w:val="center"/>
                    <w:textAlignment w:val="center"/>
                    <w:rPr>
                      <w:rFonts w:eastAsia="等线"/>
                      <w:color w:val="000000"/>
                      <w:szCs w:val="21"/>
                    </w:rPr>
                  </w:pPr>
                  <w:r>
                    <w:rPr>
                      <w:rFonts w:eastAsia="等线"/>
                      <w:color w:val="000000"/>
                      <w:kern w:val="0"/>
                      <w:szCs w:val="21"/>
                      <w:lang w:bidi="ar"/>
                    </w:rPr>
                    <w:t>PM</w:t>
                  </w:r>
                  <w:r>
                    <w:rPr>
                      <w:rFonts w:eastAsia="等线"/>
                      <w:color w:val="000000"/>
                      <w:kern w:val="0"/>
                      <w:szCs w:val="21"/>
                      <w:vertAlign w:val="subscript"/>
                      <w:lang w:bidi="ar"/>
                    </w:rPr>
                    <w:t>2.5</w:t>
                  </w:r>
                  <w:r>
                    <w:rPr>
                      <w:rFonts w:eastAsia="等线"/>
                      <w:color w:val="000000"/>
                      <w:kern w:val="0"/>
                      <w:szCs w:val="21"/>
                      <w:lang w:bidi="ar"/>
                    </w:rPr>
                    <w:t>(</w:t>
                  </w:r>
                  <w:r>
                    <w:rPr>
                      <w:rFonts w:hint="eastAsia" w:eastAsia="等线"/>
                      <w:color w:val="000000"/>
                      <w:kern w:val="0"/>
                      <w:szCs w:val="21"/>
                      <w:lang w:eastAsia="zh-CN" w:bidi="ar"/>
                    </w:rPr>
                    <w:t>μg/m3</w:t>
                  </w:r>
                  <w:r>
                    <w:rPr>
                      <w:rFonts w:eastAsia="等线"/>
                      <w:color w:val="000000"/>
                      <w:kern w:val="0"/>
                      <w:szCs w:val="21"/>
                      <w:lang w:bidi="ar"/>
                    </w:rPr>
                    <w:t>)</w:t>
                  </w:r>
                </w:p>
              </w:tc>
              <w:tc>
                <w:tcPr>
                  <w:tcW w:w="705" w:type="pct"/>
                  <w:tcBorders>
                    <w:top w:val="single" w:color="auto" w:sz="4" w:space="0"/>
                    <w:left w:val="single" w:color="000000" w:sz="4" w:space="0"/>
                    <w:bottom w:val="single" w:color="000000" w:sz="4" w:space="0"/>
                    <w:right w:val="single" w:color="auto" w:sz="4" w:space="0"/>
                  </w:tcBorders>
                  <w:vAlign w:val="center"/>
                </w:tcPr>
                <w:p w14:paraId="3BB55E63">
                  <w:pPr>
                    <w:widowControl/>
                    <w:snapToGrid w:val="0"/>
                    <w:jc w:val="center"/>
                    <w:textAlignment w:val="center"/>
                    <w:rPr>
                      <w:rFonts w:eastAsia="等线"/>
                      <w:color w:val="000000"/>
                      <w:szCs w:val="21"/>
                    </w:rPr>
                  </w:pPr>
                  <w:r>
                    <w:rPr>
                      <w:rFonts w:eastAsia="等线"/>
                      <w:color w:val="000000"/>
                      <w:kern w:val="0"/>
                      <w:szCs w:val="21"/>
                      <w:lang w:bidi="ar"/>
                    </w:rPr>
                    <w:t>PM</w:t>
                  </w:r>
                  <w:r>
                    <w:rPr>
                      <w:rFonts w:eastAsia="等线"/>
                      <w:color w:val="000000"/>
                      <w:kern w:val="0"/>
                      <w:szCs w:val="21"/>
                      <w:vertAlign w:val="subscript"/>
                      <w:lang w:bidi="ar"/>
                    </w:rPr>
                    <w:t>10</w:t>
                  </w:r>
                  <w:r>
                    <w:rPr>
                      <w:rFonts w:eastAsia="等线"/>
                      <w:color w:val="000000"/>
                      <w:kern w:val="0"/>
                      <w:szCs w:val="21"/>
                      <w:lang w:bidi="ar"/>
                    </w:rPr>
                    <w:t>(</w:t>
                  </w:r>
                  <w:r>
                    <w:rPr>
                      <w:rFonts w:hint="eastAsia" w:eastAsia="等线"/>
                      <w:color w:val="000000"/>
                      <w:kern w:val="0"/>
                      <w:szCs w:val="21"/>
                      <w:lang w:eastAsia="zh-CN" w:bidi="ar"/>
                    </w:rPr>
                    <w:t>μg/m3</w:t>
                  </w:r>
                  <w:r>
                    <w:rPr>
                      <w:rFonts w:eastAsia="等线"/>
                      <w:color w:val="000000"/>
                      <w:kern w:val="0"/>
                      <w:szCs w:val="21"/>
                      <w:lang w:bidi="ar"/>
                    </w:rPr>
                    <w:t>)</w:t>
                  </w:r>
                </w:p>
              </w:tc>
            </w:tr>
            <w:tr w14:paraId="11B5D88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7990F68C">
                  <w:pPr>
                    <w:widowControl/>
                    <w:snapToGrid w:val="0"/>
                    <w:jc w:val="center"/>
                    <w:textAlignment w:val="center"/>
                    <w:rPr>
                      <w:rFonts w:eastAsia="等线"/>
                      <w:color w:val="000000"/>
                      <w:kern w:val="0"/>
                      <w:szCs w:val="21"/>
                    </w:rPr>
                  </w:pPr>
                  <w:r>
                    <w:rPr>
                      <w:rFonts w:eastAsia="等线"/>
                      <w:color w:val="000000"/>
                      <w:kern w:val="0"/>
                      <w:szCs w:val="21"/>
                      <w:lang w:bidi="ar"/>
                    </w:rPr>
                    <w:t>3月1日</w:t>
                  </w:r>
                </w:p>
              </w:tc>
              <w:tc>
                <w:tcPr>
                  <w:tcW w:w="699" w:type="pct"/>
                  <w:tcBorders>
                    <w:top w:val="single" w:color="000000" w:sz="4" w:space="0"/>
                    <w:bottom w:val="single" w:color="000000" w:sz="4" w:space="0"/>
                  </w:tcBorders>
                  <w:shd w:val="clear" w:color="auto" w:fill="FFFFFF"/>
                  <w:vAlign w:val="center"/>
                </w:tcPr>
                <w:p w14:paraId="494F5FE1">
                  <w:pPr>
                    <w:widowControl/>
                    <w:snapToGrid w:val="0"/>
                    <w:jc w:val="center"/>
                    <w:textAlignment w:val="center"/>
                    <w:rPr>
                      <w:rFonts w:eastAsia="等线"/>
                      <w:color w:val="000000"/>
                      <w:szCs w:val="21"/>
                    </w:rPr>
                  </w:pPr>
                  <w:r>
                    <w:rPr>
                      <w:rFonts w:eastAsia="等线"/>
                      <w:color w:val="000000"/>
                      <w:kern w:val="0"/>
                      <w:szCs w:val="21"/>
                      <w:lang w:bidi="ar"/>
                    </w:rPr>
                    <w:t>15</w:t>
                  </w:r>
                </w:p>
              </w:tc>
              <w:tc>
                <w:tcPr>
                  <w:tcW w:w="705" w:type="pct"/>
                  <w:tcBorders>
                    <w:top w:val="single" w:color="000000" w:sz="4" w:space="0"/>
                    <w:bottom w:val="single" w:color="000000" w:sz="4" w:space="0"/>
                  </w:tcBorders>
                  <w:shd w:val="clear" w:color="auto" w:fill="FFFFFF"/>
                  <w:vAlign w:val="center"/>
                </w:tcPr>
                <w:p w14:paraId="051E20DF">
                  <w:pPr>
                    <w:widowControl/>
                    <w:snapToGrid w:val="0"/>
                    <w:jc w:val="center"/>
                    <w:textAlignment w:val="center"/>
                    <w:rPr>
                      <w:rFonts w:eastAsia="等线"/>
                      <w:color w:val="000000"/>
                      <w:szCs w:val="21"/>
                    </w:rPr>
                  </w:pPr>
                  <w:r>
                    <w:rPr>
                      <w:rFonts w:eastAsia="等线"/>
                      <w:color w:val="000000"/>
                      <w:kern w:val="0"/>
                      <w:szCs w:val="21"/>
                      <w:lang w:bidi="ar"/>
                    </w:rPr>
                    <w:t>33</w:t>
                  </w:r>
                </w:p>
              </w:tc>
              <w:tc>
                <w:tcPr>
                  <w:tcW w:w="704" w:type="pct"/>
                  <w:tcBorders>
                    <w:top w:val="single" w:color="000000" w:sz="4" w:space="0"/>
                    <w:bottom w:val="single" w:color="000000" w:sz="4" w:space="0"/>
                  </w:tcBorders>
                  <w:shd w:val="clear" w:color="auto" w:fill="FFFFFF"/>
                  <w:vAlign w:val="center"/>
                </w:tcPr>
                <w:p w14:paraId="6FDFAE3A">
                  <w:pPr>
                    <w:widowControl/>
                    <w:snapToGrid w:val="0"/>
                    <w:jc w:val="center"/>
                    <w:textAlignment w:val="center"/>
                    <w:rPr>
                      <w:rFonts w:eastAsia="等线"/>
                      <w:color w:val="000000"/>
                      <w:szCs w:val="21"/>
                    </w:rPr>
                  </w:pPr>
                  <w:r>
                    <w:rPr>
                      <w:rFonts w:eastAsia="等线"/>
                      <w:color w:val="000000"/>
                      <w:kern w:val="0"/>
                      <w:szCs w:val="21"/>
                      <w:lang w:bidi="ar"/>
                    </w:rPr>
                    <w:t>0.70</w:t>
                  </w:r>
                </w:p>
              </w:tc>
              <w:tc>
                <w:tcPr>
                  <w:tcW w:w="704" w:type="pct"/>
                  <w:tcBorders>
                    <w:top w:val="single" w:color="000000" w:sz="4" w:space="0"/>
                    <w:bottom w:val="single" w:color="000000" w:sz="4" w:space="0"/>
                  </w:tcBorders>
                  <w:shd w:val="clear" w:color="auto" w:fill="FFFFFF"/>
                  <w:vAlign w:val="center"/>
                </w:tcPr>
                <w:p w14:paraId="732BCF25">
                  <w:pPr>
                    <w:widowControl/>
                    <w:snapToGrid w:val="0"/>
                    <w:jc w:val="center"/>
                    <w:textAlignment w:val="center"/>
                    <w:rPr>
                      <w:rFonts w:eastAsia="等线"/>
                      <w:color w:val="000000"/>
                      <w:szCs w:val="21"/>
                    </w:rPr>
                  </w:pPr>
                  <w:r>
                    <w:rPr>
                      <w:rFonts w:eastAsia="等线"/>
                      <w:color w:val="000000"/>
                      <w:kern w:val="0"/>
                      <w:szCs w:val="21"/>
                      <w:lang w:bidi="ar"/>
                    </w:rPr>
                    <w:t>77</w:t>
                  </w:r>
                </w:p>
              </w:tc>
              <w:tc>
                <w:tcPr>
                  <w:tcW w:w="704" w:type="pct"/>
                  <w:tcBorders>
                    <w:top w:val="single" w:color="000000" w:sz="4" w:space="0"/>
                    <w:bottom w:val="single" w:color="000000" w:sz="4" w:space="0"/>
                  </w:tcBorders>
                  <w:shd w:val="clear" w:color="auto" w:fill="FFFFFF"/>
                  <w:vAlign w:val="center"/>
                </w:tcPr>
                <w:p w14:paraId="72B6A3D1">
                  <w:pPr>
                    <w:widowControl/>
                    <w:snapToGrid w:val="0"/>
                    <w:jc w:val="center"/>
                    <w:textAlignment w:val="center"/>
                    <w:rPr>
                      <w:rFonts w:eastAsia="等线"/>
                      <w:color w:val="000000"/>
                      <w:szCs w:val="21"/>
                    </w:rPr>
                  </w:pPr>
                  <w:r>
                    <w:rPr>
                      <w:rFonts w:eastAsia="等线"/>
                      <w:color w:val="000000"/>
                      <w:kern w:val="0"/>
                      <w:szCs w:val="21"/>
                      <w:lang w:bidi="ar"/>
                    </w:rPr>
                    <w:t>39</w:t>
                  </w:r>
                </w:p>
              </w:tc>
              <w:tc>
                <w:tcPr>
                  <w:tcW w:w="705" w:type="pct"/>
                  <w:tcBorders>
                    <w:top w:val="single" w:color="000000" w:sz="4" w:space="0"/>
                    <w:bottom w:val="single" w:color="000000" w:sz="4" w:space="0"/>
                    <w:right w:val="single" w:color="auto" w:sz="4" w:space="0"/>
                  </w:tcBorders>
                  <w:shd w:val="clear" w:color="auto" w:fill="FFFFFF"/>
                  <w:vAlign w:val="center"/>
                </w:tcPr>
                <w:p w14:paraId="63B77FFC">
                  <w:pPr>
                    <w:widowControl/>
                    <w:snapToGrid w:val="0"/>
                    <w:jc w:val="center"/>
                    <w:textAlignment w:val="center"/>
                    <w:rPr>
                      <w:rFonts w:eastAsia="等线"/>
                      <w:color w:val="000000"/>
                      <w:szCs w:val="21"/>
                    </w:rPr>
                  </w:pPr>
                  <w:r>
                    <w:rPr>
                      <w:rFonts w:eastAsia="等线"/>
                      <w:color w:val="000000"/>
                      <w:kern w:val="0"/>
                      <w:szCs w:val="21"/>
                      <w:lang w:bidi="ar"/>
                    </w:rPr>
                    <w:t>61</w:t>
                  </w:r>
                </w:p>
              </w:tc>
            </w:tr>
            <w:tr w14:paraId="6FF0559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083FFDFF">
                  <w:pPr>
                    <w:widowControl/>
                    <w:snapToGrid w:val="0"/>
                    <w:jc w:val="center"/>
                    <w:textAlignment w:val="center"/>
                    <w:rPr>
                      <w:rFonts w:eastAsia="等线"/>
                      <w:color w:val="000000"/>
                      <w:kern w:val="0"/>
                      <w:szCs w:val="21"/>
                    </w:rPr>
                  </w:pPr>
                  <w:r>
                    <w:rPr>
                      <w:rFonts w:eastAsia="等线"/>
                      <w:color w:val="000000"/>
                      <w:kern w:val="0"/>
                      <w:szCs w:val="21"/>
                      <w:lang w:bidi="ar"/>
                    </w:rPr>
                    <w:t>3月2日</w:t>
                  </w:r>
                </w:p>
              </w:tc>
              <w:tc>
                <w:tcPr>
                  <w:tcW w:w="699" w:type="pct"/>
                  <w:tcBorders>
                    <w:top w:val="single" w:color="000000" w:sz="4" w:space="0"/>
                    <w:bottom w:val="single" w:color="000000" w:sz="4" w:space="0"/>
                  </w:tcBorders>
                  <w:shd w:val="clear" w:color="auto" w:fill="FFFFFF"/>
                  <w:vAlign w:val="center"/>
                </w:tcPr>
                <w:p w14:paraId="19FFE267">
                  <w:pPr>
                    <w:widowControl/>
                    <w:snapToGrid w:val="0"/>
                    <w:jc w:val="center"/>
                    <w:textAlignment w:val="center"/>
                    <w:rPr>
                      <w:rFonts w:eastAsia="等线"/>
                      <w:color w:val="000000"/>
                      <w:szCs w:val="21"/>
                    </w:rPr>
                  </w:pPr>
                  <w:r>
                    <w:rPr>
                      <w:rFonts w:eastAsia="等线"/>
                      <w:color w:val="000000"/>
                      <w:kern w:val="0"/>
                      <w:szCs w:val="21"/>
                      <w:lang w:bidi="ar"/>
                    </w:rPr>
                    <w:t>11</w:t>
                  </w:r>
                </w:p>
              </w:tc>
              <w:tc>
                <w:tcPr>
                  <w:tcW w:w="705" w:type="pct"/>
                  <w:tcBorders>
                    <w:top w:val="single" w:color="000000" w:sz="4" w:space="0"/>
                    <w:bottom w:val="single" w:color="000000" w:sz="4" w:space="0"/>
                  </w:tcBorders>
                  <w:shd w:val="clear" w:color="auto" w:fill="FFFFFF"/>
                  <w:vAlign w:val="center"/>
                </w:tcPr>
                <w:p w14:paraId="089D36D4">
                  <w:pPr>
                    <w:widowControl/>
                    <w:snapToGrid w:val="0"/>
                    <w:jc w:val="center"/>
                    <w:textAlignment w:val="center"/>
                    <w:rPr>
                      <w:rFonts w:eastAsia="等线"/>
                      <w:color w:val="000000"/>
                      <w:szCs w:val="21"/>
                    </w:rPr>
                  </w:pPr>
                  <w:r>
                    <w:rPr>
                      <w:rFonts w:eastAsia="等线"/>
                      <w:color w:val="000000"/>
                      <w:kern w:val="0"/>
                      <w:szCs w:val="21"/>
                      <w:lang w:bidi="ar"/>
                    </w:rPr>
                    <w:t>31</w:t>
                  </w:r>
                </w:p>
              </w:tc>
              <w:tc>
                <w:tcPr>
                  <w:tcW w:w="704" w:type="pct"/>
                  <w:tcBorders>
                    <w:top w:val="single" w:color="000000" w:sz="4" w:space="0"/>
                    <w:bottom w:val="single" w:color="000000" w:sz="4" w:space="0"/>
                  </w:tcBorders>
                  <w:shd w:val="clear" w:color="auto" w:fill="FFFFFF"/>
                  <w:vAlign w:val="center"/>
                </w:tcPr>
                <w:p w14:paraId="124D1957">
                  <w:pPr>
                    <w:widowControl/>
                    <w:snapToGrid w:val="0"/>
                    <w:jc w:val="center"/>
                    <w:textAlignment w:val="center"/>
                    <w:rPr>
                      <w:rFonts w:eastAsia="等线"/>
                      <w:color w:val="000000"/>
                      <w:szCs w:val="21"/>
                    </w:rPr>
                  </w:pPr>
                  <w:r>
                    <w:rPr>
                      <w:rFonts w:eastAsia="等线"/>
                      <w:color w:val="000000"/>
                      <w:kern w:val="0"/>
                      <w:szCs w:val="21"/>
                      <w:lang w:bidi="ar"/>
                    </w:rPr>
                    <w:t>0.50</w:t>
                  </w:r>
                </w:p>
              </w:tc>
              <w:tc>
                <w:tcPr>
                  <w:tcW w:w="704" w:type="pct"/>
                  <w:tcBorders>
                    <w:top w:val="single" w:color="000000" w:sz="4" w:space="0"/>
                    <w:bottom w:val="single" w:color="000000" w:sz="4" w:space="0"/>
                  </w:tcBorders>
                  <w:shd w:val="clear" w:color="auto" w:fill="FFFFFF"/>
                  <w:vAlign w:val="center"/>
                </w:tcPr>
                <w:p w14:paraId="32D1EC88">
                  <w:pPr>
                    <w:widowControl/>
                    <w:snapToGrid w:val="0"/>
                    <w:jc w:val="center"/>
                    <w:textAlignment w:val="center"/>
                    <w:rPr>
                      <w:rFonts w:eastAsia="等线"/>
                      <w:color w:val="000000"/>
                      <w:szCs w:val="21"/>
                    </w:rPr>
                  </w:pPr>
                  <w:r>
                    <w:rPr>
                      <w:rFonts w:eastAsia="等线"/>
                      <w:color w:val="000000"/>
                      <w:kern w:val="0"/>
                      <w:szCs w:val="21"/>
                      <w:lang w:bidi="ar"/>
                    </w:rPr>
                    <w:t>51</w:t>
                  </w:r>
                </w:p>
              </w:tc>
              <w:tc>
                <w:tcPr>
                  <w:tcW w:w="704" w:type="pct"/>
                  <w:tcBorders>
                    <w:top w:val="single" w:color="000000" w:sz="4" w:space="0"/>
                    <w:bottom w:val="single" w:color="000000" w:sz="4" w:space="0"/>
                  </w:tcBorders>
                  <w:shd w:val="clear" w:color="auto" w:fill="FFFFFF"/>
                  <w:vAlign w:val="center"/>
                </w:tcPr>
                <w:p w14:paraId="3A6BF3A6">
                  <w:pPr>
                    <w:widowControl/>
                    <w:snapToGrid w:val="0"/>
                    <w:jc w:val="center"/>
                    <w:textAlignment w:val="center"/>
                    <w:rPr>
                      <w:rFonts w:eastAsia="等线"/>
                      <w:color w:val="000000"/>
                      <w:szCs w:val="21"/>
                    </w:rPr>
                  </w:pPr>
                  <w:r>
                    <w:rPr>
                      <w:rFonts w:eastAsia="等线"/>
                      <w:color w:val="000000"/>
                      <w:kern w:val="0"/>
                      <w:szCs w:val="21"/>
                      <w:lang w:bidi="ar"/>
                    </w:rPr>
                    <w:t>28</w:t>
                  </w:r>
                </w:p>
              </w:tc>
              <w:tc>
                <w:tcPr>
                  <w:tcW w:w="705" w:type="pct"/>
                  <w:tcBorders>
                    <w:top w:val="single" w:color="000000" w:sz="4" w:space="0"/>
                    <w:bottom w:val="single" w:color="000000" w:sz="4" w:space="0"/>
                    <w:right w:val="single" w:color="auto" w:sz="4" w:space="0"/>
                  </w:tcBorders>
                  <w:shd w:val="clear" w:color="auto" w:fill="FFFFFF"/>
                  <w:vAlign w:val="center"/>
                </w:tcPr>
                <w:p w14:paraId="5A6F03C4">
                  <w:pPr>
                    <w:widowControl/>
                    <w:snapToGrid w:val="0"/>
                    <w:jc w:val="center"/>
                    <w:textAlignment w:val="center"/>
                    <w:rPr>
                      <w:rFonts w:eastAsia="等线"/>
                      <w:color w:val="000000"/>
                      <w:szCs w:val="21"/>
                    </w:rPr>
                  </w:pPr>
                  <w:r>
                    <w:rPr>
                      <w:rFonts w:eastAsia="等线"/>
                      <w:color w:val="000000"/>
                      <w:kern w:val="0"/>
                      <w:szCs w:val="21"/>
                      <w:lang w:bidi="ar"/>
                    </w:rPr>
                    <w:t>53</w:t>
                  </w:r>
                </w:p>
              </w:tc>
            </w:tr>
            <w:tr w14:paraId="1A6AEAA9">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72103E18">
                  <w:pPr>
                    <w:widowControl/>
                    <w:snapToGrid w:val="0"/>
                    <w:jc w:val="center"/>
                    <w:textAlignment w:val="center"/>
                    <w:rPr>
                      <w:rFonts w:eastAsia="等线"/>
                      <w:color w:val="000000"/>
                      <w:kern w:val="0"/>
                      <w:szCs w:val="21"/>
                    </w:rPr>
                  </w:pPr>
                  <w:r>
                    <w:rPr>
                      <w:rFonts w:eastAsia="等线"/>
                      <w:color w:val="000000"/>
                      <w:kern w:val="0"/>
                      <w:szCs w:val="21"/>
                      <w:lang w:bidi="ar"/>
                    </w:rPr>
                    <w:t>3月3日</w:t>
                  </w:r>
                </w:p>
              </w:tc>
              <w:tc>
                <w:tcPr>
                  <w:tcW w:w="699" w:type="pct"/>
                  <w:tcBorders>
                    <w:top w:val="single" w:color="000000" w:sz="4" w:space="0"/>
                    <w:bottom w:val="single" w:color="000000" w:sz="4" w:space="0"/>
                  </w:tcBorders>
                  <w:shd w:val="clear" w:color="auto" w:fill="FFFFFF"/>
                  <w:vAlign w:val="center"/>
                </w:tcPr>
                <w:p w14:paraId="742B206B">
                  <w:pPr>
                    <w:widowControl/>
                    <w:snapToGrid w:val="0"/>
                    <w:jc w:val="center"/>
                    <w:textAlignment w:val="center"/>
                    <w:rPr>
                      <w:rFonts w:eastAsia="等线"/>
                      <w:color w:val="000000"/>
                      <w:szCs w:val="21"/>
                    </w:rPr>
                  </w:pPr>
                  <w:r>
                    <w:rPr>
                      <w:rFonts w:eastAsia="等线"/>
                      <w:color w:val="000000"/>
                      <w:kern w:val="0"/>
                      <w:szCs w:val="21"/>
                      <w:lang w:bidi="ar"/>
                    </w:rPr>
                    <w:t>24</w:t>
                  </w:r>
                </w:p>
              </w:tc>
              <w:tc>
                <w:tcPr>
                  <w:tcW w:w="705" w:type="pct"/>
                  <w:tcBorders>
                    <w:top w:val="single" w:color="000000" w:sz="4" w:space="0"/>
                    <w:bottom w:val="single" w:color="000000" w:sz="4" w:space="0"/>
                  </w:tcBorders>
                  <w:shd w:val="clear" w:color="auto" w:fill="FFFFFF"/>
                  <w:vAlign w:val="center"/>
                </w:tcPr>
                <w:p w14:paraId="358792E5">
                  <w:pPr>
                    <w:widowControl/>
                    <w:snapToGrid w:val="0"/>
                    <w:jc w:val="center"/>
                    <w:textAlignment w:val="center"/>
                    <w:rPr>
                      <w:rFonts w:eastAsia="等线"/>
                      <w:color w:val="000000"/>
                      <w:szCs w:val="21"/>
                    </w:rPr>
                  </w:pPr>
                  <w:r>
                    <w:rPr>
                      <w:rFonts w:eastAsia="等线"/>
                      <w:color w:val="000000"/>
                      <w:kern w:val="0"/>
                      <w:szCs w:val="21"/>
                      <w:lang w:bidi="ar"/>
                    </w:rPr>
                    <w:t>28</w:t>
                  </w:r>
                </w:p>
              </w:tc>
              <w:tc>
                <w:tcPr>
                  <w:tcW w:w="704" w:type="pct"/>
                  <w:tcBorders>
                    <w:top w:val="single" w:color="000000" w:sz="4" w:space="0"/>
                    <w:bottom w:val="single" w:color="000000" w:sz="4" w:space="0"/>
                  </w:tcBorders>
                  <w:shd w:val="clear" w:color="auto" w:fill="FFFFFF"/>
                  <w:vAlign w:val="center"/>
                </w:tcPr>
                <w:p w14:paraId="2D1B35EE">
                  <w:pPr>
                    <w:widowControl/>
                    <w:snapToGrid w:val="0"/>
                    <w:jc w:val="center"/>
                    <w:textAlignment w:val="center"/>
                    <w:rPr>
                      <w:rFonts w:eastAsia="等线"/>
                      <w:color w:val="000000"/>
                      <w:szCs w:val="21"/>
                    </w:rPr>
                  </w:pPr>
                  <w:r>
                    <w:rPr>
                      <w:rFonts w:eastAsia="等线"/>
                      <w:color w:val="000000"/>
                      <w:kern w:val="0"/>
                      <w:szCs w:val="21"/>
                      <w:lang w:bidi="ar"/>
                    </w:rPr>
                    <w:t>0.40</w:t>
                  </w:r>
                </w:p>
              </w:tc>
              <w:tc>
                <w:tcPr>
                  <w:tcW w:w="704" w:type="pct"/>
                  <w:tcBorders>
                    <w:top w:val="single" w:color="000000" w:sz="4" w:space="0"/>
                    <w:bottom w:val="single" w:color="000000" w:sz="4" w:space="0"/>
                  </w:tcBorders>
                  <w:shd w:val="clear" w:color="auto" w:fill="FFFFFF"/>
                  <w:vAlign w:val="center"/>
                </w:tcPr>
                <w:p w14:paraId="07F0C408">
                  <w:pPr>
                    <w:widowControl/>
                    <w:snapToGrid w:val="0"/>
                    <w:jc w:val="center"/>
                    <w:textAlignment w:val="center"/>
                    <w:rPr>
                      <w:rFonts w:eastAsia="等线"/>
                      <w:color w:val="000000"/>
                      <w:szCs w:val="21"/>
                    </w:rPr>
                  </w:pPr>
                  <w:r>
                    <w:rPr>
                      <w:rFonts w:eastAsia="等线"/>
                      <w:color w:val="000000"/>
                      <w:kern w:val="0"/>
                      <w:szCs w:val="21"/>
                      <w:lang w:bidi="ar"/>
                    </w:rPr>
                    <w:t>78</w:t>
                  </w:r>
                </w:p>
              </w:tc>
              <w:tc>
                <w:tcPr>
                  <w:tcW w:w="704" w:type="pct"/>
                  <w:tcBorders>
                    <w:top w:val="single" w:color="000000" w:sz="4" w:space="0"/>
                    <w:bottom w:val="single" w:color="000000" w:sz="4" w:space="0"/>
                  </w:tcBorders>
                  <w:shd w:val="clear" w:color="auto" w:fill="FFFFFF"/>
                  <w:vAlign w:val="center"/>
                </w:tcPr>
                <w:p w14:paraId="3A9D0ED8">
                  <w:pPr>
                    <w:widowControl/>
                    <w:snapToGrid w:val="0"/>
                    <w:jc w:val="center"/>
                    <w:textAlignment w:val="center"/>
                    <w:rPr>
                      <w:rFonts w:eastAsia="等线"/>
                      <w:color w:val="000000"/>
                      <w:szCs w:val="21"/>
                    </w:rPr>
                  </w:pPr>
                  <w:r>
                    <w:rPr>
                      <w:rFonts w:eastAsia="等线"/>
                      <w:color w:val="000000"/>
                      <w:kern w:val="0"/>
                      <w:szCs w:val="21"/>
                      <w:lang w:bidi="ar"/>
                    </w:rPr>
                    <w:t>24</w:t>
                  </w:r>
                </w:p>
              </w:tc>
              <w:tc>
                <w:tcPr>
                  <w:tcW w:w="705" w:type="pct"/>
                  <w:tcBorders>
                    <w:top w:val="single" w:color="000000" w:sz="4" w:space="0"/>
                    <w:bottom w:val="single" w:color="000000" w:sz="4" w:space="0"/>
                    <w:right w:val="single" w:color="auto" w:sz="4" w:space="0"/>
                  </w:tcBorders>
                  <w:shd w:val="clear" w:color="auto" w:fill="FFFFFF"/>
                  <w:vAlign w:val="center"/>
                </w:tcPr>
                <w:p w14:paraId="364F4731">
                  <w:pPr>
                    <w:widowControl/>
                    <w:snapToGrid w:val="0"/>
                    <w:jc w:val="center"/>
                    <w:textAlignment w:val="center"/>
                    <w:rPr>
                      <w:rFonts w:eastAsia="等线"/>
                      <w:color w:val="000000"/>
                      <w:szCs w:val="21"/>
                    </w:rPr>
                  </w:pPr>
                  <w:r>
                    <w:rPr>
                      <w:rFonts w:eastAsia="等线"/>
                      <w:color w:val="000000"/>
                      <w:kern w:val="0"/>
                      <w:szCs w:val="21"/>
                      <w:lang w:bidi="ar"/>
                    </w:rPr>
                    <w:t>48</w:t>
                  </w:r>
                </w:p>
              </w:tc>
            </w:tr>
            <w:tr w14:paraId="2A6A981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12B9104B">
                  <w:pPr>
                    <w:widowControl/>
                    <w:snapToGrid w:val="0"/>
                    <w:jc w:val="center"/>
                    <w:textAlignment w:val="center"/>
                    <w:rPr>
                      <w:rFonts w:eastAsia="等线"/>
                      <w:color w:val="000000"/>
                      <w:kern w:val="0"/>
                      <w:szCs w:val="21"/>
                    </w:rPr>
                  </w:pPr>
                  <w:r>
                    <w:rPr>
                      <w:rFonts w:eastAsia="等线"/>
                      <w:color w:val="000000"/>
                      <w:kern w:val="0"/>
                      <w:szCs w:val="21"/>
                      <w:lang w:bidi="ar"/>
                    </w:rPr>
                    <w:t>3月4日</w:t>
                  </w:r>
                </w:p>
              </w:tc>
              <w:tc>
                <w:tcPr>
                  <w:tcW w:w="699" w:type="pct"/>
                  <w:tcBorders>
                    <w:top w:val="single" w:color="000000" w:sz="4" w:space="0"/>
                    <w:bottom w:val="single" w:color="000000" w:sz="4" w:space="0"/>
                  </w:tcBorders>
                  <w:shd w:val="clear" w:color="auto" w:fill="FFFFFF"/>
                  <w:vAlign w:val="center"/>
                </w:tcPr>
                <w:p w14:paraId="60B2B7E1">
                  <w:pPr>
                    <w:widowControl/>
                    <w:snapToGrid w:val="0"/>
                    <w:jc w:val="center"/>
                    <w:textAlignment w:val="center"/>
                    <w:rPr>
                      <w:rFonts w:eastAsia="等线"/>
                      <w:color w:val="000000"/>
                      <w:szCs w:val="21"/>
                    </w:rPr>
                  </w:pPr>
                  <w:r>
                    <w:rPr>
                      <w:rFonts w:eastAsia="等线"/>
                      <w:color w:val="000000"/>
                      <w:kern w:val="0"/>
                      <w:szCs w:val="21"/>
                      <w:lang w:bidi="ar"/>
                    </w:rPr>
                    <w:t>7</w:t>
                  </w:r>
                </w:p>
              </w:tc>
              <w:tc>
                <w:tcPr>
                  <w:tcW w:w="705" w:type="pct"/>
                  <w:tcBorders>
                    <w:top w:val="single" w:color="000000" w:sz="4" w:space="0"/>
                    <w:bottom w:val="single" w:color="000000" w:sz="4" w:space="0"/>
                  </w:tcBorders>
                  <w:shd w:val="clear" w:color="auto" w:fill="FFFFFF"/>
                  <w:vAlign w:val="center"/>
                </w:tcPr>
                <w:p w14:paraId="43451A24">
                  <w:pPr>
                    <w:widowControl/>
                    <w:snapToGrid w:val="0"/>
                    <w:jc w:val="center"/>
                    <w:textAlignment w:val="center"/>
                    <w:rPr>
                      <w:rFonts w:eastAsia="等线"/>
                      <w:color w:val="000000"/>
                      <w:szCs w:val="21"/>
                    </w:rPr>
                  </w:pPr>
                  <w:r>
                    <w:rPr>
                      <w:rFonts w:eastAsia="等线"/>
                      <w:color w:val="000000"/>
                      <w:kern w:val="0"/>
                      <w:szCs w:val="21"/>
                      <w:lang w:bidi="ar"/>
                    </w:rPr>
                    <w:t>15</w:t>
                  </w:r>
                </w:p>
              </w:tc>
              <w:tc>
                <w:tcPr>
                  <w:tcW w:w="704" w:type="pct"/>
                  <w:tcBorders>
                    <w:top w:val="single" w:color="000000" w:sz="4" w:space="0"/>
                    <w:bottom w:val="single" w:color="000000" w:sz="4" w:space="0"/>
                  </w:tcBorders>
                  <w:shd w:val="clear" w:color="auto" w:fill="FFFFFF"/>
                  <w:vAlign w:val="center"/>
                </w:tcPr>
                <w:p w14:paraId="4D08A407">
                  <w:pPr>
                    <w:widowControl/>
                    <w:snapToGrid w:val="0"/>
                    <w:jc w:val="center"/>
                    <w:textAlignment w:val="center"/>
                    <w:rPr>
                      <w:rFonts w:eastAsia="等线"/>
                      <w:color w:val="000000"/>
                      <w:szCs w:val="21"/>
                    </w:rPr>
                  </w:pPr>
                  <w:r>
                    <w:rPr>
                      <w:rFonts w:eastAsia="等线"/>
                      <w:color w:val="000000"/>
                      <w:kern w:val="0"/>
                      <w:szCs w:val="21"/>
                      <w:lang w:bidi="ar"/>
                    </w:rPr>
                    <w:t>0.20</w:t>
                  </w:r>
                </w:p>
              </w:tc>
              <w:tc>
                <w:tcPr>
                  <w:tcW w:w="704" w:type="pct"/>
                  <w:tcBorders>
                    <w:top w:val="single" w:color="000000" w:sz="4" w:space="0"/>
                    <w:bottom w:val="single" w:color="000000" w:sz="4" w:space="0"/>
                  </w:tcBorders>
                  <w:shd w:val="clear" w:color="auto" w:fill="FFFFFF"/>
                  <w:vAlign w:val="center"/>
                </w:tcPr>
                <w:p w14:paraId="5F898F49">
                  <w:pPr>
                    <w:widowControl/>
                    <w:snapToGrid w:val="0"/>
                    <w:jc w:val="center"/>
                    <w:textAlignment w:val="center"/>
                    <w:rPr>
                      <w:rFonts w:eastAsia="等线"/>
                      <w:color w:val="000000"/>
                      <w:szCs w:val="21"/>
                    </w:rPr>
                  </w:pPr>
                  <w:r>
                    <w:rPr>
                      <w:rFonts w:eastAsia="等线"/>
                      <w:color w:val="000000"/>
                      <w:kern w:val="0"/>
                      <w:szCs w:val="21"/>
                      <w:lang w:bidi="ar"/>
                    </w:rPr>
                    <w:t>78</w:t>
                  </w:r>
                </w:p>
              </w:tc>
              <w:tc>
                <w:tcPr>
                  <w:tcW w:w="704" w:type="pct"/>
                  <w:tcBorders>
                    <w:top w:val="single" w:color="000000" w:sz="4" w:space="0"/>
                    <w:bottom w:val="single" w:color="000000" w:sz="4" w:space="0"/>
                  </w:tcBorders>
                  <w:shd w:val="clear" w:color="auto" w:fill="FFFFFF"/>
                  <w:vAlign w:val="center"/>
                </w:tcPr>
                <w:p w14:paraId="3B4ACF31">
                  <w:pPr>
                    <w:widowControl/>
                    <w:snapToGrid w:val="0"/>
                    <w:jc w:val="center"/>
                    <w:textAlignment w:val="center"/>
                    <w:rPr>
                      <w:rFonts w:eastAsia="等线"/>
                      <w:color w:val="000000"/>
                      <w:szCs w:val="21"/>
                    </w:rPr>
                  </w:pPr>
                  <w:r>
                    <w:rPr>
                      <w:rFonts w:eastAsia="等线"/>
                      <w:color w:val="000000"/>
                      <w:kern w:val="0"/>
                      <w:szCs w:val="21"/>
                      <w:lang w:bidi="ar"/>
                    </w:rPr>
                    <w:t>20</w:t>
                  </w:r>
                </w:p>
              </w:tc>
              <w:tc>
                <w:tcPr>
                  <w:tcW w:w="705" w:type="pct"/>
                  <w:tcBorders>
                    <w:top w:val="single" w:color="000000" w:sz="4" w:space="0"/>
                    <w:bottom w:val="single" w:color="000000" w:sz="4" w:space="0"/>
                    <w:right w:val="single" w:color="auto" w:sz="4" w:space="0"/>
                  </w:tcBorders>
                  <w:shd w:val="clear" w:color="auto" w:fill="FFFFFF"/>
                  <w:vAlign w:val="center"/>
                </w:tcPr>
                <w:p w14:paraId="3FFB6551">
                  <w:pPr>
                    <w:widowControl/>
                    <w:snapToGrid w:val="0"/>
                    <w:jc w:val="center"/>
                    <w:textAlignment w:val="center"/>
                    <w:rPr>
                      <w:rFonts w:eastAsia="等线"/>
                      <w:color w:val="000000"/>
                      <w:szCs w:val="21"/>
                    </w:rPr>
                  </w:pPr>
                  <w:r>
                    <w:rPr>
                      <w:rFonts w:eastAsia="等线"/>
                      <w:color w:val="000000"/>
                      <w:kern w:val="0"/>
                      <w:szCs w:val="21"/>
                      <w:lang w:bidi="ar"/>
                    </w:rPr>
                    <w:t>45</w:t>
                  </w:r>
                </w:p>
              </w:tc>
            </w:tr>
            <w:tr w14:paraId="4468E8E7">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56595EA8">
                  <w:pPr>
                    <w:widowControl/>
                    <w:snapToGrid w:val="0"/>
                    <w:jc w:val="center"/>
                    <w:textAlignment w:val="center"/>
                    <w:rPr>
                      <w:rFonts w:eastAsia="等线"/>
                      <w:color w:val="000000"/>
                      <w:kern w:val="0"/>
                      <w:szCs w:val="21"/>
                    </w:rPr>
                  </w:pPr>
                  <w:r>
                    <w:rPr>
                      <w:rFonts w:eastAsia="等线"/>
                      <w:color w:val="000000"/>
                      <w:kern w:val="0"/>
                      <w:szCs w:val="21"/>
                      <w:lang w:bidi="ar"/>
                    </w:rPr>
                    <w:t>3月5日</w:t>
                  </w:r>
                </w:p>
              </w:tc>
              <w:tc>
                <w:tcPr>
                  <w:tcW w:w="699" w:type="pct"/>
                  <w:tcBorders>
                    <w:top w:val="single" w:color="000000" w:sz="4" w:space="0"/>
                    <w:bottom w:val="single" w:color="000000" w:sz="4" w:space="0"/>
                  </w:tcBorders>
                  <w:shd w:val="clear" w:color="auto" w:fill="FFFFFF"/>
                  <w:vAlign w:val="center"/>
                </w:tcPr>
                <w:p w14:paraId="3D9124A1">
                  <w:pPr>
                    <w:widowControl/>
                    <w:snapToGrid w:val="0"/>
                    <w:jc w:val="center"/>
                    <w:textAlignment w:val="center"/>
                    <w:rPr>
                      <w:rFonts w:eastAsia="等线"/>
                      <w:color w:val="000000"/>
                      <w:szCs w:val="21"/>
                    </w:rPr>
                  </w:pPr>
                  <w:r>
                    <w:rPr>
                      <w:rFonts w:eastAsia="等线"/>
                      <w:color w:val="000000"/>
                      <w:kern w:val="0"/>
                      <w:szCs w:val="21"/>
                      <w:lang w:bidi="ar"/>
                    </w:rPr>
                    <w:t>15</w:t>
                  </w:r>
                </w:p>
              </w:tc>
              <w:tc>
                <w:tcPr>
                  <w:tcW w:w="705" w:type="pct"/>
                  <w:tcBorders>
                    <w:top w:val="single" w:color="000000" w:sz="4" w:space="0"/>
                    <w:bottom w:val="single" w:color="000000" w:sz="4" w:space="0"/>
                  </w:tcBorders>
                  <w:shd w:val="clear" w:color="auto" w:fill="FFFFFF"/>
                  <w:vAlign w:val="center"/>
                </w:tcPr>
                <w:p w14:paraId="043706EA">
                  <w:pPr>
                    <w:widowControl/>
                    <w:snapToGrid w:val="0"/>
                    <w:jc w:val="center"/>
                    <w:textAlignment w:val="center"/>
                    <w:rPr>
                      <w:rFonts w:eastAsia="等线"/>
                      <w:color w:val="000000"/>
                      <w:szCs w:val="21"/>
                    </w:rPr>
                  </w:pPr>
                  <w:r>
                    <w:rPr>
                      <w:rFonts w:eastAsia="等线"/>
                      <w:color w:val="000000"/>
                      <w:kern w:val="0"/>
                      <w:szCs w:val="21"/>
                      <w:lang w:bidi="ar"/>
                    </w:rPr>
                    <w:t>35</w:t>
                  </w:r>
                </w:p>
              </w:tc>
              <w:tc>
                <w:tcPr>
                  <w:tcW w:w="704" w:type="pct"/>
                  <w:tcBorders>
                    <w:top w:val="single" w:color="000000" w:sz="4" w:space="0"/>
                    <w:bottom w:val="single" w:color="000000" w:sz="4" w:space="0"/>
                  </w:tcBorders>
                  <w:shd w:val="clear" w:color="auto" w:fill="FFFFFF"/>
                  <w:vAlign w:val="center"/>
                </w:tcPr>
                <w:p w14:paraId="4E10EAFD">
                  <w:pPr>
                    <w:widowControl/>
                    <w:snapToGrid w:val="0"/>
                    <w:jc w:val="center"/>
                    <w:textAlignment w:val="center"/>
                    <w:rPr>
                      <w:rFonts w:eastAsia="等线"/>
                      <w:color w:val="000000"/>
                      <w:szCs w:val="21"/>
                    </w:rPr>
                  </w:pPr>
                  <w:r>
                    <w:rPr>
                      <w:rFonts w:eastAsia="等线"/>
                      <w:color w:val="000000"/>
                      <w:kern w:val="0"/>
                      <w:szCs w:val="21"/>
                      <w:lang w:bidi="ar"/>
                    </w:rPr>
                    <w:t>0.40</w:t>
                  </w:r>
                </w:p>
              </w:tc>
              <w:tc>
                <w:tcPr>
                  <w:tcW w:w="704" w:type="pct"/>
                  <w:tcBorders>
                    <w:top w:val="single" w:color="000000" w:sz="4" w:space="0"/>
                    <w:bottom w:val="single" w:color="000000" w:sz="4" w:space="0"/>
                  </w:tcBorders>
                  <w:shd w:val="clear" w:color="auto" w:fill="FFFFFF"/>
                  <w:vAlign w:val="center"/>
                </w:tcPr>
                <w:p w14:paraId="7A13DDA6">
                  <w:pPr>
                    <w:widowControl/>
                    <w:snapToGrid w:val="0"/>
                    <w:jc w:val="center"/>
                    <w:textAlignment w:val="center"/>
                    <w:rPr>
                      <w:rFonts w:eastAsia="等线"/>
                      <w:color w:val="000000"/>
                      <w:szCs w:val="21"/>
                    </w:rPr>
                  </w:pPr>
                  <w:r>
                    <w:rPr>
                      <w:rFonts w:eastAsia="等线"/>
                      <w:color w:val="000000"/>
                      <w:kern w:val="0"/>
                      <w:szCs w:val="21"/>
                      <w:lang w:bidi="ar"/>
                    </w:rPr>
                    <w:t>68</w:t>
                  </w:r>
                </w:p>
              </w:tc>
              <w:tc>
                <w:tcPr>
                  <w:tcW w:w="704" w:type="pct"/>
                  <w:tcBorders>
                    <w:top w:val="single" w:color="000000" w:sz="4" w:space="0"/>
                    <w:bottom w:val="single" w:color="000000" w:sz="4" w:space="0"/>
                  </w:tcBorders>
                  <w:shd w:val="clear" w:color="auto" w:fill="FFFFFF"/>
                  <w:vAlign w:val="center"/>
                </w:tcPr>
                <w:p w14:paraId="672B1F2A">
                  <w:pPr>
                    <w:widowControl/>
                    <w:snapToGrid w:val="0"/>
                    <w:jc w:val="center"/>
                    <w:textAlignment w:val="center"/>
                    <w:rPr>
                      <w:rFonts w:eastAsia="等线"/>
                      <w:color w:val="000000"/>
                      <w:szCs w:val="21"/>
                    </w:rPr>
                  </w:pPr>
                  <w:r>
                    <w:rPr>
                      <w:rFonts w:eastAsia="等线"/>
                      <w:color w:val="000000"/>
                      <w:kern w:val="0"/>
                      <w:szCs w:val="21"/>
                      <w:lang w:bidi="ar"/>
                    </w:rPr>
                    <w:t>49</w:t>
                  </w:r>
                </w:p>
              </w:tc>
              <w:tc>
                <w:tcPr>
                  <w:tcW w:w="705" w:type="pct"/>
                  <w:tcBorders>
                    <w:top w:val="single" w:color="000000" w:sz="4" w:space="0"/>
                    <w:bottom w:val="single" w:color="000000" w:sz="4" w:space="0"/>
                    <w:right w:val="single" w:color="auto" w:sz="4" w:space="0"/>
                  </w:tcBorders>
                  <w:shd w:val="clear" w:color="auto" w:fill="FFFFFF"/>
                  <w:vAlign w:val="center"/>
                </w:tcPr>
                <w:p w14:paraId="7C5783D1">
                  <w:pPr>
                    <w:widowControl/>
                    <w:snapToGrid w:val="0"/>
                    <w:jc w:val="center"/>
                    <w:textAlignment w:val="center"/>
                    <w:rPr>
                      <w:rFonts w:eastAsia="等线"/>
                      <w:color w:val="000000"/>
                      <w:szCs w:val="21"/>
                    </w:rPr>
                  </w:pPr>
                  <w:r>
                    <w:rPr>
                      <w:rFonts w:eastAsia="等线"/>
                      <w:color w:val="000000"/>
                      <w:kern w:val="0"/>
                      <w:szCs w:val="21"/>
                      <w:lang w:bidi="ar"/>
                    </w:rPr>
                    <w:t>92</w:t>
                  </w:r>
                </w:p>
              </w:tc>
            </w:tr>
            <w:tr w14:paraId="3B1B88C9">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07BBC90D">
                  <w:pPr>
                    <w:widowControl/>
                    <w:snapToGrid w:val="0"/>
                    <w:jc w:val="center"/>
                    <w:textAlignment w:val="center"/>
                    <w:rPr>
                      <w:rFonts w:eastAsia="等线"/>
                      <w:color w:val="000000"/>
                      <w:kern w:val="0"/>
                      <w:szCs w:val="21"/>
                    </w:rPr>
                  </w:pPr>
                  <w:r>
                    <w:rPr>
                      <w:rFonts w:eastAsia="等线"/>
                      <w:color w:val="000000"/>
                      <w:kern w:val="0"/>
                      <w:szCs w:val="21"/>
                      <w:lang w:bidi="ar"/>
                    </w:rPr>
                    <w:t>3月6日</w:t>
                  </w:r>
                </w:p>
              </w:tc>
              <w:tc>
                <w:tcPr>
                  <w:tcW w:w="699" w:type="pct"/>
                  <w:tcBorders>
                    <w:top w:val="single" w:color="000000" w:sz="4" w:space="0"/>
                    <w:bottom w:val="single" w:color="000000" w:sz="4" w:space="0"/>
                  </w:tcBorders>
                  <w:shd w:val="clear" w:color="auto" w:fill="FFFFFF"/>
                  <w:vAlign w:val="center"/>
                </w:tcPr>
                <w:p w14:paraId="4A1CB71D">
                  <w:pPr>
                    <w:widowControl/>
                    <w:snapToGrid w:val="0"/>
                    <w:jc w:val="center"/>
                    <w:textAlignment w:val="center"/>
                    <w:rPr>
                      <w:rFonts w:eastAsia="等线"/>
                      <w:color w:val="000000"/>
                      <w:szCs w:val="21"/>
                    </w:rPr>
                  </w:pPr>
                  <w:r>
                    <w:rPr>
                      <w:rFonts w:eastAsia="等线"/>
                      <w:color w:val="000000"/>
                      <w:kern w:val="0"/>
                      <w:szCs w:val="21"/>
                      <w:lang w:bidi="ar"/>
                    </w:rPr>
                    <w:t>12</w:t>
                  </w:r>
                </w:p>
              </w:tc>
              <w:tc>
                <w:tcPr>
                  <w:tcW w:w="705" w:type="pct"/>
                  <w:tcBorders>
                    <w:top w:val="single" w:color="000000" w:sz="4" w:space="0"/>
                    <w:bottom w:val="single" w:color="000000" w:sz="4" w:space="0"/>
                  </w:tcBorders>
                  <w:shd w:val="clear" w:color="auto" w:fill="FFFFFF"/>
                  <w:vAlign w:val="center"/>
                </w:tcPr>
                <w:p w14:paraId="4AA9A0A3">
                  <w:pPr>
                    <w:widowControl/>
                    <w:snapToGrid w:val="0"/>
                    <w:jc w:val="center"/>
                    <w:textAlignment w:val="center"/>
                    <w:rPr>
                      <w:rFonts w:eastAsia="等线"/>
                      <w:color w:val="000000"/>
                      <w:szCs w:val="21"/>
                    </w:rPr>
                  </w:pPr>
                  <w:r>
                    <w:rPr>
                      <w:rFonts w:eastAsia="等线"/>
                      <w:color w:val="000000"/>
                      <w:kern w:val="0"/>
                      <w:szCs w:val="21"/>
                      <w:lang w:bidi="ar"/>
                    </w:rPr>
                    <w:t>44</w:t>
                  </w:r>
                </w:p>
              </w:tc>
              <w:tc>
                <w:tcPr>
                  <w:tcW w:w="704" w:type="pct"/>
                  <w:tcBorders>
                    <w:top w:val="single" w:color="000000" w:sz="4" w:space="0"/>
                    <w:bottom w:val="single" w:color="000000" w:sz="4" w:space="0"/>
                  </w:tcBorders>
                  <w:shd w:val="clear" w:color="auto" w:fill="FFFFFF"/>
                  <w:vAlign w:val="center"/>
                </w:tcPr>
                <w:p w14:paraId="68846388">
                  <w:pPr>
                    <w:widowControl/>
                    <w:snapToGrid w:val="0"/>
                    <w:jc w:val="center"/>
                    <w:textAlignment w:val="center"/>
                    <w:rPr>
                      <w:rFonts w:eastAsia="等线"/>
                      <w:color w:val="000000"/>
                      <w:szCs w:val="21"/>
                    </w:rPr>
                  </w:pPr>
                  <w:r>
                    <w:rPr>
                      <w:rFonts w:eastAsia="等线"/>
                      <w:color w:val="000000"/>
                      <w:kern w:val="0"/>
                      <w:szCs w:val="21"/>
                      <w:lang w:bidi="ar"/>
                    </w:rPr>
                    <w:t>0.50</w:t>
                  </w:r>
                </w:p>
              </w:tc>
              <w:tc>
                <w:tcPr>
                  <w:tcW w:w="704" w:type="pct"/>
                  <w:tcBorders>
                    <w:top w:val="single" w:color="000000" w:sz="4" w:space="0"/>
                    <w:bottom w:val="single" w:color="000000" w:sz="4" w:space="0"/>
                  </w:tcBorders>
                  <w:shd w:val="clear" w:color="auto" w:fill="FFFFFF"/>
                  <w:vAlign w:val="center"/>
                </w:tcPr>
                <w:p w14:paraId="39EB3BD6">
                  <w:pPr>
                    <w:widowControl/>
                    <w:snapToGrid w:val="0"/>
                    <w:jc w:val="center"/>
                    <w:textAlignment w:val="center"/>
                    <w:rPr>
                      <w:rFonts w:eastAsia="等线"/>
                      <w:color w:val="000000"/>
                      <w:szCs w:val="21"/>
                    </w:rPr>
                  </w:pPr>
                  <w:r>
                    <w:rPr>
                      <w:rFonts w:eastAsia="等线"/>
                      <w:color w:val="000000"/>
                      <w:kern w:val="0"/>
                      <w:szCs w:val="21"/>
                      <w:lang w:bidi="ar"/>
                    </w:rPr>
                    <w:t>61</w:t>
                  </w:r>
                </w:p>
              </w:tc>
              <w:tc>
                <w:tcPr>
                  <w:tcW w:w="704" w:type="pct"/>
                  <w:tcBorders>
                    <w:top w:val="single" w:color="000000" w:sz="4" w:space="0"/>
                    <w:bottom w:val="single" w:color="000000" w:sz="4" w:space="0"/>
                  </w:tcBorders>
                  <w:shd w:val="clear" w:color="auto" w:fill="FFFFFF"/>
                  <w:vAlign w:val="center"/>
                </w:tcPr>
                <w:p w14:paraId="10635C02">
                  <w:pPr>
                    <w:widowControl/>
                    <w:snapToGrid w:val="0"/>
                    <w:jc w:val="center"/>
                    <w:textAlignment w:val="center"/>
                    <w:rPr>
                      <w:rFonts w:eastAsia="等线"/>
                      <w:color w:val="000000"/>
                      <w:szCs w:val="21"/>
                    </w:rPr>
                  </w:pPr>
                  <w:r>
                    <w:rPr>
                      <w:rFonts w:eastAsia="等线"/>
                      <w:color w:val="000000"/>
                      <w:kern w:val="0"/>
                      <w:szCs w:val="21"/>
                      <w:lang w:bidi="ar"/>
                    </w:rPr>
                    <w:t>67</w:t>
                  </w:r>
                </w:p>
              </w:tc>
              <w:tc>
                <w:tcPr>
                  <w:tcW w:w="705" w:type="pct"/>
                  <w:tcBorders>
                    <w:top w:val="single" w:color="000000" w:sz="4" w:space="0"/>
                    <w:bottom w:val="single" w:color="000000" w:sz="4" w:space="0"/>
                    <w:right w:val="single" w:color="auto" w:sz="4" w:space="0"/>
                  </w:tcBorders>
                  <w:shd w:val="clear" w:color="auto" w:fill="FFFFFF"/>
                  <w:vAlign w:val="center"/>
                </w:tcPr>
                <w:p w14:paraId="4ECD7558">
                  <w:pPr>
                    <w:widowControl/>
                    <w:snapToGrid w:val="0"/>
                    <w:jc w:val="center"/>
                    <w:textAlignment w:val="center"/>
                    <w:rPr>
                      <w:rFonts w:eastAsia="等线"/>
                      <w:color w:val="000000"/>
                      <w:szCs w:val="21"/>
                    </w:rPr>
                  </w:pPr>
                  <w:r>
                    <w:rPr>
                      <w:rFonts w:eastAsia="等线"/>
                      <w:color w:val="000000"/>
                      <w:kern w:val="0"/>
                      <w:szCs w:val="21"/>
                      <w:lang w:bidi="ar"/>
                    </w:rPr>
                    <w:t>102</w:t>
                  </w:r>
                </w:p>
              </w:tc>
            </w:tr>
            <w:tr w14:paraId="06ECE5F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2A5B5C5D">
                  <w:pPr>
                    <w:widowControl/>
                    <w:snapToGrid w:val="0"/>
                    <w:jc w:val="center"/>
                    <w:textAlignment w:val="center"/>
                    <w:rPr>
                      <w:rFonts w:eastAsia="等线"/>
                      <w:color w:val="000000"/>
                      <w:kern w:val="0"/>
                      <w:szCs w:val="21"/>
                    </w:rPr>
                  </w:pPr>
                  <w:r>
                    <w:rPr>
                      <w:rFonts w:eastAsia="等线"/>
                      <w:color w:val="000000"/>
                      <w:kern w:val="0"/>
                      <w:szCs w:val="21"/>
                      <w:lang w:bidi="ar"/>
                    </w:rPr>
                    <w:t>3月7日</w:t>
                  </w:r>
                </w:p>
              </w:tc>
              <w:tc>
                <w:tcPr>
                  <w:tcW w:w="699" w:type="pct"/>
                  <w:tcBorders>
                    <w:top w:val="single" w:color="000000" w:sz="4" w:space="0"/>
                    <w:bottom w:val="single" w:color="000000" w:sz="4" w:space="0"/>
                  </w:tcBorders>
                  <w:shd w:val="clear" w:color="auto" w:fill="FFFFFF"/>
                  <w:vAlign w:val="center"/>
                </w:tcPr>
                <w:p w14:paraId="0DF3315B">
                  <w:pPr>
                    <w:widowControl/>
                    <w:snapToGrid w:val="0"/>
                    <w:jc w:val="center"/>
                    <w:textAlignment w:val="center"/>
                    <w:rPr>
                      <w:rFonts w:eastAsia="等线"/>
                      <w:color w:val="000000"/>
                      <w:szCs w:val="21"/>
                    </w:rPr>
                  </w:pPr>
                  <w:r>
                    <w:rPr>
                      <w:rFonts w:eastAsia="等线"/>
                      <w:color w:val="000000"/>
                      <w:kern w:val="0"/>
                      <w:szCs w:val="21"/>
                      <w:lang w:bidi="ar"/>
                    </w:rPr>
                    <w:t>10</w:t>
                  </w:r>
                </w:p>
              </w:tc>
              <w:tc>
                <w:tcPr>
                  <w:tcW w:w="705" w:type="pct"/>
                  <w:tcBorders>
                    <w:top w:val="single" w:color="000000" w:sz="4" w:space="0"/>
                    <w:bottom w:val="single" w:color="000000" w:sz="4" w:space="0"/>
                  </w:tcBorders>
                  <w:shd w:val="clear" w:color="auto" w:fill="FFFFFF"/>
                  <w:vAlign w:val="center"/>
                </w:tcPr>
                <w:p w14:paraId="45B9342B">
                  <w:pPr>
                    <w:widowControl/>
                    <w:snapToGrid w:val="0"/>
                    <w:jc w:val="center"/>
                    <w:textAlignment w:val="center"/>
                    <w:rPr>
                      <w:rFonts w:eastAsia="等线"/>
                      <w:color w:val="000000"/>
                      <w:szCs w:val="21"/>
                    </w:rPr>
                  </w:pPr>
                  <w:r>
                    <w:rPr>
                      <w:rFonts w:eastAsia="等线"/>
                      <w:color w:val="000000"/>
                      <w:kern w:val="0"/>
                      <w:szCs w:val="21"/>
                      <w:lang w:bidi="ar"/>
                    </w:rPr>
                    <w:t>28</w:t>
                  </w:r>
                </w:p>
              </w:tc>
              <w:tc>
                <w:tcPr>
                  <w:tcW w:w="704" w:type="pct"/>
                  <w:tcBorders>
                    <w:top w:val="single" w:color="000000" w:sz="4" w:space="0"/>
                    <w:bottom w:val="single" w:color="000000" w:sz="4" w:space="0"/>
                  </w:tcBorders>
                  <w:shd w:val="clear" w:color="auto" w:fill="FFFFFF"/>
                  <w:vAlign w:val="center"/>
                </w:tcPr>
                <w:p w14:paraId="6D1333BB">
                  <w:pPr>
                    <w:widowControl/>
                    <w:snapToGrid w:val="0"/>
                    <w:jc w:val="center"/>
                    <w:textAlignment w:val="center"/>
                    <w:rPr>
                      <w:rFonts w:eastAsia="等线"/>
                      <w:color w:val="000000"/>
                      <w:szCs w:val="21"/>
                    </w:rPr>
                  </w:pPr>
                  <w:r>
                    <w:rPr>
                      <w:rFonts w:eastAsia="等线"/>
                      <w:color w:val="000000"/>
                      <w:kern w:val="0"/>
                      <w:szCs w:val="21"/>
                      <w:lang w:bidi="ar"/>
                    </w:rPr>
                    <w:t>0.50</w:t>
                  </w:r>
                </w:p>
              </w:tc>
              <w:tc>
                <w:tcPr>
                  <w:tcW w:w="704" w:type="pct"/>
                  <w:tcBorders>
                    <w:top w:val="single" w:color="000000" w:sz="4" w:space="0"/>
                    <w:bottom w:val="single" w:color="000000" w:sz="4" w:space="0"/>
                  </w:tcBorders>
                  <w:shd w:val="clear" w:color="auto" w:fill="FFFFFF"/>
                  <w:vAlign w:val="center"/>
                </w:tcPr>
                <w:p w14:paraId="14B46C2C">
                  <w:pPr>
                    <w:widowControl/>
                    <w:snapToGrid w:val="0"/>
                    <w:jc w:val="center"/>
                    <w:textAlignment w:val="center"/>
                    <w:rPr>
                      <w:rFonts w:eastAsia="等线"/>
                      <w:color w:val="000000"/>
                      <w:szCs w:val="21"/>
                    </w:rPr>
                  </w:pPr>
                  <w:r>
                    <w:rPr>
                      <w:rFonts w:eastAsia="等线"/>
                      <w:color w:val="000000"/>
                      <w:kern w:val="0"/>
                      <w:szCs w:val="21"/>
                      <w:lang w:bidi="ar"/>
                    </w:rPr>
                    <w:t>98</w:t>
                  </w:r>
                </w:p>
              </w:tc>
              <w:tc>
                <w:tcPr>
                  <w:tcW w:w="704" w:type="pct"/>
                  <w:tcBorders>
                    <w:top w:val="single" w:color="000000" w:sz="4" w:space="0"/>
                    <w:bottom w:val="single" w:color="000000" w:sz="4" w:space="0"/>
                  </w:tcBorders>
                  <w:shd w:val="clear" w:color="auto" w:fill="FFFFFF"/>
                  <w:vAlign w:val="center"/>
                </w:tcPr>
                <w:p w14:paraId="68A6825D">
                  <w:pPr>
                    <w:widowControl/>
                    <w:snapToGrid w:val="0"/>
                    <w:jc w:val="center"/>
                    <w:textAlignment w:val="center"/>
                    <w:rPr>
                      <w:rFonts w:eastAsia="等线"/>
                      <w:color w:val="000000"/>
                      <w:szCs w:val="21"/>
                    </w:rPr>
                  </w:pPr>
                  <w:r>
                    <w:rPr>
                      <w:rFonts w:eastAsia="等线"/>
                      <w:color w:val="000000"/>
                      <w:kern w:val="0"/>
                      <w:szCs w:val="21"/>
                      <w:lang w:bidi="ar"/>
                    </w:rPr>
                    <w:t>42</w:t>
                  </w:r>
                </w:p>
              </w:tc>
              <w:tc>
                <w:tcPr>
                  <w:tcW w:w="705" w:type="pct"/>
                  <w:tcBorders>
                    <w:top w:val="single" w:color="000000" w:sz="4" w:space="0"/>
                    <w:bottom w:val="single" w:color="000000" w:sz="4" w:space="0"/>
                    <w:right w:val="single" w:color="auto" w:sz="4" w:space="0"/>
                  </w:tcBorders>
                  <w:shd w:val="clear" w:color="auto" w:fill="FFFFFF"/>
                  <w:vAlign w:val="center"/>
                </w:tcPr>
                <w:p w14:paraId="56E41455">
                  <w:pPr>
                    <w:widowControl/>
                    <w:snapToGrid w:val="0"/>
                    <w:jc w:val="center"/>
                    <w:textAlignment w:val="center"/>
                    <w:rPr>
                      <w:rFonts w:eastAsia="等线"/>
                      <w:color w:val="000000"/>
                      <w:szCs w:val="21"/>
                    </w:rPr>
                  </w:pPr>
                  <w:r>
                    <w:rPr>
                      <w:rFonts w:eastAsia="等线"/>
                      <w:color w:val="000000"/>
                      <w:kern w:val="0"/>
                      <w:szCs w:val="21"/>
                      <w:lang w:bidi="ar"/>
                    </w:rPr>
                    <w:t>59</w:t>
                  </w:r>
                </w:p>
              </w:tc>
            </w:tr>
            <w:tr w14:paraId="39F237D1">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493EC31E">
                  <w:pPr>
                    <w:widowControl/>
                    <w:snapToGrid w:val="0"/>
                    <w:jc w:val="center"/>
                    <w:textAlignment w:val="center"/>
                    <w:rPr>
                      <w:rFonts w:eastAsia="等线"/>
                      <w:color w:val="000000"/>
                      <w:kern w:val="0"/>
                      <w:szCs w:val="21"/>
                    </w:rPr>
                  </w:pPr>
                  <w:r>
                    <w:rPr>
                      <w:rFonts w:eastAsia="等线"/>
                      <w:color w:val="000000"/>
                      <w:kern w:val="0"/>
                      <w:szCs w:val="21"/>
                      <w:lang w:bidi="ar"/>
                    </w:rPr>
                    <w:t>3月8日</w:t>
                  </w:r>
                </w:p>
              </w:tc>
              <w:tc>
                <w:tcPr>
                  <w:tcW w:w="699" w:type="pct"/>
                  <w:tcBorders>
                    <w:top w:val="single" w:color="000000" w:sz="4" w:space="0"/>
                    <w:bottom w:val="single" w:color="000000" w:sz="4" w:space="0"/>
                  </w:tcBorders>
                  <w:shd w:val="clear" w:color="auto" w:fill="FFFFFF"/>
                  <w:vAlign w:val="center"/>
                </w:tcPr>
                <w:p w14:paraId="07D02AF2">
                  <w:pPr>
                    <w:widowControl/>
                    <w:snapToGrid w:val="0"/>
                    <w:jc w:val="center"/>
                    <w:textAlignment w:val="center"/>
                    <w:rPr>
                      <w:rFonts w:eastAsia="等线"/>
                      <w:color w:val="000000"/>
                      <w:szCs w:val="21"/>
                    </w:rPr>
                  </w:pPr>
                  <w:r>
                    <w:rPr>
                      <w:rFonts w:eastAsia="等线"/>
                      <w:color w:val="000000"/>
                      <w:kern w:val="0"/>
                      <w:szCs w:val="21"/>
                      <w:lang w:bidi="ar"/>
                    </w:rPr>
                    <w:t>13</w:t>
                  </w:r>
                </w:p>
              </w:tc>
              <w:tc>
                <w:tcPr>
                  <w:tcW w:w="705" w:type="pct"/>
                  <w:tcBorders>
                    <w:top w:val="single" w:color="000000" w:sz="4" w:space="0"/>
                    <w:bottom w:val="single" w:color="000000" w:sz="4" w:space="0"/>
                  </w:tcBorders>
                  <w:shd w:val="clear" w:color="auto" w:fill="FFFFFF"/>
                  <w:vAlign w:val="center"/>
                </w:tcPr>
                <w:p w14:paraId="580C3F9C">
                  <w:pPr>
                    <w:widowControl/>
                    <w:snapToGrid w:val="0"/>
                    <w:jc w:val="center"/>
                    <w:textAlignment w:val="center"/>
                    <w:rPr>
                      <w:rFonts w:eastAsia="等线"/>
                      <w:color w:val="000000"/>
                      <w:szCs w:val="21"/>
                    </w:rPr>
                  </w:pPr>
                  <w:r>
                    <w:rPr>
                      <w:rFonts w:eastAsia="等线"/>
                      <w:color w:val="000000"/>
                      <w:kern w:val="0"/>
                      <w:szCs w:val="21"/>
                      <w:lang w:bidi="ar"/>
                    </w:rPr>
                    <w:t>42</w:t>
                  </w:r>
                </w:p>
              </w:tc>
              <w:tc>
                <w:tcPr>
                  <w:tcW w:w="704" w:type="pct"/>
                  <w:tcBorders>
                    <w:top w:val="single" w:color="000000" w:sz="4" w:space="0"/>
                    <w:bottom w:val="single" w:color="000000" w:sz="4" w:space="0"/>
                  </w:tcBorders>
                  <w:shd w:val="clear" w:color="auto" w:fill="FFFFFF"/>
                  <w:vAlign w:val="center"/>
                </w:tcPr>
                <w:p w14:paraId="68F11844">
                  <w:pPr>
                    <w:widowControl/>
                    <w:snapToGrid w:val="0"/>
                    <w:jc w:val="center"/>
                    <w:textAlignment w:val="center"/>
                    <w:rPr>
                      <w:rFonts w:eastAsia="等线"/>
                      <w:color w:val="000000"/>
                      <w:szCs w:val="21"/>
                    </w:rPr>
                  </w:pPr>
                  <w:r>
                    <w:rPr>
                      <w:rFonts w:eastAsia="等线"/>
                      <w:color w:val="000000"/>
                      <w:kern w:val="0"/>
                      <w:szCs w:val="21"/>
                      <w:lang w:bidi="ar"/>
                    </w:rPr>
                    <w:t>0.60</w:t>
                  </w:r>
                </w:p>
              </w:tc>
              <w:tc>
                <w:tcPr>
                  <w:tcW w:w="704" w:type="pct"/>
                  <w:tcBorders>
                    <w:top w:val="single" w:color="000000" w:sz="4" w:space="0"/>
                    <w:bottom w:val="single" w:color="000000" w:sz="4" w:space="0"/>
                  </w:tcBorders>
                  <w:shd w:val="clear" w:color="auto" w:fill="FFFFFF"/>
                  <w:vAlign w:val="center"/>
                </w:tcPr>
                <w:p w14:paraId="043CC552">
                  <w:pPr>
                    <w:widowControl/>
                    <w:snapToGrid w:val="0"/>
                    <w:jc w:val="center"/>
                    <w:textAlignment w:val="center"/>
                    <w:rPr>
                      <w:rFonts w:eastAsia="等线"/>
                      <w:color w:val="000000"/>
                      <w:szCs w:val="21"/>
                    </w:rPr>
                  </w:pPr>
                  <w:r>
                    <w:rPr>
                      <w:rFonts w:eastAsia="等线"/>
                      <w:color w:val="000000"/>
                      <w:kern w:val="0"/>
                      <w:szCs w:val="21"/>
                      <w:lang w:bidi="ar"/>
                    </w:rPr>
                    <w:t>85</w:t>
                  </w:r>
                </w:p>
              </w:tc>
              <w:tc>
                <w:tcPr>
                  <w:tcW w:w="704" w:type="pct"/>
                  <w:tcBorders>
                    <w:top w:val="single" w:color="000000" w:sz="4" w:space="0"/>
                    <w:bottom w:val="single" w:color="000000" w:sz="4" w:space="0"/>
                  </w:tcBorders>
                  <w:shd w:val="clear" w:color="auto" w:fill="FFFFFF"/>
                  <w:vAlign w:val="center"/>
                </w:tcPr>
                <w:p w14:paraId="2A6A7B62">
                  <w:pPr>
                    <w:widowControl/>
                    <w:snapToGrid w:val="0"/>
                    <w:jc w:val="center"/>
                    <w:textAlignment w:val="center"/>
                    <w:rPr>
                      <w:rFonts w:eastAsia="等线"/>
                      <w:color w:val="000000"/>
                      <w:szCs w:val="21"/>
                    </w:rPr>
                  </w:pPr>
                  <w:r>
                    <w:rPr>
                      <w:rFonts w:eastAsia="等线"/>
                      <w:color w:val="000000"/>
                      <w:kern w:val="0"/>
                      <w:szCs w:val="21"/>
                      <w:lang w:bidi="ar"/>
                    </w:rPr>
                    <w:t>70</w:t>
                  </w:r>
                </w:p>
              </w:tc>
              <w:tc>
                <w:tcPr>
                  <w:tcW w:w="705" w:type="pct"/>
                  <w:tcBorders>
                    <w:top w:val="single" w:color="000000" w:sz="4" w:space="0"/>
                    <w:bottom w:val="single" w:color="000000" w:sz="4" w:space="0"/>
                    <w:right w:val="single" w:color="auto" w:sz="4" w:space="0"/>
                  </w:tcBorders>
                  <w:shd w:val="clear" w:color="auto" w:fill="FFFFFF"/>
                  <w:vAlign w:val="center"/>
                </w:tcPr>
                <w:p w14:paraId="520C38F7">
                  <w:pPr>
                    <w:widowControl/>
                    <w:snapToGrid w:val="0"/>
                    <w:jc w:val="center"/>
                    <w:textAlignment w:val="center"/>
                    <w:rPr>
                      <w:rFonts w:eastAsia="等线"/>
                      <w:color w:val="000000"/>
                      <w:szCs w:val="21"/>
                    </w:rPr>
                  </w:pPr>
                  <w:r>
                    <w:rPr>
                      <w:rFonts w:eastAsia="等线"/>
                      <w:color w:val="000000"/>
                      <w:kern w:val="0"/>
                      <w:szCs w:val="21"/>
                      <w:lang w:bidi="ar"/>
                    </w:rPr>
                    <w:t>95</w:t>
                  </w:r>
                </w:p>
              </w:tc>
            </w:tr>
            <w:tr w14:paraId="6536932D">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1C542FD5">
                  <w:pPr>
                    <w:widowControl/>
                    <w:snapToGrid w:val="0"/>
                    <w:jc w:val="center"/>
                    <w:textAlignment w:val="center"/>
                    <w:rPr>
                      <w:rFonts w:eastAsia="等线"/>
                      <w:color w:val="000000"/>
                      <w:kern w:val="0"/>
                      <w:szCs w:val="21"/>
                    </w:rPr>
                  </w:pPr>
                  <w:r>
                    <w:rPr>
                      <w:rFonts w:eastAsia="等线"/>
                      <w:color w:val="000000"/>
                      <w:kern w:val="0"/>
                      <w:szCs w:val="21"/>
                      <w:lang w:bidi="ar"/>
                    </w:rPr>
                    <w:t>3月9日</w:t>
                  </w:r>
                </w:p>
              </w:tc>
              <w:tc>
                <w:tcPr>
                  <w:tcW w:w="699" w:type="pct"/>
                  <w:tcBorders>
                    <w:top w:val="single" w:color="000000" w:sz="4" w:space="0"/>
                    <w:bottom w:val="single" w:color="000000" w:sz="4" w:space="0"/>
                  </w:tcBorders>
                  <w:shd w:val="clear" w:color="auto" w:fill="FFFFFF"/>
                  <w:vAlign w:val="center"/>
                </w:tcPr>
                <w:p w14:paraId="64BBCF3A">
                  <w:pPr>
                    <w:widowControl/>
                    <w:snapToGrid w:val="0"/>
                    <w:jc w:val="center"/>
                    <w:textAlignment w:val="center"/>
                    <w:rPr>
                      <w:rFonts w:eastAsia="等线"/>
                      <w:color w:val="000000"/>
                      <w:szCs w:val="21"/>
                    </w:rPr>
                  </w:pPr>
                  <w:r>
                    <w:rPr>
                      <w:rFonts w:eastAsia="等线"/>
                      <w:color w:val="000000"/>
                      <w:kern w:val="0"/>
                      <w:szCs w:val="21"/>
                      <w:lang w:bidi="ar"/>
                    </w:rPr>
                    <w:t>8</w:t>
                  </w:r>
                </w:p>
              </w:tc>
              <w:tc>
                <w:tcPr>
                  <w:tcW w:w="705" w:type="pct"/>
                  <w:tcBorders>
                    <w:top w:val="single" w:color="000000" w:sz="4" w:space="0"/>
                    <w:bottom w:val="single" w:color="000000" w:sz="4" w:space="0"/>
                  </w:tcBorders>
                  <w:shd w:val="clear" w:color="auto" w:fill="FFFFFF"/>
                  <w:vAlign w:val="center"/>
                </w:tcPr>
                <w:p w14:paraId="1409BD8A">
                  <w:pPr>
                    <w:widowControl/>
                    <w:snapToGrid w:val="0"/>
                    <w:jc w:val="center"/>
                    <w:textAlignment w:val="center"/>
                    <w:rPr>
                      <w:rFonts w:eastAsia="等线"/>
                      <w:color w:val="000000"/>
                      <w:szCs w:val="21"/>
                    </w:rPr>
                  </w:pPr>
                  <w:r>
                    <w:rPr>
                      <w:rFonts w:eastAsia="等线"/>
                      <w:color w:val="000000"/>
                      <w:kern w:val="0"/>
                      <w:szCs w:val="21"/>
                      <w:lang w:bidi="ar"/>
                    </w:rPr>
                    <w:t>35</w:t>
                  </w:r>
                </w:p>
              </w:tc>
              <w:tc>
                <w:tcPr>
                  <w:tcW w:w="704" w:type="pct"/>
                  <w:tcBorders>
                    <w:top w:val="single" w:color="000000" w:sz="4" w:space="0"/>
                    <w:bottom w:val="single" w:color="000000" w:sz="4" w:space="0"/>
                  </w:tcBorders>
                  <w:shd w:val="clear" w:color="auto" w:fill="FFFFFF"/>
                  <w:vAlign w:val="center"/>
                </w:tcPr>
                <w:p w14:paraId="54B905F6">
                  <w:pPr>
                    <w:widowControl/>
                    <w:snapToGrid w:val="0"/>
                    <w:jc w:val="center"/>
                    <w:textAlignment w:val="center"/>
                    <w:rPr>
                      <w:rFonts w:eastAsia="等线"/>
                      <w:color w:val="000000"/>
                      <w:szCs w:val="21"/>
                    </w:rPr>
                  </w:pPr>
                  <w:r>
                    <w:rPr>
                      <w:rFonts w:eastAsia="等线"/>
                      <w:color w:val="000000"/>
                      <w:kern w:val="0"/>
                      <w:szCs w:val="21"/>
                      <w:lang w:bidi="ar"/>
                    </w:rPr>
                    <w:t>0.30</w:t>
                  </w:r>
                </w:p>
              </w:tc>
              <w:tc>
                <w:tcPr>
                  <w:tcW w:w="704" w:type="pct"/>
                  <w:tcBorders>
                    <w:top w:val="single" w:color="000000" w:sz="4" w:space="0"/>
                    <w:bottom w:val="single" w:color="000000" w:sz="4" w:space="0"/>
                  </w:tcBorders>
                  <w:shd w:val="clear" w:color="auto" w:fill="FFFFFF"/>
                  <w:vAlign w:val="center"/>
                </w:tcPr>
                <w:p w14:paraId="59269C5C">
                  <w:pPr>
                    <w:widowControl/>
                    <w:snapToGrid w:val="0"/>
                    <w:jc w:val="center"/>
                    <w:textAlignment w:val="center"/>
                    <w:rPr>
                      <w:rFonts w:eastAsia="等线"/>
                      <w:color w:val="000000"/>
                      <w:szCs w:val="21"/>
                    </w:rPr>
                  </w:pPr>
                  <w:r>
                    <w:rPr>
                      <w:rFonts w:eastAsia="等线"/>
                      <w:color w:val="000000"/>
                      <w:kern w:val="0"/>
                      <w:szCs w:val="21"/>
                      <w:lang w:bidi="ar"/>
                    </w:rPr>
                    <w:t>72</w:t>
                  </w:r>
                </w:p>
              </w:tc>
              <w:tc>
                <w:tcPr>
                  <w:tcW w:w="704" w:type="pct"/>
                  <w:tcBorders>
                    <w:top w:val="single" w:color="000000" w:sz="4" w:space="0"/>
                    <w:bottom w:val="single" w:color="000000" w:sz="4" w:space="0"/>
                  </w:tcBorders>
                  <w:shd w:val="clear" w:color="auto" w:fill="FFFFFF"/>
                  <w:vAlign w:val="center"/>
                </w:tcPr>
                <w:p w14:paraId="39496823">
                  <w:pPr>
                    <w:widowControl/>
                    <w:snapToGrid w:val="0"/>
                    <w:jc w:val="center"/>
                    <w:textAlignment w:val="center"/>
                    <w:rPr>
                      <w:rFonts w:eastAsia="等线"/>
                      <w:color w:val="000000"/>
                      <w:szCs w:val="21"/>
                    </w:rPr>
                  </w:pPr>
                  <w:r>
                    <w:rPr>
                      <w:rFonts w:eastAsia="等线"/>
                      <w:color w:val="000000"/>
                      <w:kern w:val="0"/>
                      <w:szCs w:val="21"/>
                      <w:lang w:bidi="ar"/>
                    </w:rPr>
                    <w:t>43</w:t>
                  </w:r>
                </w:p>
              </w:tc>
              <w:tc>
                <w:tcPr>
                  <w:tcW w:w="705" w:type="pct"/>
                  <w:tcBorders>
                    <w:top w:val="single" w:color="000000" w:sz="4" w:space="0"/>
                    <w:bottom w:val="single" w:color="000000" w:sz="4" w:space="0"/>
                    <w:right w:val="single" w:color="auto" w:sz="4" w:space="0"/>
                  </w:tcBorders>
                  <w:shd w:val="clear" w:color="auto" w:fill="FFFFFF"/>
                  <w:vAlign w:val="center"/>
                </w:tcPr>
                <w:p w14:paraId="502CE413">
                  <w:pPr>
                    <w:widowControl/>
                    <w:snapToGrid w:val="0"/>
                    <w:jc w:val="center"/>
                    <w:textAlignment w:val="center"/>
                    <w:rPr>
                      <w:rFonts w:eastAsia="等线"/>
                      <w:color w:val="000000"/>
                      <w:szCs w:val="21"/>
                    </w:rPr>
                  </w:pPr>
                  <w:r>
                    <w:rPr>
                      <w:rFonts w:eastAsia="等线"/>
                      <w:color w:val="000000"/>
                      <w:kern w:val="0"/>
                      <w:szCs w:val="21"/>
                      <w:lang w:bidi="ar"/>
                    </w:rPr>
                    <w:t>78</w:t>
                  </w:r>
                </w:p>
              </w:tc>
            </w:tr>
            <w:tr w14:paraId="05B7174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79B92339">
                  <w:pPr>
                    <w:widowControl/>
                    <w:snapToGrid w:val="0"/>
                    <w:jc w:val="center"/>
                    <w:textAlignment w:val="center"/>
                    <w:rPr>
                      <w:rFonts w:eastAsia="等线"/>
                      <w:color w:val="000000"/>
                      <w:kern w:val="0"/>
                      <w:szCs w:val="21"/>
                    </w:rPr>
                  </w:pPr>
                  <w:r>
                    <w:rPr>
                      <w:rFonts w:eastAsia="等线"/>
                      <w:color w:val="000000"/>
                      <w:kern w:val="0"/>
                      <w:szCs w:val="21"/>
                      <w:lang w:bidi="ar"/>
                    </w:rPr>
                    <w:t>3月10日</w:t>
                  </w:r>
                </w:p>
              </w:tc>
              <w:tc>
                <w:tcPr>
                  <w:tcW w:w="699" w:type="pct"/>
                  <w:tcBorders>
                    <w:top w:val="single" w:color="000000" w:sz="4" w:space="0"/>
                    <w:bottom w:val="single" w:color="000000" w:sz="4" w:space="0"/>
                  </w:tcBorders>
                  <w:shd w:val="clear" w:color="auto" w:fill="FFFFFF"/>
                  <w:vAlign w:val="center"/>
                </w:tcPr>
                <w:p w14:paraId="4E8947E7">
                  <w:pPr>
                    <w:widowControl/>
                    <w:snapToGrid w:val="0"/>
                    <w:jc w:val="center"/>
                    <w:textAlignment w:val="center"/>
                    <w:rPr>
                      <w:rFonts w:eastAsia="等线"/>
                      <w:color w:val="000000"/>
                      <w:szCs w:val="21"/>
                    </w:rPr>
                  </w:pPr>
                  <w:r>
                    <w:rPr>
                      <w:rFonts w:eastAsia="等线"/>
                      <w:color w:val="000000"/>
                      <w:kern w:val="0"/>
                      <w:szCs w:val="21"/>
                      <w:lang w:bidi="ar"/>
                    </w:rPr>
                    <w:t>19</w:t>
                  </w:r>
                </w:p>
              </w:tc>
              <w:tc>
                <w:tcPr>
                  <w:tcW w:w="705" w:type="pct"/>
                  <w:tcBorders>
                    <w:top w:val="single" w:color="000000" w:sz="4" w:space="0"/>
                    <w:bottom w:val="single" w:color="000000" w:sz="4" w:space="0"/>
                  </w:tcBorders>
                  <w:shd w:val="clear" w:color="auto" w:fill="FFFFFF"/>
                  <w:vAlign w:val="center"/>
                </w:tcPr>
                <w:p w14:paraId="03984F0D">
                  <w:pPr>
                    <w:widowControl/>
                    <w:snapToGrid w:val="0"/>
                    <w:jc w:val="center"/>
                    <w:textAlignment w:val="center"/>
                    <w:rPr>
                      <w:rFonts w:eastAsia="等线"/>
                      <w:color w:val="000000"/>
                      <w:szCs w:val="21"/>
                    </w:rPr>
                  </w:pPr>
                  <w:r>
                    <w:rPr>
                      <w:rFonts w:eastAsia="等线"/>
                      <w:color w:val="000000"/>
                      <w:kern w:val="0"/>
                      <w:szCs w:val="21"/>
                      <w:lang w:bidi="ar"/>
                    </w:rPr>
                    <w:t>17</w:t>
                  </w:r>
                </w:p>
              </w:tc>
              <w:tc>
                <w:tcPr>
                  <w:tcW w:w="704" w:type="pct"/>
                  <w:tcBorders>
                    <w:top w:val="single" w:color="000000" w:sz="4" w:space="0"/>
                    <w:bottom w:val="single" w:color="000000" w:sz="4" w:space="0"/>
                  </w:tcBorders>
                  <w:shd w:val="clear" w:color="auto" w:fill="FFFFFF"/>
                  <w:vAlign w:val="center"/>
                </w:tcPr>
                <w:p w14:paraId="051D48F1">
                  <w:pPr>
                    <w:widowControl/>
                    <w:snapToGrid w:val="0"/>
                    <w:jc w:val="center"/>
                    <w:textAlignment w:val="center"/>
                    <w:rPr>
                      <w:rFonts w:eastAsia="等线"/>
                      <w:color w:val="000000"/>
                      <w:szCs w:val="21"/>
                    </w:rPr>
                  </w:pPr>
                  <w:r>
                    <w:rPr>
                      <w:rFonts w:eastAsia="等线"/>
                      <w:color w:val="000000"/>
                      <w:kern w:val="0"/>
                      <w:szCs w:val="21"/>
                      <w:lang w:bidi="ar"/>
                    </w:rPr>
                    <w:t>0.30</w:t>
                  </w:r>
                </w:p>
              </w:tc>
              <w:tc>
                <w:tcPr>
                  <w:tcW w:w="704" w:type="pct"/>
                  <w:tcBorders>
                    <w:top w:val="single" w:color="000000" w:sz="4" w:space="0"/>
                    <w:bottom w:val="single" w:color="000000" w:sz="4" w:space="0"/>
                  </w:tcBorders>
                  <w:shd w:val="clear" w:color="auto" w:fill="FFFFFF"/>
                  <w:vAlign w:val="center"/>
                </w:tcPr>
                <w:p w14:paraId="4F840743">
                  <w:pPr>
                    <w:widowControl/>
                    <w:snapToGrid w:val="0"/>
                    <w:jc w:val="center"/>
                    <w:textAlignment w:val="center"/>
                    <w:rPr>
                      <w:rFonts w:eastAsia="等线"/>
                      <w:color w:val="000000"/>
                      <w:szCs w:val="21"/>
                    </w:rPr>
                  </w:pPr>
                  <w:r>
                    <w:rPr>
                      <w:rFonts w:eastAsia="等线"/>
                      <w:color w:val="000000"/>
                      <w:kern w:val="0"/>
                      <w:szCs w:val="21"/>
                      <w:lang w:bidi="ar"/>
                    </w:rPr>
                    <w:t>96</w:t>
                  </w:r>
                </w:p>
              </w:tc>
              <w:tc>
                <w:tcPr>
                  <w:tcW w:w="704" w:type="pct"/>
                  <w:tcBorders>
                    <w:top w:val="single" w:color="000000" w:sz="4" w:space="0"/>
                    <w:bottom w:val="single" w:color="000000" w:sz="4" w:space="0"/>
                  </w:tcBorders>
                  <w:shd w:val="clear" w:color="auto" w:fill="FFFFFF"/>
                  <w:vAlign w:val="center"/>
                </w:tcPr>
                <w:p w14:paraId="17177AA5">
                  <w:pPr>
                    <w:widowControl/>
                    <w:snapToGrid w:val="0"/>
                    <w:jc w:val="center"/>
                    <w:textAlignment w:val="center"/>
                    <w:rPr>
                      <w:rFonts w:eastAsia="等线"/>
                      <w:color w:val="000000"/>
                      <w:szCs w:val="21"/>
                    </w:rPr>
                  </w:pPr>
                  <w:r>
                    <w:rPr>
                      <w:rFonts w:eastAsia="等线"/>
                      <w:color w:val="000000"/>
                      <w:kern w:val="0"/>
                      <w:szCs w:val="21"/>
                      <w:lang w:bidi="ar"/>
                    </w:rPr>
                    <w:t>15</w:t>
                  </w:r>
                </w:p>
              </w:tc>
              <w:tc>
                <w:tcPr>
                  <w:tcW w:w="705" w:type="pct"/>
                  <w:tcBorders>
                    <w:top w:val="single" w:color="000000" w:sz="4" w:space="0"/>
                    <w:bottom w:val="single" w:color="000000" w:sz="4" w:space="0"/>
                    <w:right w:val="single" w:color="auto" w:sz="4" w:space="0"/>
                  </w:tcBorders>
                  <w:shd w:val="clear" w:color="auto" w:fill="FFFFFF"/>
                  <w:vAlign w:val="center"/>
                </w:tcPr>
                <w:p w14:paraId="7AC8D598">
                  <w:pPr>
                    <w:widowControl/>
                    <w:snapToGrid w:val="0"/>
                    <w:jc w:val="center"/>
                    <w:textAlignment w:val="center"/>
                    <w:rPr>
                      <w:rFonts w:eastAsia="等线"/>
                      <w:color w:val="000000"/>
                      <w:szCs w:val="21"/>
                    </w:rPr>
                  </w:pPr>
                  <w:r>
                    <w:rPr>
                      <w:rFonts w:eastAsia="等线"/>
                      <w:color w:val="000000"/>
                      <w:kern w:val="0"/>
                      <w:szCs w:val="21"/>
                      <w:lang w:bidi="ar"/>
                    </w:rPr>
                    <w:t>29</w:t>
                  </w:r>
                </w:p>
              </w:tc>
            </w:tr>
            <w:tr w14:paraId="6B2E8461">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5C0446AC">
                  <w:pPr>
                    <w:widowControl/>
                    <w:snapToGrid w:val="0"/>
                    <w:jc w:val="center"/>
                    <w:textAlignment w:val="center"/>
                    <w:rPr>
                      <w:rFonts w:eastAsia="等线"/>
                      <w:color w:val="000000"/>
                      <w:kern w:val="0"/>
                      <w:szCs w:val="21"/>
                    </w:rPr>
                  </w:pPr>
                  <w:r>
                    <w:rPr>
                      <w:rFonts w:eastAsia="等线"/>
                      <w:color w:val="000000"/>
                      <w:kern w:val="0"/>
                      <w:szCs w:val="21"/>
                      <w:lang w:bidi="ar"/>
                    </w:rPr>
                    <w:t>3月11日</w:t>
                  </w:r>
                </w:p>
              </w:tc>
              <w:tc>
                <w:tcPr>
                  <w:tcW w:w="699" w:type="pct"/>
                  <w:tcBorders>
                    <w:top w:val="single" w:color="000000" w:sz="4" w:space="0"/>
                    <w:bottom w:val="single" w:color="000000" w:sz="4" w:space="0"/>
                  </w:tcBorders>
                  <w:shd w:val="clear" w:color="auto" w:fill="FFFFFF"/>
                  <w:vAlign w:val="center"/>
                </w:tcPr>
                <w:p w14:paraId="2B180C74">
                  <w:pPr>
                    <w:widowControl/>
                    <w:snapToGrid w:val="0"/>
                    <w:jc w:val="center"/>
                    <w:textAlignment w:val="center"/>
                    <w:rPr>
                      <w:rFonts w:eastAsia="等线"/>
                      <w:color w:val="000000"/>
                      <w:szCs w:val="21"/>
                    </w:rPr>
                  </w:pPr>
                  <w:r>
                    <w:rPr>
                      <w:rFonts w:eastAsia="等线"/>
                      <w:color w:val="000000"/>
                      <w:kern w:val="0"/>
                      <w:szCs w:val="21"/>
                      <w:lang w:bidi="ar"/>
                    </w:rPr>
                    <w:t>13</w:t>
                  </w:r>
                </w:p>
              </w:tc>
              <w:tc>
                <w:tcPr>
                  <w:tcW w:w="705" w:type="pct"/>
                  <w:tcBorders>
                    <w:top w:val="single" w:color="000000" w:sz="4" w:space="0"/>
                    <w:bottom w:val="single" w:color="000000" w:sz="4" w:space="0"/>
                  </w:tcBorders>
                  <w:shd w:val="clear" w:color="auto" w:fill="FFFFFF"/>
                  <w:vAlign w:val="center"/>
                </w:tcPr>
                <w:p w14:paraId="54A27B0E">
                  <w:pPr>
                    <w:widowControl/>
                    <w:snapToGrid w:val="0"/>
                    <w:jc w:val="center"/>
                    <w:textAlignment w:val="center"/>
                    <w:rPr>
                      <w:rFonts w:eastAsia="等线"/>
                      <w:color w:val="000000"/>
                      <w:szCs w:val="21"/>
                    </w:rPr>
                  </w:pPr>
                  <w:r>
                    <w:rPr>
                      <w:rFonts w:eastAsia="等线"/>
                      <w:color w:val="000000"/>
                      <w:kern w:val="0"/>
                      <w:szCs w:val="21"/>
                      <w:lang w:bidi="ar"/>
                    </w:rPr>
                    <w:t>29</w:t>
                  </w:r>
                </w:p>
              </w:tc>
              <w:tc>
                <w:tcPr>
                  <w:tcW w:w="704" w:type="pct"/>
                  <w:tcBorders>
                    <w:top w:val="single" w:color="000000" w:sz="4" w:space="0"/>
                    <w:bottom w:val="single" w:color="000000" w:sz="4" w:space="0"/>
                  </w:tcBorders>
                  <w:shd w:val="clear" w:color="auto" w:fill="FFFFFF"/>
                  <w:vAlign w:val="center"/>
                </w:tcPr>
                <w:p w14:paraId="7857BBC6">
                  <w:pPr>
                    <w:widowControl/>
                    <w:snapToGrid w:val="0"/>
                    <w:jc w:val="center"/>
                    <w:textAlignment w:val="center"/>
                    <w:rPr>
                      <w:rFonts w:eastAsia="等线"/>
                      <w:color w:val="000000"/>
                      <w:szCs w:val="21"/>
                    </w:rPr>
                  </w:pPr>
                  <w:r>
                    <w:rPr>
                      <w:rFonts w:eastAsia="等线"/>
                      <w:color w:val="000000"/>
                      <w:kern w:val="0"/>
                      <w:szCs w:val="21"/>
                      <w:lang w:bidi="ar"/>
                    </w:rPr>
                    <w:t>0.30</w:t>
                  </w:r>
                </w:p>
              </w:tc>
              <w:tc>
                <w:tcPr>
                  <w:tcW w:w="704" w:type="pct"/>
                  <w:tcBorders>
                    <w:top w:val="single" w:color="000000" w:sz="4" w:space="0"/>
                    <w:bottom w:val="single" w:color="000000" w:sz="4" w:space="0"/>
                  </w:tcBorders>
                  <w:shd w:val="clear" w:color="auto" w:fill="FFFFFF"/>
                  <w:vAlign w:val="center"/>
                </w:tcPr>
                <w:p w14:paraId="58CB8627">
                  <w:pPr>
                    <w:widowControl/>
                    <w:snapToGrid w:val="0"/>
                    <w:jc w:val="center"/>
                    <w:textAlignment w:val="center"/>
                    <w:rPr>
                      <w:rFonts w:eastAsia="等线"/>
                      <w:color w:val="000000"/>
                      <w:szCs w:val="21"/>
                    </w:rPr>
                  </w:pPr>
                  <w:r>
                    <w:rPr>
                      <w:rFonts w:eastAsia="等线"/>
                      <w:color w:val="000000"/>
                      <w:kern w:val="0"/>
                      <w:szCs w:val="21"/>
                      <w:lang w:bidi="ar"/>
                    </w:rPr>
                    <w:t>76</w:t>
                  </w:r>
                </w:p>
              </w:tc>
              <w:tc>
                <w:tcPr>
                  <w:tcW w:w="704" w:type="pct"/>
                  <w:tcBorders>
                    <w:top w:val="single" w:color="000000" w:sz="4" w:space="0"/>
                    <w:bottom w:val="single" w:color="000000" w:sz="4" w:space="0"/>
                  </w:tcBorders>
                  <w:shd w:val="clear" w:color="auto" w:fill="FFFFFF"/>
                  <w:vAlign w:val="center"/>
                </w:tcPr>
                <w:p w14:paraId="12E65D50">
                  <w:pPr>
                    <w:widowControl/>
                    <w:snapToGrid w:val="0"/>
                    <w:jc w:val="center"/>
                    <w:textAlignment w:val="center"/>
                    <w:rPr>
                      <w:rFonts w:eastAsia="等线"/>
                      <w:color w:val="000000"/>
                      <w:szCs w:val="21"/>
                    </w:rPr>
                  </w:pPr>
                  <w:r>
                    <w:rPr>
                      <w:rFonts w:eastAsia="等线"/>
                      <w:color w:val="000000"/>
                      <w:kern w:val="0"/>
                      <w:szCs w:val="21"/>
                      <w:lang w:bidi="ar"/>
                    </w:rPr>
                    <w:t>35</w:t>
                  </w:r>
                </w:p>
              </w:tc>
              <w:tc>
                <w:tcPr>
                  <w:tcW w:w="705" w:type="pct"/>
                  <w:tcBorders>
                    <w:top w:val="single" w:color="000000" w:sz="4" w:space="0"/>
                    <w:bottom w:val="single" w:color="000000" w:sz="4" w:space="0"/>
                    <w:right w:val="single" w:color="auto" w:sz="4" w:space="0"/>
                  </w:tcBorders>
                  <w:shd w:val="clear" w:color="auto" w:fill="FFFFFF"/>
                  <w:vAlign w:val="center"/>
                </w:tcPr>
                <w:p w14:paraId="2A96830E">
                  <w:pPr>
                    <w:widowControl/>
                    <w:snapToGrid w:val="0"/>
                    <w:jc w:val="center"/>
                    <w:textAlignment w:val="center"/>
                    <w:rPr>
                      <w:rFonts w:eastAsia="等线"/>
                      <w:color w:val="000000"/>
                      <w:szCs w:val="21"/>
                    </w:rPr>
                  </w:pPr>
                  <w:r>
                    <w:rPr>
                      <w:rFonts w:eastAsia="等线"/>
                      <w:color w:val="000000"/>
                      <w:kern w:val="0"/>
                      <w:szCs w:val="21"/>
                      <w:lang w:bidi="ar"/>
                    </w:rPr>
                    <w:t>69</w:t>
                  </w:r>
                </w:p>
              </w:tc>
            </w:tr>
            <w:tr w14:paraId="73247E97">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72996456">
                  <w:pPr>
                    <w:widowControl/>
                    <w:snapToGrid w:val="0"/>
                    <w:jc w:val="center"/>
                    <w:textAlignment w:val="center"/>
                    <w:rPr>
                      <w:rFonts w:eastAsia="等线"/>
                      <w:color w:val="000000"/>
                      <w:kern w:val="0"/>
                      <w:szCs w:val="21"/>
                    </w:rPr>
                  </w:pPr>
                  <w:r>
                    <w:rPr>
                      <w:rFonts w:eastAsia="等线"/>
                      <w:color w:val="000000"/>
                      <w:kern w:val="0"/>
                      <w:szCs w:val="21"/>
                      <w:lang w:bidi="ar"/>
                    </w:rPr>
                    <w:t>3月12日</w:t>
                  </w:r>
                </w:p>
              </w:tc>
              <w:tc>
                <w:tcPr>
                  <w:tcW w:w="699" w:type="pct"/>
                  <w:tcBorders>
                    <w:top w:val="single" w:color="000000" w:sz="4" w:space="0"/>
                    <w:bottom w:val="single" w:color="000000" w:sz="4" w:space="0"/>
                  </w:tcBorders>
                  <w:shd w:val="clear" w:color="auto" w:fill="FFFFFF"/>
                  <w:vAlign w:val="center"/>
                </w:tcPr>
                <w:p w14:paraId="01AB350D">
                  <w:pPr>
                    <w:widowControl/>
                    <w:snapToGrid w:val="0"/>
                    <w:jc w:val="center"/>
                    <w:textAlignment w:val="center"/>
                    <w:rPr>
                      <w:rFonts w:eastAsia="等线"/>
                      <w:color w:val="000000"/>
                      <w:szCs w:val="21"/>
                    </w:rPr>
                  </w:pPr>
                  <w:r>
                    <w:rPr>
                      <w:rFonts w:eastAsia="等线"/>
                      <w:color w:val="000000"/>
                      <w:kern w:val="0"/>
                      <w:szCs w:val="21"/>
                      <w:lang w:bidi="ar"/>
                    </w:rPr>
                    <w:t>10</w:t>
                  </w:r>
                </w:p>
              </w:tc>
              <w:tc>
                <w:tcPr>
                  <w:tcW w:w="705" w:type="pct"/>
                  <w:tcBorders>
                    <w:top w:val="single" w:color="000000" w:sz="4" w:space="0"/>
                    <w:bottom w:val="single" w:color="000000" w:sz="4" w:space="0"/>
                  </w:tcBorders>
                  <w:shd w:val="clear" w:color="auto" w:fill="FFFFFF"/>
                  <w:vAlign w:val="center"/>
                </w:tcPr>
                <w:p w14:paraId="201EE64D">
                  <w:pPr>
                    <w:widowControl/>
                    <w:snapToGrid w:val="0"/>
                    <w:jc w:val="center"/>
                    <w:textAlignment w:val="center"/>
                    <w:rPr>
                      <w:rFonts w:eastAsia="等线"/>
                      <w:color w:val="000000"/>
                      <w:szCs w:val="21"/>
                    </w:rPr>
                  </w:pPr>
                  <w:r>
                    <w:rPr>
                      <w:rFonts w:eastAsia="等线"/>
                      <w:color w:val="000000"/>
                      <w:kern w:val="0"/>
                      <w:szCs w:val="21"/>
                      <w:lang w:bidi="ar"/>
                    </w:rPr>
                    <w:t>27</w:t>
                  </w:r>
                </w:p>
              </w:tc>
              <w:tc>
                <w:tcPr>
                  <w:tcW w:w="704" w:type="pct"/>
                  <w:tcBorders>
                    <w:top w:val="single" w:color="000000" w:sz="4" w:space="0"/>
                    <w:bottom w:val="single" w:color="000000" w:sz="4" w:space="0"/>
                  </w:tcBorders>
                  <w:shd w:val="clear" w:color="auto" w:fill="FFFFFF"/>
                  <w:vAlign w:val="center"/>
                </w:tcPr>
                <w:p w14:paraId="5C75E2C1">
                  <w:pPr>
                    <w:widowControl/>
                    <w:snapToGrid w:val="0"/>
                    <w:jc w:val="center"/>
                    <w:textAlignment w:val="center"/>
                    <w:rPr>
                      <w:rFonts w:eastAsia="等线"/>
                      <w:color w:val="000000"/>
                      <w:szCs w:val="21"/>
                    </w:rPr>
                  </w:pPr>
                  <w:r>
                    <w:rPr>
                      <w:rFonts w:eastAsia="等线"/>
                      <w:color w:val="000000"/>
                      <w:kern w:val="0"/>
                      <w:szCs w:val="21"/>
                      <w:lang w:bidi="ar"/>
                    </w:rPr>
                    <w:t>0.40</w:t>
                  </w:r>
                </w:p>
              </w:tc>
              <w:tc>
                <w:tcPr>
                  <w:tcW w:w="704" w:type="pct"/>
                  <w:tcBorders>
                    <w:top w:val="single" w:color="000000" w:sz="4" w:space="0"/>
                    <w:bottom w:val="single" w:color="000000" w:sz="4" w:space="0"/>
                  </w:tcBorders>
                  <w:shd w:val="clear" w:color="auto" w:fill="FFFFFF"/>
                  <w:vAlign w:val="center"/>
                </w:tcPr>
                <w:p w14:paraId="3188DB3C">
                  <w:pPr>
                    <w:widowControl/>
                    <w:snapToGrid w:val="0"/>
                    <w:jc w:val="center"/>
                    <w:textAlignment w:val="center"/>
                    <w:rPr>
                      <w:rFonts w:eastAsia="等线"/>
                      <w:color w:val="000000"/>
                      <w:szCs w:val="21"/>
                    </w:rPr>
                  </w:pPr>
                  <w:r>
                    <w:rPr>
                      <w:rFonts w:eastAsia="等线"/>
                      <w:color w:val="000000"/>
                      <w:kern w:val="0"/>
                      <w:szCs w:val="21"/>
                      <w:lang w:bidi="ar"/>
                    </w:rPr>
                    <w:t>90</w:t>
                  </w:r>
                </w:p>
              </w:tc>
              <w:tc>
                <w:tcPr>
                  <w:tcW w:w="704" w:type="pct"/>
                  <w:tcBorders>
                    <w:top w:val="single" w:color="000000" w:sz="4" w:space="0"/>
                    <w:bottom w:val="single" w:color="000000" w:sz="4" w:space="0"/>
                  </w:tcBorders>
                  <w:shd w:val="clear" w:color="auto" w:fill="FFFFFF"/>
                  <w:vAlign w:val="center"/>
                </w:tcPr>
                <w:p w14:paraId="6A4F4D75">
                  <w:pPr>
                    <w:widowControl/>
                    <w:snapToGrid w:val="0"/>
                    <w:jc w:val="center"/>
                    <w:textAlignment w:val="center"/>
                    <w:rPr>
                      <w:rFonts w:eastAsia="等线"/>
                      <w:color w:val="000000"/>
                      <w:szCs w:val="21"/>
                    </w:rPr>
                  </w:pPr>
                  <w:r>
                    <w:rPr>
                      <w:rFonts w:eastAsia="等线"/>
                      <w:color w:val="000000"/>
                      <w:kern w:val="0"/>
                      <w:szCs w:val="21"/>
                      <w:lang w:bidi="ar"/>
                    </w:rPr>
                    <w:t>53</w:t>
                  </w:r>
                </w:p>
              </w:tc>
              <w:tc>
                <w:tcPr>
                  <w:tcW w:w="705" w:type="pct"/>
                  <w:tcBorders>
                    <w:top w:val="single" w:color="000000" w:sz="4" w:space="0"/>
                    <w:bottom w:val="single" w:color="000000" w:sz="4" w:space="0"/>
                    <w:right w:val="single" w:color="auto" w:sz="4" w:space="0"/>
                  </w:tcBorders>
                  <w:shd w:val="clear" w:color="auto" w:fill="FFFFFF"/>
                  <w:vAlign w:val="center"/>
                </w:tcPr>
                <w:p w14:paraId="7F5B7856">
                  <w:pPr>
                    <w:widowControl/>
                    <w:snapToGrid w:val="0"/>
                    <w:jc w:val="center"/>
                    <w:textAlignment w:val="center"/>
                    <w:rPr>
                      <w:rFonts w:eastAsia="等线"/>
                      <w:color w:val="000000"/>
                      <w:szCs w:val="21"/>
                    </w:rPr>
                  </w:pPr>
                  <w:r>
                    <w:rPr>
                      <w:rFonts w:eastAsia="等线"/>
                      <w:color w:val="000000"/>
                      <w:kern w:val="0"/>
                      <w:szCs w:val="21"/>
                      <w:lang w:bidi="ar"/>
                    </w:rPr>
                    <w:t>101</w:t>
                  </w:r>
                </w:p>
              </w:tc>
            </w:tr>
            <w:tr w14:paraId="1E28B7B5">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5A1950BA">
                  <w:pPr>
                    <w:widowControl/>
                    <w:snapToGrid w:val="0"/>
                    <w:jc w:val="center"/>
                    <w:textAlignment w:val="center"/>
                    <w:rPr>
                      <w:rFonts w:eastAsia="等线"/>
                      <w:color w:val="000000"/>
                      <w:kern w:val="0"/>
                      <w:szCs w:val="21"/>
                    </w:rPr>
                  </w:pPr>
                  <w:r>
                    <w:rPr>
                      <w:rFonts w:eastAsia="等线"/>
                      <w:color w:val="000000"/>
                      <w:kern w:val="0"/>
                      <w:szCs w:val="21"/>
                      <w:lang w:bidi="ar"/>
                    </w:rPr>
                    <w:t>3月13日</w:t>
                  </w:r>
                </w:p>
              </w:tc>
              <w:tc>
                <w:tcPr>
                  <w:tcW w:w="699" w:type="pct"/>
                  <w:tcBorders>
                    <w:top w:val="single" w:color="000000" w:sz="4" w:space="0"/>
                    <w:bottom w:val="single" w:color="000000" w:sz="4" w:space="0"/>
                  </w:tcBorders>
                  <w:shd w:val="clear" w:color="auto" w:fill="FFFFFF"/>
                  <w:vAlign w:val="center"/>
                </w:tcPr>
                <w:p w14:paraId="183AE2BD">
                  <w:pPr>
                    <w:widowControl/>
                    <w:snapToGrid w:val="0"/>
                    <w:jc w:val="center"/>
                    <w:textAlignment w:val="center"/>
                    <w:rPr>
                      <w:rFonts w:eastAsia="等线"/>
                      <w:color w:val="000000"/>
                      <w:szCs w:val="21"/>
                    </w:rPr>
                  </w:pPr>
                  <w:r>
                    <w:rPr>
                      <w:rFonts w:eastAsia="等线"/>
                      <w:color w:val="000000"/>
                      <w:kern w:val="0"/>
                      <w:szCs w:val="21"/>
                      <w:lang w:bidi="ar"/>
                    </w:rPr>
                    <w:t>16</w:t>
                  </w:r>
                </w:p>
              </w:tc>
              <w:tc>
                <w:tcPr>
                  <w:tcW w:w="705" w:type="pct"/>
                  <w:tcBorders>
                    <w:top w:val="single" w:color="000000" w:sz="4" w:space="0"/>
                    <w:bottom w:val="single" w:color="000000" w:sz="4" w:space="0"/>
                  </w:tcBorders>
                  <w:shd w:val="clear" w:color="auto" w:fill="FFFFFF"/>
                  <w:vAlign w:val="center"/>
                </w:tcPr>
                <w:p w14:paraId="2619271B">
                  <w:pPr>
                    <w:widowControl/>
                    <w:snapToGrid w:val="0"/>
                    <w:jc w:val="center"/>
                    <w:textAlignment w:val="center"/>
                    <w:rPr>
                      <w:rFonts w:eastAsia="等线"/>
                      <w:color w:val="000000"/>
                      <w:szCs w:val="21"/>
                    </w:rPr>
                  </w:pPr>
                  <w:r>
                    <w:rPr>
                      <w:rFonts w:eastAsia="等线"/>
                      <w:color w:val="000000"/>
                      <w:kern w:val="0"/>
                      <w:szCs w:val="21"/>
                      <w:lang w:bidi="ar"/>
                    </w:rPr>
                    <w:t>36</w:t>
                  </w:r>
                </w:p>
              </w:tc>
              <w:tc>
                <w:tcPr>
                  <w:tcW w:w="704" w:type="pct"/>
                  <w:tcBorders>
                    <w:top w:val="single" w:color="000000" w:sz="4" w:space="0"/>
                    <w:bottom w:val="single" w:color="000000" w:sz="4" w:space="0"/>
                  </w:tcBorders>
                  <w:shd w:val="clear" w:color="auto" w:fill="FFFFFF"/>
                  <w:vAlign w:val="center"/>
                </w:tcPr>
                <w:p w14:paraId="2DFE045C">
                  <w:pPr>
                    <w:widowControl/>
                    <w:snapToGrid w:val="0"/>
                    <w:jc w:val="center"/>
                    <w:textAlignment w:val="center"/>
                    <w:rPr>
                      <w:rFonts w:eastAsia="等线"/>
                      <w:color w:val="000000"/>
                      <w:szCs w:val="21"/>
                    </w:rPr>
                  </w:pPr>
                  <w:r>
                    <w:rPr>
                      <w:rFonts w:eastAsia="等线"/>
                      <w:color w:val="000000"/>
                      <w:kern w:val="0"/>
                      <w:szCs w:val="21"/>
                      <w:lang w:bidi="ar"/>
                    </w:rPr>
                    <w:t>0.50</w:t>
                  </w:r>
                </w:p>
              </w:tc>
              <w:tc>
                <w:tcPr>
                  <w:tcW w:w="704" w:type="pct"/>
                  <w:tcBorders>
                    <w:top w:val="single" w:color="000000" w:sz="4" w:space="0"/>
                    <w:bottom w:val="single" w:color="000000" w:sz="4" w:space="0"/>
                  </w:tcBorders>
                  <w:shd w:val="clear" w:color="auto" w:fill="FFFFFF"/>
                  <w:vAlign w:val="center"/>
                </w:tcPr>
                <w:p w14:paraId="04FA1731">
                  <w:pPr>
                    <w:widowControl/>
                    <w:snapToGrid w:val="0"/>
                    <w:jc w:val="center"/>
                    <w:textAlignment w:val="center"/>
                    <w:rPr>
                      <w:rFonts w:eastAsia="等线"/>
                      <w:color w:val="000000"/>
                      <w:szCs w:val="21"/>
                    </w:rPr>
                  </w:pPr>
                  <w:r>
                    <w:rPr>
                      <w:rFonts w:eastAsia="等线"/>
                      <w:color w:val="000000"/>
                      <w:kern w:val="0"/>
                      <w:szCs w:val="21"/>
                      <w:lang w:bidi="ar"/>
                    </w:rPr>
                    <w:t>66</w:t>
                  </w:r>
                </w:p>
              </w:tc>
              <w:tc>
                <w:tcPr>
                  <w:tcW w:w="704" w:type="pct"/>
                  <w:tcBorders>
                    <w:top w:val="single" w:color="000000" w:sz="4" w:space="0"/>
                    <w:bottom w:val="single" w:color="000000" w:sz="4" w:space="0"/>
                  </w:tcBorders>
                  <w:shd w:val="clear" w:color="auto" w:fill="FFFFFF"/>
                  <w:vAlign w:val="center"/>
                </w:tcPr>
                <w:p w14:paraId="09585725">
                  <w:pPr>
                    <w:widowControl/>
                    <w:snapToGrid w:val="0"/>
                    <w:jc w:val="center"/>
                    <w:textAlignment w:val="center"/>
                    <w:rPr>
                      <w:rFonts w:eastAsia="等线"/>
                      <w:color w:val="000000"/>
                      <w:szCs w:val="21"/>
                    </w:rPr>
                  </w:pPr>
                  <w:r>
                    <w:rPr>
                      <w:rFonts w:eastAsia="等线"/>
                      <w:color w:val="000000"/>
                      <w:kern w:val="0"/>
                      <w:szCs w:val="21"/>
                      <w:lang w:bidi="ar"/>
                    </w:rPr>
                    <w:t>63</w:t>
                  </w:r>
                </w:p>
              </w:tc>
              <w:tc>
                <w:tcPr>
                  <w:tcW w:w="705" w:type="pct"/>
                  <w:tcBorders>
                    <w:top w:val="single" w:color="000000" w:sz="4" w:space="0"/>
                    <w:bottom w:val="single" w:color="000000" w:sz="4" w:space="0"/>
                    <w:right w:val="single" w:color="auto" w:sz="4" w:space="0"/>
                  </w:tcBorders>
                  <w:shd w:val="clear" w:color="auto" w:fill="FFFFFF"/>
                  <w:vAlign w:val="center"/>
                </w:tcPr>
                <w:p w14:paraId="1D13DD97">
                  <w:pPr>
                    <w:widowControl/>
                    <w:snapToGrid w:val="0"/>
                    <w:jc w:val="center"/>
                    <w:textAlignment w:val="center"/>
                    <w:rPr>
                      <w:rFonts w:eastAsia="等线"/>
                      <w:color w:val="000000"/>
                      <w:szCs w:val="21"/>
                    </w:rPr>
                  </w:pPr>
                  <w:r>
                    <w:rPr>
                      <w:rFonts w:eastAsia="等线"/>
                      <w:color w:val="000000"/>
                      <w:kern w:val="0"/>
                      <w:szCs w:val="21"/>
                      <w:lang w:bidi="ar"/>
                    </w:rPr>
                    <w:t>110</w:t>
                  </w:r>
                </w:p>
              </w:tc>
            </w:tr>
            <w:tr w14:paraId="2957A3D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1B1C6A08">
                  <w:pPr>
                    <w:widowControl/>
                    <w:snapToGrid w:val="0"/>
                    <w:jc w:val="center"/>
                    <w:textAlignment w:val="center"/>
                    <w:rPr>
                      <w:rFonts w:eastAsia="等线"/>
                      <w:color w:val="000000"/>
                      <w:kern w:val="0"/>
                      <w:szCs w:val="21"/>
                    </w:rPr>
                  </w:pPr>
                  <w:r>
                    <w:rPr>
                      <w:rFonts w:eastAsia="等线"/>
                      <w:color w:val="000000"/>
                      <w:kern w:val="0"/>
                      <w:szCs w:val="21"/>
                      <w:lang w:bidi="ar"/>
                    </w:rPr>
                    <w:t>3月14日</w:t>
                  </w:r>
                </w:p>
              </w:tc>
              <w:tc>
                <w:tcPr>
                  <w:tcW w:w="699" w:type="pct"/>
                  <w:tcBorders>
                    <w:top w:val="single" w:color="000000" w:sz="4" w:space="0"/>
                    <w:bottom w:val="single" w:color="000000" w:sz="4" w:space="0"/>
                  </w:tcBorders>
                  <w:shd w:val="clear" w:color="auto" w:fill="FFFFFF"/>
                  <w:vAlign w:val="center"/>
                </w:tcPr>
                <w:p w14:paraId="2C1C6F21">
                  <w:pPr>
                    <w:widowControl/>
                    <w:snapToGrid w:val="0"/>
                    <w:jc w:val="center"/>
                    <w:textAlignment w:val="center"/>
                    <w:rPr>
                      <w:rFonts w:eastAsia="等线"/>
                      <w:color w:val="000000"/>
                      <w:szCs w:val="21"/>
                    </w:rPr>
                  </w:pPr>
                  <w:r>
                    <w:rPr>
                      <w:rFonts w:eastAsia="等线"/>
                      <w:color w:val="000000"/>
                      <w:kern w:val="0"/>
                      <w:szCs w:val="21"/>
                      <w:lang w:bidi="ar"/>
                    </w:rPr>
                    <w:t>5</w:t>
                  </w:r>
                </w:p>
              </w:tc>
              <w:tc>
                <w:tcPr>
                  <w:tcW w:w="705" w:type="pct"/>
                  <w:tcBorders>
                    <w:top w:val="single" w:color="000000" w:sz="4" w:space="0"/>
                    <w:bottom w:val="single" w:color="000000" w:sz="4" w:space="0"/>
                  </w:tcBorders>
                  <w:shd w:val="clear" w:color="auto" w:fill="FFFFFF"/>
                  <w:vAlign w:val="center"/>
                </w:tcPr>
                <w:p w14:paraId="59DFFDA2">
                  <w:pPr>
                    <w:widowControl/>
                    <w:snapToGrid w:val="0"/>
                    <w:jc w:val="center"/>
                    <w:textAlignment w:val="center"/>
                    <w:rPr>
                      <w:rFonts w:eastAsia="等线"/>
                      <w:color w:val="000000"/>
                      <w:szCs w:val="21"/>
                    </w:rPr>
                  </w:pPr>
                  <w:r>
                    <w:rPr>
                      <w:rFonts w:eastAsia="等线"/>
                      <w:color w:val="000000"/>
                      <w:kern w:val="0"/>
                      <w:szCs w:val="21"/>
                      <w:lang w:bidi="ar"/>
                    </w:rPr>
                    <w:t>28</w:t>
                  </w:r>
                </w:p>
              </w:tc>
              <w:tc>
                <w:tcPr>
                  <w:tcW w:w="704" w:type="pct"/>
                  <w:tcBorders>
                    <w:top w:val="single" w:color="000000" w:sz="4" w:space="0"/>
                    <w:bottom w:val="single" w:color="000000" w:sz="4" w:space="0"/>
                  </w:tcBorders>
                  <w:shd w:val="clear" w:color="auto" w:fill="FFFFFF"/>
                  <w:vAlign w:val="center"/>
                </w:tcPr>
                <w:p w14:paraId="011215FC">
                  <w:pPr>
                    <w:widowControl/>
                    <w:snapToGrid w:val="0"/>
                    <w:jc w:val="center"/>
                    <w:textAlignment w:val="center"/>
                    <w:rPr>
                      <w:rFonts w:eastAsia="等线"/>
                      <w:color w:val="000000"/>
                      <w:szCs w:val="21"/>
                    </w:rPr>
                  </w:pPr>
                  <w:r>
                    <w:rPr>
                      <w:rFonts w:eastAsia="等线"/>
                      <w:color w:val="000000"/>
                      <w:kern w:val="0"/>
                      <w:szCs w:val="21"/>
                      <w:lang w:bidi="ar"/>
                    </w:rPr>
                    <w:t>0.40</w:t>
                  </w:r>
                </w:p>
              </w:tc>
              <w:tc>
                <w:tcPr>
                  <w:tcW w:w="704" w:type="pct"/>
                  <w:tcBorders>
                    <w:top w:val="single" w:color="000000" w:sz="4" w:space="0"/>
                    <w:bottom w:val="single" w:color="000000" w:sz="4" w:space="0"/>
                  </w:tcBorders>
                  <w:shd w:val="clear" w:color="auto" w:fill="FFFFFF"/>
                  <w:vAlign w:val="center"/>
                </w:tcPr>
                <w:p w14:paraId="2DE207C4">
                  <w:pPr>
                    <w:widowControl/>
                    <w:snapToGrid w:val="0"/>
                    <w:jc w:val="center"/>
                    <w:textAlignment w:val="center"/>
                    <w:rPr>
                      <w:rFonts w:eastAsia="等线"/>
                      <w:color w:val="000000"/>
                      <w:szCs w:val="21"/>
                    </w:rPr>
                  </w:pPr>
                  <w:r>
                    <w:rPr>
                      <w:rFonts w:eastAsia="等线"/>
                      <w:color w:val="000000"/>
                      <w:kern w:val="0"/>
                      <w:szCs w:val="21"/>
                      <w:lang w:bidi="ar"/>
                    </w:rPr>
                    <w:t>67</w:t>
                  </w:r>
                </w:p>
              </w:tc>
              <w:tc>
                <w:tcPr>
                  <w:tcW w:w="704" w:type="pct"/>
                  <w:tcBorders>
                    <w:top w:val="single" w:color="000000" w:sz="4" w:space="0"/>
                    <w:bottom w:val="single" w:color="000000" w:sz="4" w:space="0"/>
                  </w:tcBorders>
                  <w:shd w:val="clear" w:color="auto" w:fill="FFFFFF"/>
                  <w:vAlign w:val="center"/>
                </w:tcPr>
                <w:p w14:paraId="5350ABEA">
                  <w:pPr>
                    <w:widowControl/>
                    <w:snapToGrid w:val="0"/>
                    <w:jc w:val="center"/>
                    <w:textAlignment w:val="center"/>
                    <w:rPr>
                      <w:rFonts w:eastAsia="等线"/>
                      <w:color w:val="000000"/>
                      <w:szCs w:val="21"/>
                    </w:rPr>
                  </w:pPr>
                  <w:r>
                    <w:rPr>
                      <w:rFonts w:eastAsia="等线"/>
                      <w:color w:val="000000"/>
                      <w:kern w:val="0"/>
                      <w:szCs w:val="21"/>
                      <w:lang w:bidi="ar"/>
                    </w:rPr>
                    <w:t>39</w:t>
                  </w:r>
                </w:p>
              </w:tc>
              <w:tc>
                <w:tcPr>
                  <w:tcW w:w="705" w:type="pct"/>
                  <w:tcBorders>
                    <w:top w:val="single" w:color="000000" w:sz="4" w:space="0"/>
                    <w:bottom w:val="single" w:color="000000" w:sz="4" w:space="0"/>
                    <w:right w:val="single" w:color="auto" w:sz="4" w:space="0"/>
                  </w:tcBorders>
                  <w:shd w:val="clear" w:color="auto" w:fill="FFFFFF"/>
                  <w:vAlign w:val="center"/>
                </w:tcPr>
                <w:p w14:paraId="58E020D0">
                  <w:pPr>
                    <w:widowControl/>
                    <w:snapToGrid w:val="0"/>
                    <w:jc w:val="center"/>
                    <w:textAlignment w:val="center"/>
                    <w:rPr>
                      <w:rFonts w:eastAsia="等线"/>
                      <w:color w:val="000000"/>
                      <w:szCs w:val="21"/>
                    </w:rPr>
                  </w:pPr>
                  <w:r>
                    <w:rPr>
                      <w:rFonts w:eastAsia="等线"/>
                      <w:color w:val="000000"/>
                      <w:kern w:val="0"/>
                      <w:szCs w:val="21"/>
                      <w:lang w:bidi="ar"/>
                    </w:rPr>
                    <w:t>84</w:t>
                  </w:r>
                </w:p>
              </w:tc>
            </w:tr>
            <w:tr w14:paraId="7B2156B3">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2234D4CF">
                  <w:pPr>
                    <w:widowControl/>
                    <w:snapToGrid w:val="0"/>
                    <w:jc w:val="center"/>
                    <w:textAlignment w:val="center"/>
                    <w:rPr>
                      <w:rFonts w:eastAsia="等线"/>
                      <w:color w:val="000000"/>
                      <w:kern w:val="0"/>
                      <w:szCs w:val="21"/>
                    </w:rPr>
                  </w:pPr>
                  <w:r>
                    <w:rPr>
                      <w:rFonts w:eastAsia="等线"/>
                      <w:color w:val="000000"/>
                      <w:kern w:val="0"/>
                      <w:szCs w:val="21"/>
                      <w:lang w:bidi="ar"/>
                    </w:rPr>
                    <w:t>3月15日</w:t>
                  </w:r>
                </w:p>
              </w:tc>
              <w:tc>
                <w:tcPr>
                  <w:tcW w:w="699" w:type="pct"/>
                  <w:tcBorders>
                    <w:top w:val="single" w:color="000000" w:sz="4" w:space="0"/>
                    <w:bottom w:val="single" w:color="000000" w:sz="4" w:space="0"/>
                  </w:tcBorders>
                  <w:shd w:val="clear" w:color="auto" w:fill="FFFFFF"/>
                  <w:vAlign w:val="center"/>
                </w:tcPr>
                <w:p w14:paraId="5FD4C60A">
                  <w:pPr>
                    <w:widowControl/>
                    <w:snapToGrid w:val="0"/>
                    <w:jc w:val="center"/>
                    <w:textAlignment w:val="center"/>
                    <w:rPr>
                      <w:rFonts w:eastAsia="等线"/>
                      <w:color w:val="000000"/>
                      <w:szCs w:val="21"/>
                    </w:rPr>
                  </w:pPr>
                  <w:r>
                    <w:rPr>
                      <w:rFonts w:eastAsia="等线"/>
                      <w:color w:val="000000"/>
                      <w:kern w:val="0"/>
                      <w:szCs w:val="21"/>
                      <w:lang w:bidi="ar"/>
                    </w:rPr>
                    <w:t>11</w:t>
                  </w:r>
                </w:p>
              </w:tc>
              <w:tc>
                <w:tcPr>
                  <w:tcW w:w="705" w:type="pct"/>
                  <w:tcBorders>
                    <w:top w:val="single" w:color="000000" w:sz="4" w:space="0"/>
                    <w:bottom w:val="single" w:color="000000" w:sz="4" w:space="0"/>
                  </w:tcBorders>
                  <w:shd w:val="clear" w:color="auto" w:fill="FFFFFF"/>
                  <w:vAlign w:val="center"/>
                </w:tcPr>
                <w:p w14:paraId="00BE5A5C">
                  <w:pPr>
                    <w:widowControl/>
                    <w:snapToGrid w:val="0"/>
                    <w:jc w:val="center"/>
                    <w:textAlignment w:val="center"/>
                    <w:rPr>
                      <w:rFonts w:eastAsia="等线"/>
                      <w:color w:val="000000"/>
                      <w:szCs w:val="21"/>
                    </w:rPr>
                  </w:pPr>
                  <w:r>
                    <w:rPr>
                      <w:rFonts w:eastAsia="等线"/>
                      <w:color w:val="000000"/>
                      <w:kern w:val="0"/>
                      <w:szCs w:val="21"/>
                      <w:lang w:bidi="ar"/>
                    </w:rPr>
                    <w:t>30</w:t>
                  </w:r>
                </w:p>
              </w:tc>
              <w:tc>
                <w:tcPr>
                  <w:tcW w:w="704" w:type="pct"/>
                  <w:tcBorders>
                    <w:top w:val="single" w:color="000000" w:sz="4" w:space="0"/>
                    <w:bottom w:val="single" w:color="000000" w:sz="4" w:space="0"/>
                  </w:tcBorders>
                  <w:shd w:val="clear" w:color="auto" w:fill="FFFFFF"/>
                  <w:vAlign w:val="center"/>
                </w:tcPr>
                <w:p w14:paraId="219D1E0A">
                  <w:pPr>
                    <w:widowControl/>
                    <w:snapToGrid w:val="0"/>
                    <w:jc w:val="center"/>
                    <w:textAlignment w:val="center"/>
                    <w:rPr>
                      <w:rFonts w:eastAsia="等线"/>
                      <w:color w:val="000000"/>
                      <w:szCs w:val="21"/>
                    </w:rPr>
                  </w:pPr>
                  <w:r>
                    <w:rPr>
                      <w:rFonts w:eastAsia="等线"/>
                      <w:color w:val="000000"/>
                      <w:kern w:val="0"/>
                      <w:szCs w:val="21"/>
                      <w:lang w:bidi="ar"/>
                    </w:rPr>
                    <w:t>0.50</w:t>
                  </w:r>
                </w:p>
              </w:tc>
              <w:tc>
                <w:tcPr>
                  <w:tcW w:w="704" w:type="pct"/>
                  <w:tcBorders>
                    <w:top w:val="single" w:color="000000" w:sz="4" w:space="0"/>
                    <w:bottom w:val="single" w:color="000000" w:sz="4" w:space="0"/>
                  </w:tcBorders>
                  <w:shd w:val="clear" w:color="auto" w:fill="FFFFFF"/>
                  <w:vAlign w:val="center"/>
                </w:tcPr>
                <w:p w14:paraId="23963C54">
                  <w:pPr>
                    <w:widowControl/>
                    <w:snapToGrid w:val="0"/>
                    <w:jc w:val="center"/>
                    <w:textAlignment w:val="center"/>
                    <w:rPr>
                      <w:rFonts w:eastAsia="等线"/>
                      <w:color w:val="000000"/>
                      <w:szCs w:val="21"/>
                    </w:rPr>
                  </w:pPr>
                  <w:r>
                    <w:rPr>
                      <w:rFonts w:eastAsia="等线"/>
                      <w:color w:val="000000"/>
                      <w:kern w:val="0"/>
                      <w:szCs w:val="21"/>
                      <w:lang w:bidi="ar"/>
                    </w:rPr>
                    <w:t>69</w:t>
                  </w:r>
                </w:p>
              </w:tc>
              <w:tc>
                <w:tcPr>
                  <w:tcW w:w="704" w:type="pct"/>
                  <w:tcBorders>
                    <w:top w:val="single" w:color="000000" w:sz="4" w:space="0"/>
                    <w:bottom w:val="single" w:color="000000" w:sz="4" w:space="0"/>
                  </w:tcBorders>
                  <w:shd w:val="clear" w:color="auto" w:fill="FFFFFF"/>
                  <w:vAlign w:val="center"/>
                </w:tcPr>
                <w:p w14:paraId="55952790">
                  <w:pPr>
                    <w:widowControl/>
                    <w:snapToGrid w:val="0"/>
                    <w:jc w:val="center"/>
                    <w:textAlignment w:val="center"/>
                    <w:rPr>
                      <w:rFonts w:eastAsia="等线"/>
                      <w:color w:val="000000"/>
                      <w:szCs w:val="21"/>
                    </w:rPr>
                  </w:pPr>
                  <w:r>
                    <w:rPr>
                      <w:rFonts w:eastAsia="等线"/>
                      <w:color w:val="000000"/>
                      <w:kern w:val="0"/>
                      <w:szCs w:val="21"/>
                      <w:lang w:bidi="ar"/>
                    </w:rPr>
                    <w:t>50</w:t>
                  </w:r>
                </w:p>
              </w:tc>
              <w:tc>
                <w:tcPr>
                  <w:tcW w:w="705" w:type="pct"/>
                  <w:tcBorders>
                    <w:top w:val="single" w:color="000000" w:sz="4" w:space="0"/>
                    <w:bottom w:val="single" w:color="000000" w:sz="4" w:space="0"/>
                    <w:right w:val="single" w:color="auto" w:sz="4" w:space="0"/>
                  </w:tcBorders>
                  <w:shd w:val="clear" w:color="auto" w:fill="FFFFFF"/>
                  <w:vAlign w:val="center"/>
                </w:tcPr>
                <w:p w14:paraId="561B949E">
                  <w:pPr>
                    <w:widowControl/>
                    <w:snapToGrid w:val="0"/>
                    <w:jc w:val="center"/>
                    <w:textAlignment w:val="center"/>
                    <w:rPr>
                      <w:rFonts w:eastAsia="等线"/>
                      <w:color w:val="000000"/>
                      <w:szCs w:val="21"/>
                    </w:rPr>
                  </w:pPr>
                  <w:r>
                    <w:rPr>
                      <w:rFonts w:eastAsia="等线"/>
                      <w:color w:val="000000"/>
                      <w:kern w:val="0"/>
                      <w:szCs w:val="21"/>
                      <w:lang w:bidi="ar"/>
                    </w:rPr>
                    <w:t>109</w:t>
                  </w:r>
                </w:p>
              </w:tc>
            </w:tr>
            <w:tr w14:paraId="0B45A503">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4908010B">
                  <w:pPr>
                    <w:widowControl/>
                    <w:snapToGrid w:val="0"/>
                    <w:jc w:val="center"/>
                    <w:textAlignment w:val="center"/>
                    <w:rPr>
                      <w:rFonts w:eastAsia="等线"/>
                      <w:color w:val="000000"/>
                      <w:kern w:val="0"/>
                      <w:szCs w:val="21"/>
                      <w:lang w:bidi="ar"/>
                    </w:rPr>
                  </w:pPr>
                  <w:r>
                    <w:rPr>
                      <w:rFonts w:hint="eastAsia" w:eastAsia="等线"/>
                      <w:color w:val="000000"/>
                      <w:kern w:val="0"/>
                      <w:szCs w:val="21"/>
                      <w:lang w:bidi="ar"/>
                    </w:rPr>
                    <w:t>均值</w:t>
                  </w:r>
                </w:p>
              </w:tc>
              <w:tc>
                <w:tcPr>
                  <w:tcW w:w="699" w:type="pct"/>
                  <w:tcBorders>
                    <w:top w:val="single" w:color="000000" w:sz="4" w:space="0"/>
                    <w:bottom w:val="single" w:color="000000" w:sz="4" w:space="0"/>
                  </w:tcBorders>
                  <w:shd w:val="clear" w:color="auto" w:fill="FFFFFF"/>
                  <w:vAlign w:val="center"/>
                </w:tcPr>
                <w:p w14:paraId="531CF21D">
                  <w:pPr>
                    <w:widowControl/>
                    <w:snapToGrid w:val="0"/>
                    <w:jc w:val="center"/>
                    <w:textAlignment w:val="center"/>
                    <w:rPr>
                      <w:rFonts w:eastAsia="等线"/>
                      <w:color w:val="000000"/>
                      <w:kern w:val="0"/>
                      <w:szCs w:val="21"/>
                      <w:lang w:bidi="ar"/>
                    </w:rPr>
                  </w:pPr>
                  <w:r>
                    <w:rPr>
                      <w:rFonts w:eastAsia="等线"/>
                      <w:color w:val="000000"/>
                      <w:kern w:val="0"/>
                      <w:sz w:val="20"/>
                      <w:szCs w:val="20"/>
                      <w:lang w:bidi="ar"/>
                    </w:rPr>
                    <w:t>13</w:t>
                  </w:r>
                </w:p>
              </w:tc>
              <w:tc>
                <w:tcPr>
                  <w:tcW w:w="705" w:type="pct"/>
                  <w:tcBorders>
                    <w:top w:val="single" w:color="000000" w:sz="4" w:space="0"/>
                    <w:bottom w:val="single" w:color="000000" w:sz="4" w:space="0"/>
                  </w:tcBorders>
                  <w:shd w:val="clear" w:color="auto" w:fill="FFFFFF"/>
                  <w:vAlign w:val="center"/>
                </w:tcPr>
                <w:p w14:paraId="18812AB0">
                  <w:pPr>
                    <w:widowControl/>
                    <w:snapToGrid w:val="0"/>
                    <w:jc w:val="center"/>
                    <w:textAlignment w:val="center"/>
                    <w:rPr>
                      <w:rFonts w:eastAsia="等线"/>
                      <w:color w:val="000000"/>
                      <w:kern w:val="0"/>
                      <w:szCs w:val="21"/>
                      <w:lang w:bidi="ar"/>
                    </w:rPr>
                  </w:pPr>
                  <w:r>
                    <w:rPr>
                      <w:rFonts w:eastAsia="等线"/>
                      <w:color w:val="000000"/>
                      <w:kern w:val="0"/>
                      <w:sz w:val="20"/>
                      <w:szCs w:val="20"/>
                      <w:lang w:bidi="ar"/>
                    </w:rPr>
                    <w:t>31</w:t>
                  </w:r>
                </w:p>
              </w:tc>
              <w:tc>
                <w:tcPr>
                  <w:tcW w:w="704" w:type="pct"/>
                  <w:tcBorders>
                    <w:top w:val="single" w:color="000000" w:sz="4" w:space="0"/>
                    <w:bottom w:val="single" w:color="000000" w:sz="4" w:space="0"/>
                  </w:tcBorders>
                  <w:shd w:val="clear" w:color="auto" w:fill="FFFFFF"/>
                  <w:vAlign w:val="center"/>
                </w:tcPr>
                <w:p w14:paraId="2E4F67D9">
                  <w:pPr>
                    <w:widowControl/>
                    <w:snapToGrid w:val="0"/>
                    <w:jc w:val="center"/>
                    <w:textAlignment w:val="center"/>
                    <w:rPr>
                      <w:rFonts w:eastAsia="等线"/>
                      <w:color w:val="000000"/>
                      <w:kern w:val="0"/>
                      <w:szCs w:val="21"/>
                      <w:lang w:bidi="ar"/>
                    </w:rPr>
                  </w:pPr>
                  <w:r>
                    <w:rPr>
                      <w:rFonts w:eastAsia="等线"/>
                      <w:color w:val="000000"/>
                      <w:kern w:val="0"/>
                      <w:sz w:val="20"/>
                      <w:szCs w:val="20"/>
                      <w:lang w:bidi="ar"/>
                    </w:rPr>
                    <w:t>0.43</w:t>
                  </w:r>
                </w:p>
              </w:tc>
              <w:tc>
                <w:tcPr>
                  <w:tcW w:w="704" w:type="pct"/>
                  <w:tcBorders>
                    <w:top w:val="single" w:color="000000" w:sz="4" w:space="0"/>
                    <w:bottom w:val="single" w:color="000000" w:sz="4" w:space="0"/>
                  </w:tcBorders>
                  <w:shd w:val="clear" w:color="auto" w:fill="FFFFFF"/>
                  <w:vAlign w:val="center"/>
                </w:tcPr>
                <w:p w14:paraId="374FB55E">
                  <w:pPr>
                    <w:widowControl/>
                    <w:snapToGrid w:val="0"/>
                    <w:jc w:val="center"/>
                    <w:textAlignment w:val="center"/>
                    <w:rPr>
                      <w:rFonts w:eastAsia="等线"/>
                      <w:color w:val="000000"/>
                      <w:kern w:val="0"/>
                      <w:szCs w:val="21"/>
                      <w:lang w:bidi="ar"/>
                    </w:rPr>
                  </w:pPr>
                  <w:r>
                    <w:rPr>
                      <w:rFonts w:eastAsia="等线"/>
                      <w:color w:val="000000"/>
                      <w:kern w:val="0"/>
                      <w:sz w:val="20"/>
                      <w:szCs w:val="20"/>
                      <w:lang w:bidi="ar"/>
                    </w:rPr>
                    <w:t>75</w:t>
                  </w:r>
                </w:p>
              </w:tc>
              <w:tc>
                <w:tcPr>
                  <w:tcW w:w="704" w:type="pct"/>
                  <w:tcBorders>
                    <w:top w:val="single" w:color="000000" w:sz="4" w:space="0"/>
                    <w:bottom w:val="single" w:color="000000" w:sz="4" w:space="0"/>
                  </w:tcBorders>
                  <w:shd w:val="clear" w:color="auto" w:fill="FFFFFF"/>
                  <w:vAlign w:val="center"/>
                </w:tcPr>
                <w:p w14:paraId="07EDA035">
                  <w:pPr>
                    <w:widowControl/>
                    <w:snapToGrid w:val="0"/>
                    <w:jc w:val="center"/>
                    <w:textAlignment w:val="center"/>
                    <w:rPr>
                      <w:rFonts w:eastAsia="等线"/>
                      <w:color w:val="000000"/>
                      <w:kern w:val="0"/>
                      <w:szCs w:val="21"/>
                      <w:lang w:bidi="ar"/>
                    </w:rPr>
                  </w:pPr>
                  <w:r>
                    <w:rPr>
                      <w:rFonts w:eastAsia="等线"/>
                      <w:color w:val="000000"/>
                      <w:kern w:val="0"/>
                      <w:sz w:val="20"/>
                      <w:szCs w:val="20"/>
                      <w:lang w:bidi="ar"/>
                    </w:rPr>
                    <w:t>42</w:t>
                  </w:r>
                </w:p>
              </w:tc>
              <w:tc>
                <w:tcPr>
                  <w:tcW w:w="705" w:type="pct"/>
                  <w:tcBorders>
                    <w:top w:val="single" w:color="000000" w:sz="4" w:space="0"/>
                    <w:bottom w:val="single" w:color="000000" w:sz="4" w:space="0"/>
                    <w:right w:val="single" w:color="auto" w:sz="4" w:space="0"/>
                  </w:tcBorders>
                  <w:shd w:val="clear" w:color="auto" w:fill="FFFFFF"/>
                  <w:vAlign w:val="center"/>
                </w:tcPr>
                <w:p w14:paraId="4227C88D">
                  <w:pPr>
                    <w:widowControl/>
                    <w:snapToGrid w:val="0"/>
                    <w:jc w:val="center"/>
                    <w:textAlignment w:val="center"/>
                    <w:rPr>
                      <w:rFonts w:eastAsia="等线"/>
                      <w:color w:val="000000"/>
                      <w:kern w:val="0"/>
                      <w:szCs w:val="21"/>
                      <w:lang w:bidi="ar"/>
                    </w:rPr>
                  </w:pPr>
                  <w:r>
                    <w:rPr>
                      <w:rFonts w:eastAsia="等线"/>
                      <w:color w:val="000000"/>
                      <w:kern w:val="0"/>
                      <w:sz w:val="20"/>
                      <w:szCs w:val="20"/>
                      <w:lang w:bidi="ar"/>
                    </w:rPr>
                    <w:t>76</w:t>
                  </w:r>
                </w:p>
              </w:tc>
            </w:tr>
            <w:tr w14:paraId="51FDE253">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09D82B20">
                  <w:pPr>
                    <w:widowControl/>
                    <w:snapToGrid w:val="0"/>
                    <w:jc w:val="center"/>
                    <w:textAlignment w:val="center"/>
                    <w:rPr>
                      <w:rFonts w:eastAsia="等线"/>
                      <w:color w:val="000000"/>
                      <w:kern w:val="0"/>
                      <w:szCs w:val="21"/>
                      <w:lang w:bidi="ar"/>
                    </w:rPr>
                  </w:pPr>
                  <w:r>
                    <w:rPr>
                      <w:rFonts w:hint="eastAsia" w:eastAsia="等线"/>
                      <w:color w:val="000000"/>
                      <w:kern w:val="0"/>
                      <w:szCs w:val="21"/>
                      <w:lang w:bidi="ar"/>
                    </w:rPr>
                    <w:t>标准值</w:t>
                  </w:r>
                </w:p>
              </w:tc>
              <w:tc>
                <w:tcPr>
                  <w:tcW w:w="699" w:type="pct"/>
                  <w:tcBorders>
                    <w:top w:val="single" w:color="000000" w:sz="4" w:space="0"/>
                    <w:bottom w:val="single" w:color="000000" w:sz="4" w:space="0"/>
                  </w:tcBorders>
                  <w:shd w:val="clear" w:color="auto" w:fill="FFFFFF"/>
                  <w:vAlign w:val="center"/>
                </w:tcPr>
                <w:p w14:paraId="44FB2598">
                  <w:pPr>
                    <w:widowControl/>
                    <w:snapToGrid w:val="0"/>
                    <w:jc w:val="center"/>
                    <w:textAlignment w:val="center"/>
                    <w:rPr>
                      <w:rFonts w:eastAsia="等线"/>
                      <w:color w:val="000000"/>
                      <w:kern w:val="0"/>
                      <w:sz w:val="20"/>
                      <w:szCs w:val="20"/>
                      <w:lang w:bidi="ar"/>
                    </w:rPr>
                  </w:pPr>
                  <w:r>
                    <w:rPr>
                      <w:rFonts w:hint="eastAsia" w:eastAsia="等线"/>
                      <w:color w:val="000000"/>
                      <w:kern w:val="0"/>
                      <w:sz w:val="20"/>
                      <w:szCs w:val="20"/>
                      <w:lang w:bidi="ar"/>
                    </w:rPr>
                    <w:t>150</w:t>
                  </w:r>
                </w:p>
              </w:tc>
              <w:tc>
                <w:tcPr>
                  <w:tcW w:w="705" w:type="pct"/>
                  <w:tcBorders>
                    <w:top w:val="single" w:color="000000" w:sz="4" w:space="0"/>
                    <w:bottom w:val="single" w:color="000000" w:sz="4" w:space="0"/>
                  </w:tcBorders>
                  <w:shd w:val="clear" w:color="auto" w:fill="FFFFFF"/>
                  <w:vAlign w:val="center"/>
                </w:tcPr>
                <w:p w14:paraId="71DE102F">
                  <w:pPr>
                    <w:widowControl/>
                    <w:snapToGrid w:val="0"/>
                    <w:jc w:val="center"/>
                    <w:textAlignment w:val="center"/>
                    <w:rPr>
                      <w:rFonts w:eastAsia="等线"/>
                      <w:color w:val="000000"/>
                      <w:kern w:val="0"/>
                      <w:sz w:val="20"/>
                      <w:szCs w:val="20"/>
                      <w:lang w:bidi="ar"/>
                    </w:rPr>
                  </w:pPr>
                  <w:r>
                    <w:rPr>
                      <w:rFonts w:hint="eastAsia" w:eastAsia="等线"/>
                      <w:color w:val="000000"/>
                      <w:kern w:val="0"/>
                      <w:sz w:val="20"/>
                      <w:szCs w:val="20"/>
                      <w:lang w:bidi="ar"/>
                    </w:rPr>
                    <w:t>80</w:t>
                  </w:r>
                </w:p>
              </w:tc>
              <w:tc>
                <w:tcPr>
                  <w:tcW w:w="704" w:type="pct"/>
                  <w:tcBorders>
                    <w:top w:val="single" w:color="000000" w:sz="4" w:space="0"/>
                    <w:bottom w:val="single" w:color="000000" w:sz="4" w:space="0"/>
                  </w:tcBorders>
                  <w:shd w:val="clear" w:color="auto" w:fill="FFFFFF"/>
                  <w:vAlign w:val="center"/>
                </w:tcPr>
                <w:p w14:paraId="6F1FBE5A">
                  <w:pPr>
                    <w:widowControl/>
                    <w:snapToGrid w:val="0"/>
                    <w:jc w:val="center"/>
                    <w:textAlignment w:val="center"/>
                    <w:rPr>
                      <w:rFonts w:eastAsia="等线"/>
                      <w:color w:val="000000"/>
                      <w:kern w:val="0"/>
                      <w:sz w:val="20"/>
                      <w:szCs w:val="20"/>
                      <w:lang w:bidi="ar"/>
                    </w:rPr>
                  </w:pPr>
                  <w:r>
                    <w:rPr>
                      <w:rFonts w:hint="eastAsia" w:eastAsia="等线"/>
                      <w:color w:val="000000"/>
                      <w:kern w:val="0"/>
                      <w:sz w:val="20"/>
                      <w:szCs w:val="20"/>
                      <w:lang w:bidi="ar"/>
                    </w:rPr>
                    <w:t>40</w:t>
                  </w:r>
                </w:p>
              </w:tc>
              <w:tc>
                <w:tcPr>
                  <w:tcW w:w="704" w:type="pct"/>
                  <w:tcBorders>
                    <w:top w:val="single" w:color="000000" w:sz="4" w:space="0"/>
                    <w:bottom w:val="single" w:color="000000" w:sz="4" w:space="0"/>
                  </w:tcBorders>
                  <w:shd w:val="clear" w:color="auto" w:fill="FFFFFF"/>
                  <w:vAlign w:val="center"/>
                </w:tcPr>
                <w:p w14:paraId="2FD67676">
                  <w:pPr>
                    <w:widowControl/>
                    <w:snapToGrid w:val="0"/>
                    <w:jc w:val="center"/>
                    <w:textAlignment w:val="center"/>
                    <w:rPr>
                      <w:rFonts w:eastAsia="等线"/>
                      <w:color w:val="000000"/>
                      <w:kern w:val="0"/>
                      <w:sz w:val="20"/>
                      <w:szCs w:val="20"/>
                      <w:lang w:bidi="ar"/>
                    </w:rPr>
                  </w:pPr>
                  <w:r>
                    <w:rPr>
                      <w:rFonts w:hint="eastAsia" w:eastAsia="等线"/>
                      <w:color w:val="000000"/>
                      <w:kern w:val="0"/>
                      <w:sz w:val="20"/>
                      <w:szCs w:val="20"/>
                      <w:lang w:bidi="ar"/>
                    </w:rPr>
                    <w:t>160（8h</w:t>
                  </w:r>
                  <w:r>
                    <w:rPr>
                      <w:rFonts w:hint="eastAsia" w:eastAsia="等线"/>
                      <w:color w:val="000000"/>
                      <w:kern w:val="0"/>
                      <w:sz w:val="20"/>
                      <w:szCs w:val="20"/>
                      <w:lang w:eastAsia="zh-CN" w:bidi="ar"/>
                    </w:rPr>
                    <w:t>)</w:t>
                  </w:r>
                </w:p>
              </w:tc>
              <w:tc>
                <w:tcPr>
                  <w:tcW w:w="704" w:type="pct"/>
                  <w:tcBorders>
                    <w:top w:val="single" w:color="000000" w:sz="4" w:space="0"/>
                    <w:bottom w:val="single" w:color="000000" w:sz="4" w:space="0"/>
                  </w:tcBorders>
                  <w:shd w:val="clear" w:color="auto" w:fill="FFFFFF"/>
                  <w:vAlign w:val="center"/>
                </w:tcPr>
                <w:p w14:paraId="518B58C5">
                  <w:pPr>
                    <w:widowControl/>
                    <w:snapToGrid w:val="0"/>
                    <w:jc w:val="center"/>
                    <w:textAlignment w:val="center"/>
                    <w:rPr>
                      <w:rFonts w:eastAsia="等线"/>
                      <w:color w:val="000000"/>
                      <w:kern w:val="0"/>
                      <w:sz w:val="20"/>
                      <w:szCs w:val="20"/>
                      <w:lang w:bidi="ar"/>
                    </w:rPr>
                  </w:pPr>
                  <w:r>
                    <w:rPr>
                      <w:rFonts w:hint="eastAsia" w:eastAsia="等线"/>
                      <w:color w:val="000000"/>
                      <w:kern w:val="0"/>
                      <w:sz w:val="20"/>
                      <w:szCs w:val="20"/>
                      <w:lang w:bidi="ar"/>
                    </w:rPr>
                    <w:t>75</w:t>
                  </w:r>
                </w:p>
              </w:tc>
              <w:tc>
                <w:tcPr>
                  <w:tcW w:w="705" w:type="pct"/>
                  <w:tcBorders>
                    <w:top w:val="single" w:color="000000" w:sz="4" w:space="0"/>
                    <w:bottom w:val="single" w:color="000000" w:sz="4" w:space="0"/>
                    <w:right w:val="single" w:color="auto" w:sz="4" w:space="0"/>
                  </w:tcBorders>
                  <w:shd w:val="clear" w:color="auto" w:fill="FFFFFF"/>
                  <w:vAlign w:val="center"/>
                </w:tcPr>
                <w:p w14:paraId="69D9577A">
                  <w:pPr>
                    <w:widowControl/>
                    <w:snapToGrid w:val="0"/>
                    <w:jc w:val="center"/>
                    <w:textAlignment w:val="center"/>
                    <w:rPr>
                      <w:rFonts w:eastAsia="等线"/>
                      <w:color w:val="000000"/>
                      <w:kern w:val="0"/>
                      <w:sz w:val="20"/>
                      <w:szCs w:val="20"/>
                      <w:lang w:bidi="ar"/>
                    </w:rPr>
                  </w:pPr>
                  <w:r>
                    <w:rPr>
                      <w:rFonts w:hint="eastAsia" w:eastAsia="等线"/>
                      <w:color w:val="000000"/>
                      <w:kern w:val="0"/>
                      <w:sz w:val="20"/>
                      <w:szCs w:val="20"/>
                      <w:lang w:bidi="ar"/>
                    </w:rPr>
                    <w:t>150</w:t>
                  </w:r>
                </w:p>
              </w:tc>
            </w:tr>
          </w:tbl>
          <w:p w14:paraId="13E05F6C">
            <w:pPr>
              <w:widowControl/>
              <w:adjustRightInd w:val="0"/>
              <w:snapToGrid w:val="0"/>
              <w:ind w:firstLine="420"/>
              <w:jc w:val="left"/>
              <w:rPr>
                <w:rFonts w:eastAsia="华文仿宋"/>
                <w:color w:val="000000"/>
                <w:kern w:val="0"/>
                <w:szCs w:val="22"/>
              </w:rPr>
            </w:pPr>
            <w:r>
              <w:rPr>
                <w:rFonts w:eastAsia="华文仿宋"/>
                <w:color w:val="000000"/>
                <w:kern w:val="0"/>
                <w:szCs w:val="22"/>
              </w:rPr>
              <w:t>注：</w:t>
            </w:r>
            <w:r>
              <w:rPr>
                <w:rFonts w:hint="eastAsia" w:eastAsia="华文仿宋"/>
                <w:color w:val="000000"/>
                <w:kern w:val="0"/>
                <w:szCs w:val="22"/>
              </w:rPr>
              <w:t>日</w:t>
            </w:r>
            <w:r>
              <w:rPr>
                <w:rFonts w:eastAsia="华文仿宋"/>
                <w:color w:val="000000"/>
                <w:kern w:val="0"/>
                <w:szCs w:val="22"/>
              </w:rPr>
              <w:t>平均二级浓度限值为《环境空气质量标准》（GB 3095-2012）中的二级浓度限值。</w:t>
            </w:r>
          </w:p>
          <w:p w14:paraId="21B980D6">
            <w:pPr>
              <w:widowControl/>
              <w:adjustRightInd w:val="0"/>
              <w:snapToGrid w:val="0"/>
              <w:ind w:firstLine="420"/>
              <w:jc w:val="left"/>
              <w:rPr>
                <w:color w:val="000000"/>
                <w:kern w:val="0"/>
                <w:sz w:val="24"/>
              </w:rPr>
            </w:pPr>
            <w:r>
              <w:rPr>
                <w:rFonts w:hint="eastAsia"/>
                <w:color w:val="000000"/>
                <w:kern w:val="0"/>
                <w:sz w:val="24"/>
              </w:rPr>
              <w:t>由上表2020年3月1日</w:t>
            </w:r>
            <w:r>
              <w:rPr>
                <w:rFonts w:hint="eastAsia"/>
                <w:color w:val="000000"/>
                <w:kern w:val="0"/>
                <w:sz w:val="24"/>
                <w:lang w:eastAsia="zh-CN"/>
              </w:rPr>
              <w:t>—</w:t>
            </w:r>
            <w:r>
              <w:rPr>
                <w:rFonts w:hint="eastAsia"/>
                <w:color w:val="000000"/>
                <w:kern w:val="0"/>
                <w:sz w:val="24"/>
              </w:rPr>
              <w:t>3月15日连续15日自动站监测数据可知：区域大气环境良好，能够满足《环境空气质量标准》（GB 3095-2012）中的二级浓度限值。</w:t>
            </w:r>
          </w:p>
          <w:p w14:paraId="109A1558">
            <w:pPr>
              <w:adjustRightInd w:val="0"/>
              <w:snapToGrid w:val="0"/>
              <w:spacing w:line="480" w:lineRule="exact"/>
              <w:ind w:right="77" w:rightChars="37" w:firstLine="480" w:firstLineChars="200"/>
              <w:jc w:val="left"/>
              <w:rPr>
                <w:sz w:val="24"/>
              </w:rPr>
            </w:pPr>
            <w:r>
              <w:rPr>
                <w:rFonts w:hint="eastAsia"/>
                <w:sz w:val="24"/>
              </w:rPr>
              <w:t>④</w:t>
            </w:r>
            <w:r>
              <w:rPr>
                <w:sz w:val="24"/>
              </w:rPr>
              <w:t>峨边彝族自治县</w:t>
            </w:r>
            <w:r>
              <w:rPr>
                <w:sz w:val="24"/>
                <w:shd w:val="clear" w:color="auto" w:fill="FFFFFF"/>
              </w:rPr>
              <w:t>空气质量限期达标规划</w:t>
            </w:r>
          </w:p>
          <w:p w14:paraId="023183D9">
            <w:pPr>
              <w:adjustRightInd w:val="0"/>
              <w:snapToGrid w:val="0"/>
              <w:spacing w:line="480" w:lineRule="exact"/>
              <w:ind w:right="77" w:rightChars="37" w:firstLine="480" w:firstLineChars="200"/>
              <w:rPr>
                <w:sz w:val="24"/>
              </w:rPr>
            </w:pPr>
            <w:r>
              <w:rPr>
                <w:sz w:val="24"/>
              </w:rPr>
              <w:t>《峨边彝族自治县环境空气质量限期达标规划（2018年</w:t>
            </w:r>
            <w:r>
              <w:rPr>
                <w:rFonts w:hint="eastAsia"/>
                <w:sz w:val="24"/>
                <w:lang w:eastAsia="zh-CN"/>
              </w:rPr>
              <w:t>—</w:t>
            </w:r>
            <w:r>
              <w:rPr>
                <w:sz w:val="24"/>
              </w:rPr>
              <w:t>2025年）》规划目标与阶段性目标：近期目标：到2020年，全县PM2.5年均浓度控制在45μg/m</w:t>
            </w:r>
            <w:r>
              <w:rPr>
                <w:sz w:val="24"/>
                <w:vertAlign w:val="superscript"/>
              </w:rPr>
              <w:t>3</w:t>
            </w:r>
            <w:r>
              <w:rPr>
                <w:sz w:val="24"/>
              </w:rPr>
              <w:t>以内，大气环境优良天数率比例达到85%以上。远期目标：力争到2025年，PM10控制在70μg/m</w:t>
            </w:r>
            <w:r>
              <w:rPr>
                <w:sz w:val="24"/>
                <w:vertAlign w:val="superscript"/>
              </w:rPr>
              <w:t>3</w:t>
            </w:r>
            <w:r>
              <w:rPr>
                <w:sz w:val="24"/>
              </w:rPr>
              <w:t>以内，PM2.5控制在35μg/m</w:t>
            </w:r>
            <w:r>
              <w:rPr>
                <w:sz w:val="24"/>
                <w:vertAlign w:val="superscript"/>
              </w:rPr>
              <w:t>3</w:t>
            </w:r>
            <w:r>
              <w:rPr>
                <w:sz w:val="24"/>
              </w:rPr>
              <w:t>以内，达到国家二级标准要求。阶段性目标：以基准年为基础，达标期限内实施阶段式滚动目标，分两个阶段逐步改善空气质量，第一阶段，近期2018</w:t>
            </w:r>
            <w:r>
              <w:rPr>
                <w:rFonts w:hint="eastAsia"/>
                <w:sz w:val="24"/>
                <w:lang w:eastAsia="zh-CN"/>
              </w:rPr>
              <w:t>—</w:t>
            </w:r>
            <w:r>
              <w:rPr>
                <w:sz w:val="24"/>
              </w:rPr>
              <w:t>2020年，第二阶段，中长期2021</w:t>
            </w:r>
            <w:r>
              <w:rPr>
                <w:rFonts w:hint="eastAsia"/>
                <w:sz w:val="24"/>
                <w:lang w:eastAsia="zh-CN"/>
              </w:rPr>
              <w:t>—</w:t>
            </w:r>
            <w:r>
              <w:rPr>
                <w:sz w:val="24"/>
              </w:rPr>
              <w:t>2025年。</w:t>
            </w:r>
          </w:p>
          <w:p w14:paraId="35322FE0">
            <w:pPr>
              <w:adjustRightInd w:val="0"/>
              <w:snapToGrid w:val="0"/>
              <w:spacing w:line="480" w:lineRule="exact"/>
              <w:ind w:right="77" w:rightChars="37" w:firstLine="480" w:firstLineChars="200"/>
              <w:jc w:val="left"/>
              <w:rPr>
                <w:sz w:val="24"/>
              </w:rPr>
            </w:pPr>
            <w:r>
              <w:rPr>
                <w:sz w:val="24"/>
              </w:rPr>
              <w:t>综合考虑峨边彝族自治县经济发展特点和大气污染状况，峨边彝族自治县空气质量达标战略主要包括以下内容：一是通过调整能源结构、升级产业结构、优化空间布局、强化污染减排等手段，逐步推进大气污染源头控制；二是以矿山、建材、铁合金、化工、扬尘、机动车、餐饮、秸秆燃烧为重点污染源，推进多污染源综合控制；三是针对SO</w:t>
            </w:r>
            <w:r>
              <w:rPr>
                <w:sz w:val="24"/>
                <w:vertAlign w:val="subscript"/>
              </w:rPr>
              <w:t>2</w:t>
            </w:r>
            <w:r>
              <w:rPr>
                <w:sz w:val="24"/>
              </w:rPr>
              <w:t>、NOx、PM、VOCs等大气污染物，推进多污染物协同控制，同时把对NH</w:t>
            </w:r>
            <w:r>
              <w:rPr>
                <w:sz w:val="24"/>
                <w:vertAlign w:val="subscript"/>
              </w:rPr>
              <w:t>3</w:t>
            </w:r>
            <w:r>
              <w:rPr>
                <w:sz w:val="24"/>
              </w:rPr>
              <w:t>的排放控制纳入政策视野。在2020年、2022年、2024年对空气质量达标规划实施情况开展跟踪评价，查找不足，有针对性地提出改进措施，逐步实现城市空气质量达标。</w:t>
            </w:r>
          </w:p>
          <w:p w14:paraId="61638422">
            <w:pPr>
              <w:adjustRightInd w:val="0"/>
              <w:snapToGrid w:val="0"/>
              <w:spacing w:line="480" w:lineRule="exact"/>
              <w:ind w:right="77" w:rightChars="37" w:firstLine="480" w:firstLineChars="200"/>
              <w:rPr>
                <w:sz w:val="24"/>
              </w:rPr>
            </w:pPr>
            <w:r>
              <w:rPr>
                <w:sz w:val="24"/>
              </w:rPr>
              <w:t>综上，项目所在区域不达标指标PM</w:t>
            </w:r>
            <w:r>
              <w:rPr>
                <w:sz w:val="24"/>
                <w:vertAlign w:val="subscript"/>
              </w:rPr>
              <w:t>2.5</w:t>
            </w:r>
            <w:r>
              <w:rPr>
                <w:sz w:val="24"/>
              </w:rPr>
              <w:t>预期可满足《环境空气质量标准》（GB3095-2012）及其修改单中二级标准要求。</w:t>
            </w:r>
          </w:p>
          <w:p w14:paraId="4058F0C0">
            <w:pPr>
              <w:widowControl/>
              <w:spacing w:line="480" w:lineRule="exact"/>
              <w:ind w:firstLine="480" w:firstLineChars="200"/>
              <w:rPr>
                <w:sz w:val="24"/>
                <w:szCs w:val="20"/>
              </w:rPr>
            </w:pPr>
            <w:r>
              <w:rPr>
                <w:rFonts w:hint="eastAsia" w:ascii="宋体" w:hAnsi="宋体" w:cs="宋体"/>
                <w:sz w:val="24"/>
                <w:szCs w:val="20"/>
              </w:rPr>
              <w:t>④</w:t>
            </w:r>
            <w:r>
              <w:rPr>
                <w:sz w:val="24"/>
                <w:szCs w:val="20"/>
              </w:rPr>
              <w:t>补充检测</w:t>
            </w:r>
          </w:p>
          <w:p w14:paraId="49EFC30F">
            <w:pPr>
              <w:widowControl/>
              <w:spacing w:line="480" w:lineRule="exact"/>
              <w:ind w:firstLine="480" w:firstLineChars="200"/>
              <w:rPr>
                <w:sz w:val="24"/>
                <w:szCs w:val="20"/>
              </w:rPr>
            </w:pPr>
            <w:r>
              <w:rPr>
                <w:rFonts w:hint="eastAsia"/>
                <w:color w:val="FF0000"/>
                <w:sz w:val="24"/>
                <w:szCs w:val="20"/>
              </w:rPr>
              <w:t>由于项目原为仓储建设项目，</w:t>
            </w:r>
            <w:r>
              <w:rPr>
                <w:rFonts w:hint="eastAsia"/>
                <w:sz w:val="24"/>
                <w:szCs w:val="20"/>
              </w:rPr>
              <w:t>项目委托四川蜀环环境检测有限责任公司对项目所在地厂界四周无组织废气进行检测，根据四川蜀环环境检测有限责任公司（蜀环检字</w:t>
            </w:r>
            <w:r>
              <w:rPr>
                <w:rFonts w:hint="eastAsia"/>
                <w:sz w:val="24"/>
                <w:szCs w:val="20"/>
                <w:lang w:eastAsia="zh-CN"/>
              </w:rPr>
              <w:t>〔2020〕26号</w:t>
            </w:r>
            <w:r>
              <w:rPr>
                <w:rFonts w:hint="eastAsia"/>
                <w:sz w:val="24"/>
                <w:szCs w:val="20"/>
              </w:rPr>
              <w:t>）检测结果显示。</w:t>
            </w:r>
          </w:p>
          <w:p w14:paraId="62AAD0D7">
            <w:pPr>
              <w:spacing w:line="360" w:lineRule="auto"/>
              <w:ind w:firstLine="480" w:firstLineChars="200"/>
              <w:rPr>
                <w:sz w:val="24"/>
              </w:rPr>
            </w:pPr>
            <w:r>
              <w:rPr>
                <w:b/>
                <w:sz w:val="24"/>
              </w:rPr>
              <w:t>1</w:t>
            </w:r>
            <w:r>
              <w:rPr>
                <w:rFonts w:hint="eastAsia"/>
                <w:b/>
                <w:sz w:val="24"/>
              </w:rPr>
              <w:t>．采样布点</w:t>
            </w:r>
            <w:r>
              <w:rPr>
                <w:rFonts w:hint="eastAsia"/>
                <w:sz w:val="24"/>
              </w:rPr>
              <w:t>：</w:t>
            </w:r>
            <w:r>
              <w:rPr>
                <w:rFonts w:hint="eastAsia"/>
                <w:kern w:val="0"/>
                <w:sz w:val="24"/>
              </w:rPr>
              <w:t>本次项目在工程厂界四周布设无组织废气监测点</w:t>
            </w:r>
            <w:r>
              <w:rPr>
                <w:kern w:val="0"/>
                <w:sz w:val="24"/>
              </w:rPr>
              <w:t>4</w:t>
            </w:r>
            <w:r>
              <w:rPr>
                <w:rFonts w:hint="eastAsia"/>
                <w:sz w:val="24"/>
              </w:rPr>
              <w:t>个。</w:t>
            </w:r>
          </w:p>
          <w:p w14:paraId="4E1AA551">
            <w:pPr>
              <w:spacing w:line="360" w:lineRule="auto"/>
              <w:ind w:firstLine="480" w:firstLineChars="200"/>
              <w:rPr>
                <w:sz w:val="24"/>
              </w:rPr>
            </w:pPr>
            <w:r>
              <w:rPr>
                <w:b/>
                <w:sz w:val="24"/>
              </w:rPr>
              <w:t>2</w:t>
            </w:r>
            <w:r>
              <w:rPr>
                <w:rFonts w:hint="eastAsia"/>
                <w:b/>
                <w:sz w:val="24"/>
              </w:rPr>
              <w:t>．监测指标</w:t>
            </w:r>
            <w:r>
              <w:rPr>
                <w:rFonts w:hint="eastAsia"/>
                <w:sz w:val="24"/>
              </w:rPr>
              <w:t>：颗粒物。</w:t>
            </w:r>
          </w:p>
          <w:p w14:paraId="6F44ECC4">
            <w:pPr>
              <w:spacing w:line="360" w:lineRule="auto"/>
              <w:ind w:firstLine="480" w:firstLineChars="200"/>
              <w:rPr>
                <w:sz w:val="24"/>
              </w:rPr>
            </w:pPr>
            <w:r>
              <w:rPr>
                <w:b/>
                <w:sz w:val="24"/>
              </w:rPr>
              <w:t>3</w:t>
            </w:r>
            <w:r>
              <w:rPr>
                <w:rFonts w:hint="eastAsia"/>
                <w:b/>
                <w:sz w:val="24"/>
              </w:rPr>
              <w:t>．监测周期及频率</w:t>
            </w:r>
            <w:r>
              <w:rPr>
                <w:rFonts w:hint="eastAsia"/>
                <w:sz w:val="24"/>
              </w:rPr>
              <w:t>：监测</w:t>
            </w:r>
            <w:r>
              <w:rPr>
                <w:sz w:val="24"/>
              </w:rPr>
              <w:t>2</w:t>
            </w:r>
            <w:r>
              <w:rPr>
                <w:rFonts w:hint="eastAsia"/>
                <w:sz w:val="24"/>
              </w:rPr>
              <w:t>天，每天3次。</w:t>
            </w:r>
          </w:p>
          <w:p w14:paraId="423BFAF6">
            <w:pPr>
              <w:spacing w:line="360" w:lineRule="auto"/>
              <w:ind w:firstLine="480" w:firstLineChars="200"/>
              <w:rPr>
                <w:sz w:val="24"/>
              </w:rPr>
            </w:pPr>
            <w:r>
              <w:rPr>
                <w:b/>
                <w:sz w:val="24"/>
              </w:rPr>
              <w:t>4</w:t>
            </w:r>
            <w:r>
              <w:rPr>
                <w:rFonts w:hint="eastAsia"/>
                <w:b/>
                <w:sz w:val="24"/>
              </w:rPr>
              <w:t>．监测结果</w:t>
            </w:r>
            <w:r>
              <w:rPr>
                <w:rFonts w:hint="eastAsia"/>
                <w:sz w:val="24"/>
              </w:rPr>
              <w:t>：项目监测期间正常运营。无组织废气监测结果见表</w:t>
            </w:r>
            <w:r>
              <w:rPr>
                <w:sz w:val="24"/>
              </w:rPr>
              <w:t>3-3</w:t>
            </w:r>
            <w:r>
              <w:rPr>
                <w:rFonts w:hint="eastAsia"/>
                <w:sz w:val="24"/>
              </w:rPr>
              <w:t>。</w:t>
            </w:r>
          </w:p>
          <w:p w14:paraId="3DDBB733">
            <w:pPr>
              <w:spacing w:line="360" w:lineRule="auto"/>
              <w:ind w:firstLine="480" w:firstLineChars="200"/>
              <w:jc w:val="center"/>
              <w:rPr>
                <w:rFonts w:ascii="黑体" w:hAnsi="黑体" w:eastAsia="黑体"/>
                <w:sz w:val="24"/>
              </w:rPr>
            </w:pPr>
            <w:r>
              <w:rPr>
                <w:rFonts w:hint="eastAsia" w:ascii="黑体" w:hAnsi="黑体" w:eastAsia="黑体"/>
                <w:sz w:val="24"/>
              </w:rPr>
              <w:t>表3</w:t>
            </w:r>
            <w:r>
              <w:rPr>
                <w:rFonts w:ascii="黑体" w:hAnsi="黑体" w:eastAsia="黑体"/>
                <w:sz w:val="24"/>
              </w:rPr>
              <w:t xml:space="preserve">-3 </w:t>
            </w:r>
            <w:r>
              <w:rPr>
                <w:rFonts w:hint="eastAsia" w:ascii="黑体" w:hAnsi="黑体" w:eastAsia="黑体"/>
                <w:sz w:val="24"/>
              </w:rPr>
              <w:t>项目厂界无组织废气监测结果</w:t>
            </w:r>
          </w:p>
          <w:tbl>
            <w:tblPr>
              <w:tblStyle w:val="25"/>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003"/>
              <w:gridCol w:w="657"/>
              <w:gridCol w:w="922"/>
              <w:gridCol w:w="850"/>
              <w:gridCol w:w="851"/>
              <w:gridCol w:w="954"/>
              <w:gridCol w:w="1233"/>
              <w:gridCol w:w="774"/>
            </w:tblGrid>
            <w:tr w14:paraId="030C739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restart"/>
                  <w:tcBorders>
                    <w:left w:val="single" w:color="auto" w:sz="12" w:space="0"/>
                    <w:bottom w:val="single" w:color="auto" w:sz="12" w:space="0"/>
                  </w:tcBorders>
                  <w:vAlign w:val="center"/>
                </w:tcPr>
                <w:p w14:paraId="1409331B">
                  <w:pPr>
                    <w:jc w:val="center"/>
                    <w:rPr>
                      <w:b/>
                      <w:szCs w:val="21"/>
                    </w:rPr>
                  </w:pPr>
                  <w:r>
                    <w:rPr>
                      <w:b/>
                      <w:szCs w:val="21"/>
                    </w:rPr>
                    <w:t>采样日期</w:t>
                  </w:r>
                </w:p>
              </w:tc>
              <w:tc>
                <w:tcPr>
                  <w:tcW w:w="0" w:type="auto"/>
                  <w:vMerge w:val="restart"/>
                  <w:tcBorders>
                    <w:bottom w:val="single" w:color="auto" w:sz="12" w:space="0"/>
                  </w:tcBorders>
                  <w:vAlign w:val="center"/>
                </w:tcPr>
                <w:p w14:paraId="3FFA5532">
                  <w:pPr>
                    <w:jc w:val="center"/>
                    <w:rPr>
                      <w:b/>
                      <w:szCs w:val="21"/>
                    </w:rPr>
                  </w:pPr>
                  <w:r>
                    <w:rPr>
                      <w:b/>
                      <w:szCs w:val="21"/>
                    </w:rPr>
                    <w:t>采样</w:t>
                  </w:r>
                </w:p>
                <w:p w14:paraId="01A33676">
                  <w:pPr>
                    <w:jc w:val="center"/>
                    <w:rPr>
                      <w:b/>
                      <w:szCs w:val="21"/>
                    </w:rPr>
                  </w:pPr>
                  <w:r>
                    <w:rPr>
                      <w:b/>
                      <w:szCs w:val="21"/>
                    </w:rPr>
                    <w:t>点位</w:t>
                  </w:r>
                </w:p>
              </w:tc>
              <w:tc>
                <w:tcPr>
                  <w:tcW w:w="0" w:type="auto"/>
                  <w:vMerge w:val="restart"/>
                  <w:tcBorders>
                    <w:bottom w:val="single" w:color="auto" w:sz="12" w:space="0"/>
                  </w:tcBorders>
                  <w:vAlign w:val="center"/>
                </w:tcPr>
                <w:p w14:paraId="6D6CF16E">
                  <w:pPr>
                    <w:jc w:val="center"/>
                    <w:rPr>
                      <w:b/>
                      <w:szCs w:val="21"/>
                    </w:rPr>
                  </w:pPr>
                  <w:r>
                    <w:rPr>
                      <w:b/>
                      <w:szCs w:val="21"/>
                    </w:rPr>
                    <w:t>检测</w:t>
                  </w:r>
                </w:p>
                <w:p w14:paraId="0776FB62">
                  <w:pPr>
                    <w:jc w:val="center"/>
                    <w:rPr>
                      <w:b/>
                      <w:szCs w:val="21"/>
                    </w:rPr>
                  </w:pPr>
                  <w:r>
                    <w:rPr>
                      <w:b/>
                      <w:szCs w:val="21"/>
                    </w:rPr>
                    <w:t>项目</w:t>
                  </w:r>
                </w:p>
              </w:tc>
              <w:tc>
                <w:tcPr>
                  <w:tcW w:w="3577" w:type="dxa"/>
                  <w:gridSpan w:val="4"/>
                  <w:vAlign w:val="center"/>
                </w:tcPr>
                <w:p w14:paraId="7A968556">
                  <w:pPr>
                    <w:spacing w:before="156" w:beforeLines="50"/>
                    <w:jc w:val="center"/>
                    <w:rPr>
                      <w:b/>
                      <w:szCs w:val="21"/>
                    </w:rPr>
                  </w:pPr>
                  <w:r>
                    <w:rPr>
                      <w:b/>
                      <w:szCs w:val="21"/>
                    </w:rPr>
                    <w:t>检测结果（mg/m</w:t>
                  </w:r>
                  <w:r>
                    <w:rPr>
                      <w:b/>
                      <w:szCs w:val="21"/>
                      <w:vertAlign w:val="superscript"/>
                    </w:rPr>
                    <w:t>3</w:t>
                  </w:r>
                  <w:r>
                    <w:rPr>
                      <w:b/>
                      <w:szCs w:val="21"/>
                    </w:rPr>
                    <w:t>）</w:t>
                  </w:r>
                </w:p>
              </w:tc>
              <w:tc>
                <w:tcPr>
                  <w:tcW w:w="1233" w:type="dxa"/>
                  <w:vMerge w:val="restart"/>
                  <w:tcBorders>
                    <w:bottom w:val="single" w:color="auto" w:sz="12" w:space="0"/>
                  </w:tcBorders>
                  <w:vAlign w:val="center"/>
                </w:tcPr>
                <w:p w14:paraId="7B8630EB">
                  <w:pPr>
                    <w:spacing w:before="156" w:beforeLines="50"/>
                    <w:jc w:val="center"/>
                    <w:rPr>
                      <w:b/>
                      <w:szCs w:val="21"/>
                    </w:rPr>
                  </w:pPr>
                  <w:r>
                    <w:rPr>
                      <w:b/>
                      <w:szCs w:val="21"/>
                    </w:rPr>
                    <w:t>标准限值（mg/m</w:t>
                  </w:r>
                  <w:r>
                    <w:rPr>
                      <w:b/>
                      <w:szCs w:val="21"/>
                      <w:vertAlign w:val="superscript"/>
                    </w:rPr>
                    <w:t>3</w:t>
                  </w:r>
                  <w:r>
                    <w:rPr>
                      <w:b/>
                      <w:szCs w:val="21"/>
                    </w:rPr>
                    <w:t>）</w:t>
                  </w:r>
                </w:p>
              </w:tc>
              <w:tc>
                <w:tcPr>
                  <w:tcW w:w="0" w:type="auto"/>
                  <w:vMerge w:val="restart"/>
                  <w:tcBorders>
                    <w:bottom w:val="single" w:color="auto" w:sz="12" w:space="0"/>
                    <w:right w:val="single" w:color="auto" w:sz="12" w:space="0"/>
                  </w:tcBorders>
                  <w:vAlign w:val="center"/>
                </w:tcPr>
                <w:p w14:paraId="660FB12A">
                  <w:pPr>
                    <w:spacing w:before="156" w:beforeLines="50"/>
                    <w:jc w:val="center"/>
                    <w:rPr>
                      <w:b/>
                      <w:szCs w:val="21"/>
                    </w:rPr>
                  </w:pPr>
                  <w:r>
                    <w:rPr>
                      <w:b/>
                      <w:bCs/>
                      <w:szCs w:val="21"/>
                    </w:rPr>
                    <w:t>结果评价</w:t>
                  </w:r>
                </w:p>
              </w:tc>
            </w:tr>
            <w:tr w14:paraId="1EB3259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top w:val="single" w:color="auto" w:sz="12" w:space="0"/>
                    <w:left w:val="single" w:color="auto" w:sz="12" w:space="0"/>
                    <w:bottom w:val="single" w:color="auto" w:sz="12" w:space="0"/>
                  </w:tcBorders>
                  <w:vAlign w:val="center"/>
                </w:tcPr>
                <w:p w14:paraId="0FBB782C">
                  <w:pPr>
                    <w:jc w:val="center"/>
                    <w:rPr>
                      <w:szCs w:val="21"/>
                    </w:rPr>
                  </w:pPr>
                </w:p>
              </w:tc>
              <w:tc>
                <w:tcPr>
                  <w:tcW w:w="0" w:type="auto"/>
                  <w:vMerge w:val="continue"/>
                  <w:tcBorders>
                    <w:top w:val="single" w:color="auto" w:sz="12" w:space="0"/>
                    <w:bottom w:val="single" w:color="auto" w:sz="12" w:space="0"/>
                  </w:tcBorders>
                  <w:vAlign w:val="center"/>
                </w:tcPr>
                <w:p w14:paraId="25FDDD52">
                  <w:pPr>
                    <w:jc w:val="center"/>
                    <w:rPr>
                      <w:szCs w:val="21"/>
                    </w:rPr>
                  </w:pPr>
                </w:p>
              </w:tc>
              <w:tc>
                <w:tcPr>
                  <w:tcW w:w="0" w:type="auto"/>
                  <w:vMerge w:val="continue"/>
                  <w:tcBorders>
                    <w:top w:val="single" w:color="auto" w:sz="12" w:space="0"/>
                    <w:bottom w:val="single" w:color="auto" w:sz="12" w:space="0"/>
                  </w:tcBorders>
                  <w:vAlign w:val="center"/>
                </w:tcPr>
                <w:p w14:paraId="17205926">
                  <w:pPr>
                    <w:jc w:val="center"/>
                    <w:rPr>
                      <w:szCs w:val="21"/>
                    </w:rPr>
                  </w:pPr>
                </w:p>
              </w:tc>
              <w:tc>
                <w:tcPr>
                  <w:tcW w:w="922" w:type="dxa"/>
                  <w:tcBorders>
                    <w:bottom w:val="single" w:color="auto" w:sz="12" w:space="0"/>
                  </w:tcBorders>
                  <w:vAlign w:val="center"/>
                </w:tcPr>
                <w:p w14:paraId="4F08CFC9">
                  <w:pPr>
                    <w:jc w:val="center"/>
                    <w:rPr>
                      <w:b/>
                      <w:szCs w:val="21"/>
                    </w:rPr>
                  </w:pPr>
                  <w:r>
                    <w:rPr>
                      <w:b/>
                      <w:szCs w:val="21"/>
                    </w:rPr>
                    <w:t>第一次</w:t>
                  </w:r>
                </w:p>
              </w:tc>
              <w:tc>
                <w:tcPr>
                  <w:tcW w:w="850" w:type="dxa"/>
                  <w:tcBorders>
                    <w:bottom w:val="single" w:color="auto" w:sz="12" w:space="0"/>
                  </w:tcBorders>
                  <w:vAlign w:val="center"/>
                </w:tcPr>
                <w:p w14:paraId="201828B7">
                  <w:pPr>
                    <w:jc w:val="center"/>
                    <w:rPr>
                      <w:b/>
                      <w:szCs w:val="21"/>
                    </w:rPr>
                  </w:pPr>
                  <w:r>
                    <w:rPr>
                      <w:b/>
                      <w:szCs w:val="21"/>
                    </w:rPr>
                    <w:t>第二次</w:t>
                  </w:r>
                </w:p>
              </w:tc>
              <w:tc>
                <w:tcPr>
                  <w:tcW w:w="851" w:type="dxa"/>
                  <w:tcBorders>
                    <w:bottom w:val="single" w:color="auto" w:sz="12" w:space="0"/>
                  </w:tcBorders>
                  <w:vAlign w:val="center"/>
                </w:tcPr>
                <w:p w14:paraId="59DEAE06">
                  <w:pPr>
                    <w:jc w:val="center"/>
                    <w:rPr>
                      <w:b/>
                      <w:szCs w:val="21"/>
                    </w:rPr>
                  </w:pPr>
                  <w:r>
                    <w:rPr>
                      <w:b/>
                      <w:szCs w:val="21"/>
                    </w:rPr>
                    <w:t>第三次</w:t>
                  </w:r>
                </w:p>
              </w:tc>
              <w:tc>
                <w:tcPr>
                  <w:tcW w:w="954" w:type="dxa"/>
                  <w:tcBorders>
                    <w:bottom w:val="single" w:color="auto" w:sz="12" w:space="0"/>
                  </w:tcBorders>
                  <w:vAlign w:val="center"/>
                </w:tcPr>
                <w:p w14:paraId="4EC70933">
                  <w:pPr>
                    <w:jc w:val="center"/>
                    <w:rPr>
                      <w:b/>
                      <w:szCs w:val="21"/>
                    </w:rPr>
                  </w:pPr>
                  <w:r>
                    <w:rPr>
                      <w:b/>
                      <w:szCs w:val="21"/>
                    </w:rPr>
                    <w:t>最大值</w:t>
                  </w:r>
                </w:p>
              </w:tc>
              <w:tc>
                <w:tcPr>
                  <w:tcW w:w="1233" w:type="dxa"/>
                  <w:vMerge w:val="continue"/>
                  <w:tcBorders>
                    <w:top w:val="single" w:color="auto" w:sz="12" w:space="0"/>
                    <w:bottom w:val="single" w:color="000000" w:sz="12" w:space="0"/>
                  </w:tcBorders>
                  <w:vAlign w:val="center"/>
                </w:tcPr>
                <w:p w14:paraId="44B8CE62">
                  <w:pPr>
                    <w:spacing w:before="156" w:beforeLines="50"/>
                    <w:jc w:val="center"/>
                    <w:rPr>
                      <w:szCs w:val="21"/>
                    </w:rPr>
                  </w:pPr>
                </w:p>
              </w:tc>
              <w:tc>
                <w:tcPr>
                  <w:tcW w:w="0" w:type="auto"/>
                  <w:vMerge w:val="continue"/>
                  <w:tcBorders>
                    <w:top w:val="single" w:color="auto" w:sz="12" w:space="0"/>
                    <w:bottom w:val="single" w:color="000000" w:sz="12" w:space="0"/>
                    <w:right w:val="single" w:color="auto" w:sz="12" w:space="0"/>
                  </w:tcBorders>
                  <w:vAlign w:val="center"/>
                </w:tcPr>
                <w:p w14:paraId="00D24BD0">
                  <w:pPr>
                    <w:spacing w:before="156" w:beforeLines="50"/>
                    <w:jc w:val="center"/>
                    <w:rPr>
                      <w:szCs w:val="21"/>
                    </w:rPr>
                  </w:pPr>
                </w:p>
              </w:tc>
            </w:tr>
            <w:tr w14:paraId="22FC2C1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restart"/>
                  <w:tcBorders>
                    <w:top w:val="single" w:color="auto" w:sz="12" w:space="0"/>
                    <w:left w:val="single" w:color="auto" w:sz="12" w:space="0"/>
                  </w:tcBorders>
                  <w:vAlign w:val="center"/>
                </w:tcPr>
                <w:p w14:paraId="59B68A3E">
                  <w:pPr>
                    <w:jc w:val="center"/>
                    <w:rPr>
                      <w:szCs w:val="21"/>
                    </w:rPr>
                  </w:pPr>
                  <w:r>
                    <w:rPr>
                      <w:szCs w:val="21"/>
                    </w:rPr>
                    <w:t>2020/4/16</w:t>
                  </w:r>
                </w:p>
              </w:tc>
              <w:tc>
                <w:tcPr>
                  <w:tcW w:w="0" w:type="auto"/>
                  <w:tcBorders>
                    <w:top w:val="single" w:color="auto" w:sz="12" w:space="0"/>
                  </w:tcBorders>
                  <w:vAlign w:val="center"/>
                </w:tcPr>
                <w:p w14:paraId="4AE2572F">
                  <w:pPr>
                    <w:jc w:val="center"/>
                    <w:rPr>
                      <w:szCs w:val="21"/>
                    </w:rPr>
                  </w:pPr>
                  <w:r>
                    <w:rPr>
                      <w:szCs w:val="21"/>
                    </w:rPr>
                    <w:t>1#东北侧厂界</w:t>
                  </w:r>
                </w:p>
              </w:tc>
              <w:tc>
                <w:tcPr>
                  <w:tcW w:w="0" w:type="auto"/>
                  <w:vMerge w:val="restart"/>
                  <w:tcBorders>
                    <w:top w:val="single" w:color="auto" w:sz="12" w:space="0"/>
                  </w:tcBorders>
                  <w:vAlign w:val="center"/>
                </w:tcPr>
                <w:p w14:paraId="68378262">
                  <w:pPr>
                    <w:jc w:val="center"/>
                    <w:rPr>
                      <w:szCs w:val="21"/>
                    </w:rPr>
                  </w:pPr>
                  <w:r>
                    <w:rPr>
                      <w:szCs w:val="21"/>
                    </w:rPr>
                    <w:t>颗粒物</w:t>
                  </w:r>
                </w:p>
              </w:tc>
              <w:tc>
                <w:tcPr>
                  <w:tcW w:w="922" w:type="dxa"/>
                  <w:tcBorders>
                    <w:top w:val="single" w:color="auto" w:sz="12" w:space="0"/>
                  </w:tcBorders>
                  <w:vAlign w:val="center"/>
                </w:tcPr>
                <w:p w14:paraId="3491E16A">
                  <w:pPr>
                    <w:jc w:val="center"/>
                    <w:rPr>
                      <w:szCs w:val="21"/>
                    </w:rPr>
                  </w:pPr>
                  <w:r>
                    <w:rPr>
                      <w:szCs w:val="21"/>
                    </w:rPr>
                    <w:t>0.167</w:t>
                  </w:r>
                </w:p>
              </w:tc>
              <w:tc>
                <w:tcPr>
                  <w:tcW w:w="850" w:type="dxa"/>
                  <w:tcBorders>
                    <w:top w:val="single" w:color="auto" w:sz="12" w:space="0"/>
                  </w:tcBorders>
                  <w:vAlign w:val="center"/>
                </w:tcPr>
                <w:p w14:paraId="5B8163FE">
                  <w:pPr>
                    <w:jc w:val="center"/>
                    <w:rPr>
                      <w:szCs w:val="21"/>
                    </w:rPr>
                  </w:pPr>
                  <w:r>
                    <w:rPr>
                      <w:szCs w:val="21"/>
                    </w:rPr>
                    <w:t>0.150</w:t>
                  </w:r>
                </w:p>
              </w:tc>
              <w:tc>
                <w:tcPr>
                  <w:tcW w:w="851" w:type="dxa"/>
                  <w:tcBorders>
                    <w:top w:val="single" w:color="auto" w:sz="12" w:space="0"/>
                  </w:tcBorders>
                  <w:vAlign w:val="center"/>
                </w:tcPr>
                <w:p w14:paraId="0DE5E1DD">
                  <w:pPr>
                    <w:jc w:val="center"/>
                    <w:rPr>
                      <w:szCs w:val="21"/>
                    </w:rPr>
                  </w:pPr>
                  <w:r>
                    <w:rPr>
                      <w:szCs w:val="21"/>
                    </w:rPr>
                    <w:t>0.150</w:t>
                  </w:r>
                </w:p>
              </w:tc>
              <w:tc>
                <w:tcPr>
                  <w:tcW w:w="954" w:type="dxa"/>
                  <w:tcBorders>
                    <w:top w:val="single" w:color="auto" w:sz="12" w:space="0"/>
                  </w:tcBorders>
                  <w:vAlign w:val="center"/>
                </w:tcPr>
                <w:p w14:paraId="4716A5EA">
                  <w:pPr>
                    <w:jc w:val="center"/>
                    <w:rPr>
                      <w:szCs w:val="21"/>
                    </w:rPr>
                  </w:pPr>
                  <w:r>
                    <w:rPr>
                      <w:szCs w:val="21"/>
                    </w:rPr>
                    <w:t>0.167</w:t>
                  </w:r>
                </w:p>
              </w:tc>
              <w:tc>
                <w:tcPr>
                  <w:tcW w:w="1233" w:type="dxa"/>
                  <w:vMerge w:val="restart"/>
                  <w:tcBorders>
                    <w:top w:val="single" w:color="000000" w:sz="12" w:space="0"/>
                  </w:tcBorders>
                  <w:vAlign w:val="center"/>
                </w:tcPr>
                <w:p w14:paraId="4AE7D88D">
                  <w:pPr>
                    <w:jc w:val="center"/>
                    <w:rPr>
                      <w:szCs w:val="21"/>
                    </w:rPr>
                  </w:pPr>
                  <w:r>
                    <w:rPr>
                      <w:szCs w:val="21"/>
                    </w:rPr>
                    <w:t>1.0</w:t>
                  </w:r>
                </w:p>
              </w:tc>
              <w:tc>
                <w:tcPr>
                  <w:tcW w:w="0" w:type="auto"/>
                  <w:tcBorders>
                    <w:top w:val="single" w:color="000000" w:sz="12" w:space="0"/>
                    <w:right w:val="single" w:color="auto" w:sz="12" w:space="0"/>
                  </w:tcBorders>
                  <w:vAlign w:val="center"/>
                </w:tcPr>
                <w:p w14:paraId="3B6B6B32">
                  <w:pPr>
                    <w:jc w:val="center"/>
                    <w:rPr>
                      <w:szCs w:val="21"/>
                    </w:rPr>
                  </w:pPr>
                  <w:r>
                    <w:rPr>
                      <w:szCs w:val="21"/>
                    </w:rPr>
                    <w:t>达标</w:t>
                  </w:r>
                </w:p>
              </w:tc>
            </w:tr>
            <w:tr w14:paraId="229B0A5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left w:val="single" w:color="auto" w:sz="12" w:space="0"/>
                  </w:tcBorders>
                  <w:vAlign w:val="center"/>
                </w:tcPr>
                <w:p w14:paraId="3F3345EB">
                  <w:pPr>
                    <w:jc w:val="center"/>
                    <w:rPr>
                      <w:szCs w:val="21"/>
                    </w:rPr>
                  </w:pPr>
                </w:p>
              </w:tc>
              <w:tc>
                <w:tcPr>
                  <w:tcW w:w="0" w:type="auto"/>
                  <w:vAlign w:val="center"/>
                </w:tcPr>
                <w:p w14:paraId="2D0E15A0">
                  <w:pPr>
                    <w:jc w:val="center"/>
                    <w:rPr>
                      <w:szCs w:val="21"/>
                    </w:rPr>
                  </w:pPr>
                  <w:r>
                    <w:rPr>
                      <w:szCs w:val="21"/>
                    </w:rPr>
                    <w:t>2#东南侧厂界</w:t>
                  </w:r>
                </w:p>
              </w:tc>
              <w:tc>
                <w:tcPr>
                  <w:tcW w:w="0" w:type="auto"/>
                  <w:vMerge w:val="continue"/>
                  <w:vAlign w:val="center"/>
                </w:tcPr>
                <w:p w14:paraId="10605905">
                  <w:pPr>
                    <w:jc w:val="center"/>
                    <w:rPr>
                      <w:szCs w:val="21"/>
                    </w:rPr>
                  </w:pPr>
                </w:p>
              </w:tc>
              <w:tc>
                <w:tcPr>
                  <w:tcW w:w="922" w:type="dxa"/>
                  <w:vAlign w:val="center"/>
                </w:tcPr>
                <w:p w14:paraId="5B43C9A4">
                  <w:pPr>
                    <w:jc w:val="center"/>
                    <w:rPr>
                      <w:szCs w:val="21"/>
                    </w:rPr>
                  </w:pPr>
                  <w:r>
                    <w:rPr>
                      <w:szCs w:val="21"/>
                    </w:rPr>
                    <w:t>0.150</w:t>
                  </w:r>
                </w:p>
              </w:tc>
              <w:tc>
                <w:tcPr>
                  <w:tcW w:w="850" w:type="dxa"/>
                  <w:vAlign w:val="center"/>
                </w:tcPr>
                <w:p w14:paraId="529B7497">
                  <w:pPr>
                    <w:jc w:val="center"/>
                    <w:rPr>
                      <w:szCs w:val="21"/>
                    </w:rPr>
                  </w:pPr>
                  <w:r>
                    <w:rPr>
                      <w:szCs w:val="21"/>
                    </w:rPr>
                    <w:t>0.168</w:t>
                  </w:r>
                </w:p>
              </w:tc>
              <w:tc>
                <w:tcPr>
                  <w:tcW w:w="851" w:type="dxa"/>
                  <w:vAlign w:val="center"/>
                </w:tcPr>
                <w:p w14:paraId="30D4A0CB">
                  <w:pPr>
                    <w:jc w:val="center"/>
                    <w:rPr>
                      <w:szCs w:val="21"/>
                    </w:rPr>
                  </w:pPr>
                  <w:r>
                    <w:rPr>
                      <w:szCs w:val="21"/>
                    </w:rPr>
                    <w:t>0.150</w:t>
                  </w:r>
                </w:p>
              </w:tc>
              <w:tc>
                <w:tcPr>
                  <w:tcW w:w="954" w:type="dxa"/>
                  <w:vAlign w:val="center"/>
                </w:tcPr>
                <w:p w14:paraId="682960B6">
                  <w:pPr>
                    <w:jc w:val="center"/>
                    <w:rPr>
                      <w:szCs w:val="21"/>
                    </w:rPr>
                  </w:pPr>
                  <w:r>
                    <w:rPr>
                      <w:szCs w:val="21"/>
                    </w:rPr>
                    <w:t>0.168</w:t>
                  </w:r>
                </w:p>
              </w:tc>
              <w:tc>
                <w:tcPr>
                  <w:tcW w:w="1233" w:type="dxa"/>
                  <w:vMerge w:val="continue"/>
                  <w:vAlign w:val="center"/>
                </w:tcPr>
                <w:p w14:paraId="16702593">
                  <w:pPr>
                    <w:jc w:val="center"/>
                    <w:rPr>
                      <w:szCs w:val="21"/>
                    </w:rPr>
                  </w:pPr>
                </w:p>
              </w:tc>
              <w:tc>
                <w:tcPr>
                  <w:tcW w:w="0" w:type="auto"/>
                  <w:tcBorders>
                    <w:right w:val="single" w:color="auto" w:sz="12" w:space="0"/>
                  </w:tcBorders>
                  <w:vAlign w:val="center"/>
                </w:tcPr>
                <w:p w14:paraId="675E2AC1">
                  <w:pPr>
                    <w:jc w:val="center"/>
                    <w:rPr>
                      <w:szCs w:val="21"/>
                    </w:rPr>
                  </w:pPr>
                  <w:r>
                    <w:rPr>
                      <w:szCs w:val="21"/>
                    </w:rPr>
                    <w:t>达标</w:t>
                  </w:r>
                </w:p>
              </w:tc>
            </w:tr>
            <w:tr w14:paraId="2BE2AC8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left w:val="single" w:color="auto" w:sz="12" w:space="0"/>
                  </w:tcBorders>
                  <w:vAlign w:val="center"/>
                </w:tcPr>
                <w:p w14:paraId="30E8E92D">
                  <w:pPr>
                    <w:jc w:val="center"/>
                    <w:rPr>
                      <w:szCs w:val="21"/>
                    </w:rPr>
                  </w:pPr>
                </w:p>
              </w:tc>
              <w:tc>
                <w:tcPr>
                  <w:tcW w:w="0" w:type="auto"/>
                  <w:tcBorders>
                    <w:bottom w:val="single" w:color="auto" w:sz="4" w:space="0"/>
                  </w:tcBorders>
                  <w:vAlign w:val="center"/>
                </w:tcPr>
                <w:p w14:paraId="72462BF3">
                  <w:pPr>
                    <w:jc w:val="center"/>
                    <w:rPr>
                      <w:szCs w:val="21"/>
                    </w:rPr>
                  </w:pPr>
                  <w:r>
                    <w:rPr>
                      <w:szCs w:val="21"/>
                    </w:rPr>
                    <w:t>3#西南侧厂界</w:t>
                  </w:r>
                </w:p>
              </w:tc>
              <w:tc>
                <w:tcPr>
                  <w:tcW w:w="0" w:type="auto"/>
                  <w:vMerge w:val="continue"/>
                  <w:vAlign w:val="center"/>
                </w:tcPr>
                <w:p w14:paraId="091109DC">
                  <w:pPr>
                    <w:jc w:val="center"/>
                    <w:rPr>
                      <w:szCs w:val="21"/>
                    </w:rPr>
                  </w:pPr>
                </w:p>
              </w:tc>
              <w:tc>
                <w:tcPr>
                  <w:tcW w:w="922" w:type="dxa"/>
                  <w:vAlign w:val="center"/>
                </w:tcPr>
                <w:p w14:paraId="6DB3E4B5">
                  <w:pPr>
                    <w:jc w:val="center"/>
                    <w:rPr>
                      <w:szCs w:val="21"/>
                    </w:rPr>
                  </w:pPr>
                  <w:r>
                    <w:rPr>
                      <w:szCs w:val="21"/>
                    </w:rPr>
                    <w:t>0.167</w:t>
                  </w:r>
                </w:p>
              </w:tc>
              <w:tc>
                <w:tcPr>
                  <w:tcW w:w="850" w:type="dxa"/>
                  <w:vAlign w:val="center"/>
                </w:tcPr>
                <w:p w14:paraId="2959DEE7">
                  <w:pPr>
                    <w:jc w:val="center"/>
                    <w:rPr>
                      <w:szCs w:val="21"/>
                    </w:rPr>
                  </w:pPr>
                  <w:r>
                    <w:rPr>
                      <w:szCs w:val="21"/>
                    </w:rPr>
                    <w:t>0.183</w:t>
                  </w:r>
                </w:p>
              </w:tc>
              <w:tc>
                <w:tcPr>
                  <w:tcW w:w="851" w:type="dxa"/>
                  <w:vAlign w:val="center"/>
                </w:tcPr>
                <w:p w14:paraId="77C9142A">
                  <w:pPr>
                    <w:jc w:val="center"/>
                    <w:rPr>
                      <w:szCs w:val="21"/>
                    </w:rPr>
                  </w:pPr>
                  <w:r>
                    <w:rPr>
                      <w:szCs w:val="21"/>
                    </w:rPr>
                    <w:t>0.150</w:t>
                  </w:r>
                </w:p>
              </w:tc>
              <w:tc>
                <w:tcPr>
                  <w:tcW w:w="954" w:type="dxa"/>
                  <w:vAlign w:val="center"/>
                </w:tcPr>
                <w:p w14:paraId="78177DB3">
                  <w:pPr>
                    <w:jc w:val="center"/>
                    <w:rPr>
                      <w:szCs w:val="21"/>
                    </w:rPr>
                  </w:pPr>
                  <w:r>
                    <w:rPr>
                      <w:szCs w:val="21"/>
                    </w:rPr>
                    <w:t>0.183</w:t>
                  </w:r>
                </w:p>
              </w:tc>
              <w:tc>
                <w:tcPr>
                  <w:tcW w:w="1233" w:type="dxa"/>
                  <w:vMerge w:val="continue"/>
                  <w:vAlign w:val="center"/>
                </w:tcPr>
                <w:p w14:paraId="383E3257">
                  <w:pPr>
                    <w:jc w:val="center"/>
                    <w:rPr>
                      <w:szCs w:val="21"/>
                    </w:rPr>
                  </w:pPr>
                </w:p>
              </w:tc>
              <w:tc>
                <w:tcPr>
                  <w:tcW w:w="0" w:type="auto"/>
                  <w:tcBorders>
                    <w:right w:val="single" w:color="auto" w:sz="12" w:space="0"/>
                  </w:tcBorders>
                  <w:vAlign w:val="center"/>
                </w:tcPr>
                <w:p w14:paraId="451E0640">
                  <w:pPr>
                    <w:jc w:val="center"/>
                    <w:rPr>
                      <w:szCs w:val="21"/>
                    </w:rPr>
                  </w:pPr>
                  <w:r>
                    <w:rPr>
                      <w:szCs w:val="21"/>
                    </w:rPr>
                    <w:t>达标</w:t>
                  </w:r>
                </w:p>
              </w:tc>
            </w:tr>
            <w:tr w14:paraId="079998C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left w:val="single" w:color="auto" w:sz="12" w:space="0"/>
                  </w:tcBorders>
                  <w:vAlign w:val="center"/>
                </w:tcPr>
                <w:p w14:paraId="32008FE1">
                  <w:pPr>
                    <w:jc w:val="center"/>
                    <w:rPr>
                      <w:szCs w:val="21"/>
                    </w:rPr>
                  </w:pPr>
                </w:p>
              </w:tc>
              <w:tc>
                <w:tcPr>
                  <w:tcW w:w="0" w:type="auto"/>
                  <w:tcBorders>
                    <w:bottom w:val="single" w:color="auto" w:sz="4" w:space="0"/>
                  </w:tcBorders>
                  <w:vAlign w:val="center"/>
                </w:tcPr>
                <w:p w14:paraId="5A9C7B5C">
                  <w:pPr>
                    <w:jc w:val="center"/>
                    <w:rPr>
                      <w:szCs w:val="21"/>
                    </w:rPr>
                  </w:pPr>
                  <w:r>
                    <w:rPr>
                      <w:szCs w:val="21"/>
                    </w:rPr>
                    <w:t>4#西北侧厂界</w:t>
                  </w:r>
                </w:p>
              </w:tc>
              <w:tc>
                <w:tcPr>
                  <w:tcW w:w="0" w:type="auto"/>
                  <w:vMerge w:val="continue"/>
                  <w:vAlign w:val="center"/>
                </w:tcPr>
                <w:p w14:paraId="40356358">
                  <w:pPr>
                    <w:jc w:val="center"/>
                    <w:rPr>
                      <w:szCs w:val="21"/>
                    </w:rPr>
                  </w:pPr>
                </w:p>
              </w:tc>
              <w:tc>
                <w:tcPr>
                  <w:tcW w:w="922" w:type="dxa"/>
                  <w:vAlign w:val="center"/>
                </w:tcPr>
                <w:p w14:paraId="5B310886">
                  <w:pPr>
                    <w:jc w:val="center"/>
                    <w:rPr>
                      <w:szCs w:val="21"/>
                    </w:rPr>
                  </w:pPr>
                  <w:r>
                    <w:rPr>
                      <w:szCs w:val="21"/>
                    </w:rPr>
                    <w:t>0.150</w:t>
                  </w:r>
                </w:p>
              </w:tc>
              <w:tc>
                <w:tcPr>
                  <w:tcW w:w="850" w:type="dxa"/>
                  <w:vAlign w:val="center"/>
                </w:tcPr>
                <w:p w14:paraId="0320E98E">
                  <w:pPr>
                    <w:jc w:val="center"/>
                    <w:rPr>
                      <w:szCs w:val="21"/>
                    </w:rPr>
                  </w:pPr>
                  <w:r>
                    <w:rPr>
                      <w:szCs w:val="21"/>
                    </w:rPr>
                    <w:t>0.167</w:t>
                  </w:r>
                </w:p>
              </w:tc>
              <w:tc>
                <w:tcPr>
                  <w:tcW w:w="851" w:type="dxa"/>
                  <w:vAlign w:val="center"/>
                </w:tcPr>
                <w:p w14:paraId="20AC9D24">
                  <w:pPr>
                    <w:jc w:val="center"/>
                    <w:rPr>
                      <w:szCs w:val="21"/>
                    </w:rPr>
                  </w:pPr>
                  <w:r>
                    <w:rPr>
                      <w:szCs w:val="21"/>
                    </w:rPr>
                    <w:t>0.150</w:t>
                  </w:r>
                </w:p>
              </w:tc>
              <w:tc>
                <w:tcPr>
                  <w:tcW w:w="954" w:type="dxa"/>
                  <w:vAlign w:val="center"/>
                </w:tcPr>
                <w:p w14:paraId="19153C88">
                  <w:pPr>
                    <w:jc w:val="center"/>
                    <w:rPr>
                      <w:szCs w:val="21"/>
                    </w:rPr>
                  </w:pPr>
                  <w:r>
                    <w:rPr>
                      <w:szCs w:val="21"/>
                    </w:rPr>
                    <w:t>0.167</w:t>
                  </w:r>
                </w:p>
              </w:tc>
              <w:tc>
                <w:tcPr>
                  <w:tcW w:w="1233" w:type="dxa"/>
                  <w:vMerge w:val="continue"/>
                  <w:vAlign w:val="center"/>
                </w:tcPr>
                <w:p w14:paraId="5EBFFEB4">
                  <w:pPr>
                    <w:jc w:val="center"/>
                    <w:rPr>
                      <w:szCs w:val="21"/>
                    </w:rPr>
                  </w:pPr>
                </w:p>
              </w:tc>
              <w:tc>
                <w:tcPr>
                  <w:tcW w:w="0" w:type="auto"/>
                  <w:tcBorders>
                    <w:right w:val="single" w:color="auto" w:sz="12" w:space="0"/>
                  </w:tcBorders>
                  <w:vAlign w:val="center"/>
                </w:tcPr>
                <w:p w14:paraId="069B1C4E">
                  <w:pPr>
                    <w:jc w:val="center"/>
                    <w:rPr>
                      <w:szCs w:val="21"/>
                    </w:rPr>
                  </w:pPr>
                  <w:r>
                    <w:rPr>
                      <w:szCs w:val="21"/>
                    </w:rPr>
                    <w:t>达标</w:t>
                  </w:r>
                </w:p>
              </w:tc>
            </w:tr>
            <w:tr w14:paraId="31B36FE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restart"/>
                  <w:tcBorders>
                    <w:left w:val="single" w:color="auto" w:sz="12" w:space="0"/>
                  </w:tcBorders>
                  <w:vAlign w:val="center"/>
                </w:tcPr>
                <w:p w14:paraId="2A87E0B8">
                  <w:pPr>
                    <w:jc w:val="center"/>
                    <w:rPr>
                      <w:szCs w:val="21"/>
                    </w:rPr>
                  </w:pPr>
                  <w:r>
                    <w:rPr>
                      <w:szCs w:val="21"/>
                    </w:rPr>
                    <w:t>2020/4/17</w:t>
                  </w:r>
                </w:p>
              </w:tc>
              <w:tc>
                <w:tcPr>
                  <w:tcW w:w="0" w:type="auto"/>
                  <w:vAlign w:val="center"/>
                </w:tcPr>
                <w:p w14:paraId="39C4AA11">
                  <w:pPr>
                    <w:jc w:val="center"/>
                    <w:rPr>
                      <w:szCs w:val="21"/>
                    </w:rPr>
                  </w:pPr>
                  <w:r>
                    <w:rPr>
                      <w:szCs w:val="21"/>
                    </w:rPr>
                    <w:t>1#东北侧厂界</w:t>
                  </w:r>
                </w:p>
              </w:tc>
              <w:tc>
                <w:tcPr>
                  <w:tcW w:w="0" w:type="auto"/>
                  <w:vMerge w:val="restart"/>
                  <w:vAlign w:val="center"/>
                </w:tcPr>
                <w:p w14:paraId="48BD22FF">
                  <w:pPr>
                    <w:jc w:val="center"/>
                    <w:rPr>
                      <w:szCs w:val="21"/>
                    </w:rPr>
                  </w:pPr>
                  <w:r>
                    <w:rPr>
                      <w:szCs w:val="21"/>
                    </w:rPr>
                    <w:t>颗粒物</w:t>
                  </w:r>
                </w:p>
              </w:tc>
              <w:tc>
                <w:tcPr>
                  <w:tcW w:w="922" w:type="dxa"/>
                  <w:vAlign w:val="center"/>
                </w:tcPr>
                <w:p w14:paraId="1AF45BCB">
                  <w:pPr>
                    <w:jc w:val="center"/>
                    <w:rPr>
                      <w:szCs w:val="21"/>
                    </w:rPr>
                  </w:pPr>
                  <w:r>
                    <w:rPr>
                      <w:szCs w:val="21"/>
                    </w:rPr>
                    <w:t>0.167</w:t>
                  </w:r>
                </w:p>
              </w:tc>
              <w:tc>
                <w:tcPr>
                  <w:tcW w:w="850" w:type="dxa"/>
                  <w:vAlign w:val="center"/>
                </w:tcPr>
                <w:p w14:paraId="2B723557">
                  <w:pPr>
                    <w:jc w:val="center"/>
                    <w:rPr>
                      <w:szCs w:val="21"/>
                    </w:rPr>
                  </w:pPr>
                  <w:r>
                    <w:rPr>
                      <w:szCs w:val="21"/>
                    </w:rPr>
                    <w:t>0.167</w:t>
                  </w:r>
                </w:p>
              </w:tc>
              <w:tc>
                <w:tcPr>
                  <w:tcW w:w="851" w:type="dxa"/>
                  <w:vAlign w:val="center"/>
                </w:tcPr>
                <w:p w14:paraId="57752618">
                  <w:pPr>
                    <w:jc w:val="center"/>
                    <w:rPr>
                      <w:szCs w:val="21"/>
                    </w:rPr>
                  </w:pPr>
                  <w:r>
                    <w:rPr>
                      <w:szCs w:val="21"/>
                    </w:rPr>
                    <w:t>0.167</w:t>
                  </w:r>
                </w:p>
              </w:tc>
              <w:tc>
                <w:tcPr>
                  <w:tcW w:w="954" w:type="dxa"/>
                  <w:vAlign w:val="center"/>
                </w:tcPr>
                <w:p w14:paraId="4443383E">
                  <w:pPr>
                    <w:jc w:val="center"/>
                    <w:rPr>
                      <w:szCs w:val="21"/>
                    </w:rPr>
                  </w:pPr>
                  <w:r>
                    <w:rPr>
                      <w:szCs w:val="21"/>
                    </w:rPr>
                    <w:t>0.167</w:t>
                  </w:r>
                </w:p>
              </w:tc>
              <w:tc>
                <w:tcPr>
                  <w:tcW w:w="1233" w:type="dxa"/>
                  <w:vMerge w:val="restart"/>
                  <w:vAlign w:val="center"/>
                </w:tcPr>
                <w:p w14:paraId="61D16DF9">
                  <w:pPr>
                    <w:jc w:val="center"/>
                    <w:rPr>
                      <w:szCs w:val="21"/>
                    </w:rPr>
                  </w:pPr>
                  <w:r>
                    <w:rPr>
                      <w:szCs w:val="21"/>
                    </w:rPr>
                    <w:t>1.0</w:t>
                  </w:r>
                </w:p>
              </w:tc>
              <w:tc>
                <w:tcPr>
                  <w:tcW w:w="0" w:type="auto"/>
                  <w:tcBorders>
                    <w:right w:val="single" w:color="auto" w:sz="12" w:space="0"/>
                  </w:tcBorders>
                  <w:vAlign w:val="center"/>
                </w:tcPr>
                <w:p w14:paraId="3A74E64A">
                  <w:pPr>
                    <w:jc w:val="center"/>
                    <w:rPr>
                      <w:szCs w:val="21"/>
                    </w:rPr>
                  </w:pPr>
                  <w:r>
                    <w:rPr>
                      <w:szCs w:val="21"/>
                    </w:rPr>
                    <w:t>达标</w:t>
                  </w:r>
                </w:p>
              </w:tc>
            </w:tr>
            <w:tr w14:paraId="2839DC4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left w:val="single" w:color="auto" w:sz="12" w:space="0"/>
                  </w:tcBorders>
                  <w:vAlign w:val="center"/>
                </w:tcPr>
                <w:p w14:paraId="4BD82A7C">
                  <w:pPr>
                    <w:jc w:val="center"/>
                    <w:rPr>
                      <w:szCs w:val="21"/>
                    </w:rPr>
                  </w:pPr>
                </w:p>
              </w:tc>
              <w:tc>
                <w:tcPr>
                  <w:tcW w:w="0" w:type="auto"/>
                  <w:vAlign w:val="center"/>
                </w:tcPr>
                <w:p w14:paraId="3EE2BAC7">
                  <w:pPr>
                    <w:jc w:val="center"/>
                    <w:rPr>
                      <w:szCs w:val="21"/>
                    </w:rPr>
                  </w:pPr>
                  <w:r>
                    <w:rPr>
                      <w:szCs w:val="21"/>
                    </w:rPr>
                    <w:t>2#东南侧厂界</w:t>
                  </w:r>
                </w:p>
              </w:tc>
              <w:tc>
                <w:tcPr>
                  <w:tcW w:w="0" w:type="auto"/>
                  <w:vMerge w:val="continue"/>
                  <w:vAlign w:val="center"/>
                </w:tcPr>
                <w:p w14:paraId="1B243511">
                  <w:pPr>
                    <w:jc w:val="center"/>
                    <w:rPr>
                      <w:szCs w:val="21"/>
                    </w:rPr>
                  </w:pPr>
                </w:p>
              </w:tc>
              <w:tc>
                <w:tcPr>
                  <w:tcW w:w="922" w:type="dxa"/>
                  <w:vAlign w:val="center"/>
                </w:tcPr>
                <w:p w14:paraId="57149FAC">
                  <w:pPr>
                    <w:jc w:val="center"/>
                    <w:rPr>
                      <w:szCs w:val="21"/>
                    </w:rPr>
                  </w:pPr>
                  <w:r>
                    <w:rPr>
                      <w:szCs w:val="21"/>
                    </w:rPr>
                    <w:t>0.150</w:t>
                  </w:r>
                </w:p>
              </w:tc>
              <w:tc>
                <w:tcPr>
                  <w:tcW w:w="850" w:type="dxa"/>
                  <w:vAlign w:val="center"/>
                </w:tcPr>
                <w:p w14:paraId="4D3E62CC">
                  <w:pPr>
                    <w:jc w:val="center"/>
                    <w:rPr>
                      <w:szCs w:val="21"/>
                    </w:rPr>
                  </w:pPr>
                  <w:r>
                    <w:rPr>
                      <w:szCs w:val="21"/>
                    </w:rPr>
                    <w:t>0.169</w:t>
                  </w:r>
                </w:p>
              </w:tc>
              <w:tc>
                <w:tcPr>
                  <w:tcW w:w="851" w:type="dxa"/>
                  <w:vAlign w:val="center"/>
                </w:tcPr>
                <w:p w14:paraId="6D6119BA">
                  <w:pPr>
                    <w:jc w:val="center"/>
                    <w:rPr>
                      <w:szCs w:val="21"/>
                    </w:rPr>
                  </w:pPr>
                  <w:r>
                    <w:rPr>
                      <w:szCs w:val="21"/>
                    </w:rPr>
                    <w:t>0.183</w:t>
                  </w:r>
                </w:p>
              </w:tc>
              <w:tc>
                <w:tcPr>
                  <w:tcW w:w="954" w:type="dxa"/>
                  <w:vAlign w:val="center"/>
                </w:tcPr>
                <w:p w14:paraId="4124EACF">
                  <w:pPr>
                    <w:jc w:val="center"/>
                    <w:rPr>
                      <w:szCs w:val="21"/>
                    </w:rPr>
                  </w:pPr>
                  <w:r>
                    <w:rPr>
                      <w:szCs w:val="21"/>
                    </w:rPr>
                    <w:t>0.183</w:t>
                  </w:r>
                </w:p>
              </w:tc>
              <w:tc>
                <w:tcPr>
                  <w:tcW w:w="1233" w:type="dxa"/>
                  <w:vMerge w:val="continue"/>
                  <w:vAlign w:val="center"/>
                </w:tcPr>
                <w:p w14:paraId="4050D2F4">
                  <w:pPr>
                    <w:jc w:val="center"/>
                    <w:rPr>
                      <w:szCs w:val="21"/>
                    </w:rPr>
                  </w:pPr>
                </w:p>
              </w:tc>
              <w:tc>
                <w:tcPr>
                  <w:tcW w:w="0" w:type="auto"/>
                  <w:tcBorders>
                    <w:right w:val="single" w:color="auto" w:sz="12" w:space="0"/>
                  </w:tcBorders>
                  <w:vAlign w:val="center"/>
                </w:tcPr>
                <w:p w14:paraId="77B9A69D">
                  <w:pPr>
                    <w:jc w:val="center"/>
                    <w:rPr>
                      <w:szCs w:val="21"/>
                    </w:rPr>
                  </w:pPr>
                  <w:r>
                    <w:rPr>
                      <w:szCs w:val="21"/>
                    </w:rPr>
                    <w:t>达标</w:t>
                  </w:r>
                </w:p>
              </w:tc>
            </w:tr>
            <w:tr w14:paraId="6FFC6CA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left w:val="single" w:color="auto" w:sz="12" w:space="0"/>
                  </w:tcBorders>
                  <w:vAlign w:val="center"/>
                </w:tcPr>
                <w:p w14:paraId="4EC48AC0">
                  <w:pPr>
                    <w:jc w:val="center"/>
                    <w:rPr>
                      <w:szCs w:val="21"/>
                    </w:rPr>
                  </w:pPr>
                </w:p>
              </w:tc>
              <w:tc>
                <w:tcPr>
                  <w:tcW w:w="0" w:type="auto"/>
                  <w:vAlign w:val="center"/>
                </w:tcPr>
                <w:p w14:paraId="650BC45C">
                  <w:pPr>
                    <w:jc w:val="center"/>
                    <w:rPr>
                      <w:szCs w:val="21"/>
                    </w:rPr>
                  </w:pPr>
                  <w:r>
                    <w:rPr>
                      <w:szCs w:val="21"/>
                    </w:rPr>
                    <w:t>3#西南侧厂界</w:t>
                  </w:r>
                </w:p>
              </w:tc>
              <w:tc>
                <w:tcPr>
                  <w:tcW w:w="0" w:type="auto"/>
                  <w:vMerge w:val="continue"/>
                  <w:vAlign w:val="center"/>
                </w:tcPr>
                <w:p w14:paraId="0F78EABF">
                  <w:pPr>
                    <w:jc w:val="center"/>
                    <w:rPr>
                      <w:szCs w:val="21"/>
                    </w:rPr>
                  </w:pPr>
                </w:p>
              </w:tc>
              <w:tc>
                <w:tcPr>
                  <w:tcW w:w="922" w:type="dxa"/>
                  <w:vAlign w:val="center"/>
                </w:tcPr>
                <w:p w14:paraId="2CD25563">
                  <w:pPr>
                    <w:jc w:val="center"/>
                    <w:rPr>
                      <w:szCs w:val="21"/>
                    </w:rPr>
                  </w:pPr>
                  <w:r>
                    <w:rPr>
                      <w:szCs w:val="21"/>
                    </w:rPr>
                    <w:t>0.167</w:t>
                  </w:r>
                </w:p>
              </w:tc>
              <w:tc>
                <w:tcPr>
                  <w:tcW w:w="850" w:type="dxa"/>
                  <w:vAlign w:val="center"/>
                </w:tcPr>
                <w:p w14:paraId="1C22930E">
                  <w:pPr>
                    <w:jc w:val="center"/>
                    <w:rPr>
                      <w:szCs w:val="21"/>
                    </w:rPr>
                  </w:pPr>
                  <w:r>
                    <w:rPr>
                      <w:szCs w:val="21"/>
                    </w:rPr>
                    <w:t>0.167</w:t>
                  </w:r>
                </w:p>
              </w:tc>
              <w:tc>
                <w:tcPr>
                  <w:tcW w:w="851" w:type="dxa"/>
                  <w:vAlign w:val="center"/>
                </w:tcPr>
                <w:p w14:paraId="75703CA0">
                  <w:pPr>
                    <w:jc w:val="center"/>
                    <w:rPr>
                      <w:szCs w:val="21"/>
                    </w:rPr>
                  </w:pPr>
                  <w:r>
                    <w:rPr>
                      <w:szCs w:val="21"/>
                    </w:rPr>
                    <w:t>0.149</w:t>
                  </w:r>
                </w:p>
              </w:tc>
              <w:tc>
                <w:tcPr>
                  <w:tcW w:w="954" w:type="dxa"/>
                  <w:vAlign w:val="center"/>
                </w:tcPr>
                <w:p w14:paraId="6DD2BD55">
                  <w:pPr>
                    <w:jc w:val="center"/>
                    <w:rPr>
                      <w:szCs w:val="21"/>
                    </w:rPr>
                  </w:pPr>
                  <w:r>
                    <w:rPr>
                      <w:szCs w:val="21"/>
                    </w:rPr>
                    <w:t>0.167</w:t>
                  </w:r>
                </w:p>
              </w:tc>
              <w:tc>
                <w:tcPr>
                  <w:tcW w:w="1233" w:type="dxa"/>
                  <w:vMerge w:val="continue"/>
                  <w:vAlign w:val="center"/>
                </w:tcPr>
                <w:p w14:paraId="48B665C8">
                  <w:pPr>
                    <w:jc w:val="center"/>
                    <w:rPr>
                      <w:szCs w:val="21"/>
                    </w:rPr>
                  </w:pPr>
                </w:p>
              </w:tc>
              <w:tc>
                <w:tcPr>
                  <w:tcW w:w="0" w:type="auto"/>
                  <w:tcBorders>
                    <w:right w:val="single" w:color="auto" w:sz="12" w:space="0"/>
                  </w:tcBorders>
                  <w:vAlign w:val="center"/>
                </w:tcPr>
                <w:p w14:paraId="186B85E5">
                  <w:pPr>
                    <w:jc w:val="center"/>
                    <w:rPr>
                      <w:szCs w:val="21"/>
                    </w:rPr>
                  </w:pPr>
                  <w:r>
                    <w:rPr>
                      <w:szCs w:val="21"/>
                    </w:rPr>
                    <w:t>达标</w:t>
                  </w:r>
                </w:p>
              </w:tc>
            </w:tr>
            <w:tr w14:paraId="05EF419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left w:val="single" w:color="auto" w:sz="12" w:space="0"/>
                  </w:tcBorders>
                  <w:vAlign w:val="center"/>
                </w:tcPr>
                <w:p w14:paraId="41E1CB17">
                  <w:pPr>
                    <w:jc w:val="center"/>
                    <w:rPr>
                      <w:szCs w:val="21"/>
                    </w:rPr>
                  </w:pPr>
                </w:p>
              </w:tc>
              <w:tc>
                <w:tcPr>
                  <w:tcW w:w="0" w:type="auto"/>
                  <w:vAlign w:val="center"/>
                </w:tcPr>
                <w:p w14:paraId="0E390BA6">
                  <w:pPr>
                    <w:jc w:val="center"/>
                    <w:rPr>
                      <w:szCs w:val="21"/>
                    </w:rPr>
                  </w:pPr>
                  <w:r>
                    <w:rPr>
                      <w:szCs w:val="21"/>
                    </w:rPr>
                    <w:t>4#西北侧厂界</w:t>
                  </w:r>
                </w:p>
              </w:tc>
              <w:tc>
                <w:tcPr>
                  <w:tcW w:w="0" w:type="auto"/>
                  <w:vMerge w:val="continue"/>
                  <w:vAlign w:val="center"/>
                </w:tcPr>
                <w:p w14:paraId="3D808E0F">
                  <w:pPr>
                    <w:jc w:val="center"/>
                    <w:rPr>
                      <w:szCs w:val="21"/>
                    </w:rPr>
                  </w:pPr>
                </w:p>
              </w:tc>
              <w:tc>
                <w:tcPr>
                  <w:tcW w:w="922" w:type="dxa"/>
                  <w:vAlign w:val="center"/>
                </w:tcPr>
                <w:p w14:paraId="07D6BC7B">
                  <w:pPr>
                    <w:jc w:val="center"/>
                    <w:rPr>
                      <w:szCs w:val="21"/>
                    </w:rPr>
                  </w:pPr>
                  <w:r>
                    <w:rPr>
                      <w:szCs w:val="21"/>
                    </w:rPr>
                    <w:t>0.150</w:t>
                  </w:r>
                </w:p>
              </w:tc>
              <w:tc>
                <w:tcPr>
                  <w:tcW w:w="850" w:type="dxa"/>
                  <w:vAlign w:val="center"/>
                </w:tcPr>
                <w:p w14:paraId="540964CB">
                  <w:pPr>
                    <w:jc w:val="center"/>
                    <w:rPr>
                      <w:szCs w:val="21"/>
                    </w:rPr>
                  </w:pPr>
                  <w:r>
                    <w:rPr>
                      <w:szCs w:val="21"/>
                    </w:rPr>
                    <w:t>0.150</w:t>
                  </w:r>
                </w:p>
              </w:tc>
              <w:tc>
                <w:tcPr>
                  <w:tcW w:w="851" w:type="dxa"/>
                  <w:vAlign w:val="center"/>
                </w:tcPr>
                <w:p w14:paraId="076C9CBC">
                  <w:pPr>
                    <w:jc w:val="center"/>
                    <w:rPr>
                      <w:szCs w:val="21"/>
                    </w:rPr>
                  </w:pPr>
                  <w:r>
                    <w:rPr>
                      <w:szCs w:val="21"/>
                    </w:rPr>
                    <w:t>0.167</w:t>
                  </w:r>
                </w:p>
              </w:tc>
              <w:tc>
                <w:tcPr>
                  <w:tcW w:w="954" w:type="dxa"/>
                  <w:vAlign w:val="center"/>
                </w:tcPr>
                <w:p w14:paraId="6CC59BBB">
                  <w:pPr>
                    <w:jc w:val="center"/>
                    <w:rPr>
                      <w:szCs w:val="21"/>
                    </w:rPr>
                  </w:pPr>
                  <w:r>
                    <w:rPr>
                      <w:szCs w:val="21"/>
                    </w:rPr>
                    <w:t>0.167</w:t>
                  </w:r>
                </w:p>
              </w:tc>
              <w:tc>
                <w:tcPr>
                  <w:tcW w:w="1233" w:type="dxa"/>
                  <w:vMerge w:val="continue"/>
                  <w:vAlign w:val="center"/>
                </w:tcPr>
                <w:p w14:paraId="73F4410D">
                  <w:pPr>
                    <w:jc w:val="center"/>
                    <w:rPr>
                      <w:szCs w:val="21"/>
                    </w:rPr>
                  </w:pPr>
                </w:p>
              </w:tc>
              <w:tc>
                <w:tcPr>
                  <w:tcW w:w="0" w:type="auto"/>
                  <w:tcBorders>
                    <w:right w:val="single" w:color="auto" w:sz="12" w:space="0"/>
                  </w:tcBorders>
                  <w:vAlign w:val="center"/>
                </w:tcPr>
                <w:p w14:paraId="7C70941E">
                  <w:pPr>
                    <w:jc w:val="center"/>
                    <w:rPr>
                      <w:szCs w:val="21"/>
                    </w:rPr>
                  </w:pPr>
                  <w:r>
                    <w:rPr>
                      <w:szCs w:val="21"/>
                    </w:rPr>
                    <w:t>达标</w:t>
                  </w:r>
                </w:p>
              </w:tc>
            </w:tr>
          </w:tbl>
          <w:p w14:paraId="1BD54395">
            <w:pPr>
              <w:spacing w:line="360" w:lineRule="auto"/>
              <w:ind w:firstLine="480" w:firstLineChars="200"/>
              <w:rPr>
                <w:b/>
                <w:sz w:val="24"/>
              </w:rPr>
            </w:pPr>
            <w:r>
              <w:rPr>
                <w:b/>
                <w:sz w:val="24"/>
              </w:rPr>
              <w:t>5</w:t>
            </w:r>
            <w:r>
              <w:rPr>
                <w:rFonts w:hint="eastAsia"/>
                <w:b/>
                <w:sz w:val="24"/>
              </w:rPr>
              <w:t>．评价结果</w:t>
            </w:r>
          </w:p>
          <w:p w14:paraId="07351E3A">
            <w:pPr>
              <w:spacing w:line="360" w:lineRule="auto"/>
              <w:ind w:firstLine="480" w:firstLineChars="200"/>
              <w:rPr>
                <w:b/>
                <w:bCs/>
                <w:sz w:val="24"/>
              </w:rPr>
            </w:pPr>
            <w:r>
              <w:rPr>
                <w:rFonts w:hint="eastAsia"/>
                <w:bCs/>
                <w:sz w:val="24"/>
              </w:rPr>
              <w:t>从上述监测结果可以看出：项目厂界四周无组织废气中颗粒物的检测结果符合《大气污染物综合排放标准》（GB16297-1996）表2（其他）排放限值要求，区域大气环境良好。</w:t>
            </w:r>
          </w:p>
          <w:p w14:paraId="73684742">
            <w:pPr>
              <w:spacing w:line="360" w:lineRule="auto"/>
              <w:rPr>
                <w:b/>
                <w:bCs/>
                <w:sz w:val="24"/>
              </w:rPr>
            </w:pPr>
            <w:r>
              <w:rPr>
                <w:rFonts w:hint="eastAsia"/>
                <w:b/>
                <w:bCs/>
                <w:sz w:val="24"/>
              </w:rPr>
              <w:t>二、地表水环境质量</w:t>
            </w:r>
          </w:p>
          <w:p w14:paraId="11F48E5E">
            <w:pPr>
              <w:spacing w:line="360" w:lineRule="auto"/>
              <w:ind w:firstLine="480" w:firstLineChars="200"/>
              <w:rPr>
                <w:sz w:val="24"/>
              </w:rPr>
            </w:pPr>
            <w:r>
              <w:rPr>
                <w:sz w:val="24"/>
              </w:rPr>
              <w:t>根据《乐山市2019年环境质量公报》数据显示：2019年，乐山市47个监测断面中达到或优于Ⅲ类水质断面39个，达标率83.0%，同比上升了4.3%；Ⅱ类、Ⅲ类、Ⅳ类、Ⅴ类和劣Ⅴ类水质所占比例分别为53.2%、29.8%、4.3%、6.4%、6.4%。地表水断面水质监测中主要污染指标为总磷。</w:t>
            </w:r>
          </w:p>
          <w:p w14:paraId="6E0667A4">
            <w:pPr>
              <w:spacing w:line="360" w:lineRule="auto"/>
              <w:ind w:firstLine="480" w:firstLineChars="200"/>
              <w:rPr>
                <w:sz w:val="24"/>
              </w:rPr>
            </w:pPr>
            <w:r>
              <w:rPr>
                <w:sz w:val="24"/>
              </w:rPr>
              <w:t>乐山市10个国控、省控地表水断面中，监测断面总体达标率为90%；青衣江、大渡河、马边河、龙溪河水质优，岷江乐山段水质良好，茫溪河水质受到中度污染。</w:t>
            </w:r>
          </w:p>
          <w:p w14:paraId="06C2E0F6">
            <w:pPr>
              <w:spacing w:line="360" w:lineRule="auto"/>
              <w:ind w:firstLine="480" w:firstLineChars="200"/>
              <w:rPr>
                <w:bCs/>
                <w:sz w:val="24"/>
                <w:szCs w:val="20"/>
              </w:rPr>
            </w:pPr>
            <w:r>
              <w:rPr>
                <w:sz w:val="24"/>
              </w:rPr>
              <w:t>根据</w:t>
            </w:r>
            <w:r>
              <w:rPr>
                <w:bCs/>
                <w:sz w:val="24"/>
                <w:szCs w:val="20"/>
              </w:rPr>
              <w:t>《乐山市地表水水质质量月报（2020年6月）》：2020年6月，岷江干流乐山段及其主要支流地表水水质监测结果表明：市中区悦来渡口、月波、李码头、马鞍山、木城镇、姜公堰断面水质均达到国家规定的《地表水环境质量标准》(GB3838-2002) Ⅲ类水域标准，水质状况良好。本项目所在区域相关大渡河流域水质状况为Ⅱ类水质，水质良好。</w:t>
            </w:r>
          </w:p>
          <w:p w14:paraId="7D3D03DF">
            <w:pPr>
              <w:spacing w:line="360" w:lineRule="auto"/>
              <w:ind w:firstLine="480" w:firstLineChars="200"/>
              <w:rPr>
                <w:bCs/>
                <w:sz w:val="24"/>
                <w:szCs w:val="20"/>
              </w:rPr>
            </w:pPr>
            <w:r>
              <w:rPr>
                <w:bCs/>
                <w:sz w:val="24"/>
                <w:szCs w:val="20"/>
              </w:rPr>
              <w:t>本项目所在区域相关水域为大渡河，由《乐山市2019</w:t>
            </w:r>
            <w:r>
              <w:rPr>
                <w:sz w:val="24"/>
              </w:rPr>
              <w:t>年环境质量公报</w:t>
            </w:r>
            <w:r>
              <w:rPr>
                <w:rFonts w:hint="eastAsia"/>
                <w:sz w:val="24"/>
                <w:lang w:eastAsia="zh-CN"/>
              </w:rPr>
              <w:t>》《</w:t>
            </w:r>
            <w:r>
              <w:rPr>
                <w:bCs/>
                <w:sz w:val="24"/>
                <w:szCs w:val="20"/>
              </w:rPr>
              <w:t>乐山市地表水水质质量月报（2020年6月）》，项目所在大渡河水域为Ⅲ类水体，任有环境容量，且本项目无废水外排，地表水环境质量状况良好。</w:t>
            </w:r>
          </w:p>
          <w:p w14:paraId="312EB71C">
            <w:pPr>
              <w:pStyle w:val="97"/>
              <w:ind w:left="0" w:leftChars="0" w:firstLine="0" w:firstLineChars="0"/>
            </w:pPr>
            <w:r>
              <w:rPr>
                <w:rFonts w:hint="eastAsia"/>
              </w:rPr>
              <w:t>三、声学环境质量</w:t>
            </w:r>
          </w:p>
          <w:p w14:paraId="68337D45">
            <w:pPr>
              <w:spacing w:line="360" w:lineRule="auto"/>
              <w:ind w:firstLine="480" w:firstLineChars="200"/>
              <w:rPr>
                <w:sz w:val="24"/>
              </w:rPr>
            </w:pPr>
            <w:r>
              <w:rPr>
                <w:b/>
                <w:sz w:val="24"/>
              </w:rPr>
              <w:t>1</w:t>
            </w:r>
            <w:r>
              <w:rPr>
                <w:rFonts w:hint="eastAsia"/>
                <w:b/>
                <w:sz w:val="24"/>
              </w:rPr>
              <w:t>．采样布点</w:t>
            </w:r>
            <w:r>
              <w:rPr>
                <w:rFonts w:hint="eastAsia"/>
                <w:sz w:val="24"/>
              </w:rPr>
              <w:t>：</w:t>
            </w:r>
            <w:r>
              <w:rPr>
                <w:rFonts w:hint="eastAsia"/>
                <w:kern w:val="0"/>
                <w:sz w:val="24"/>
              </w:rPr>
              <w:t>本次项目在工程厂界四周布设噪声监测点</w:t>
            </w:r>
            <w:r>
              <w:rPr>
                <w:kern w:val="0"/>
                <w:sz w:val="24"/>
              </w:rPr>
              <w:t>4</w:t>
            </w:r>
            <w:r>
              <w:rPr>
                <w:rFonts w:hint="eastAsia"/>
                <w:sz w:val="24"/>
              </w:rPr>
              <w:t>个。</w:t>
            </w:r>
          </w:p>
          <w:p w14:paraId="7B71FF71">
            <w:pPr>
              <w:spacing w:line="360" w:lineRule="auto"/>
              <w:ind w:firstLine="480" w:firstLineChars="200"/>
              <w:rPr>
                <w:sz w:val="24"/>
              </w:rPr>
            </w:pPr>
            <w:r>
              <w:rPr>
                <w:b/>
                <w:sz w:val="24"/>
              </w:rPr>
              <w:t>2</w:t>
            </w:r>
            <w:r>
              <w:rPr>
                <w:rFonts w:hint="eastAsia"/>
                <w:b/>
                <w:sz w:val="24"/>
              </w:rPr>
              <w:t>．监测指标</w:t>
            </w:r>
            <w:r>
              <w:rPr>
                <w:rFonts w:hint="eastAsia"/>
                <w:sz w:val="24"/>
              </w:rPr>
              <w:t>：各测点处的等效连续</w:t>
            </w:r>
            <w:r>
              <w:rPr>
                <w:sz w:val="24"/>
              </w:rPr>
              <w:t>A</w:t>
            </w:r>
            <w:r>
              <w:rPr>
                <w:rFonts w:hint="eastAsia"/>
                <w:sz w:val="24"/>
              </w:rPr>
              <w:t>声级。</w:t>
            </w:r>
          </w:p>
          <w:p w14:paraId="5F617C4C">
            <w:pPr>
              <w:spacing w:line="360" w:lineRule="auto"/>
              <w:ind w:firstLine="480" w:firstLineChars="200"/>
              <w:rPr>
                <w:sz w:val="24"/>
              </w:rPr>
            </w:pPr>
            <w:r>
              <w:rPr>
                <w:b/>
                <w:sz w:val="24"/>
              </w:rPr>
              <w:t>3</w:t>
            </w:r>
            <w:r>
              <w:rPr>
                <w:rFonts w:hint="eastAsia"/>
                <w:b/>
                <w:sz w:val="24"/>
              </w:rPr>
              <w:t>．监测周期及频率</w:t>
            </w:r>
            <w:r>
              <w:rPr>
                <w:rFonts w:hint="eastAsia"/>
                <w:sz w:val="24"/>
              </w:rPr>
              <w:t>：监测</w:t>
            </w:r>
            <w:r>
              <w:rPr>
                <w:sz w:val="24"/>
              </w:rPr>
              <w:t>2</w:t>
            </w:r>
            <w:r>
              <w:rPr>
                <w:rFonts w:hint="eastAsia"/>
                <w:sz w:val="24"/>
              </w:rPr>
              <w:t>天，每天昼夜分别监测一次。</w:t>
            </w:r>
          </w:p>
          <w:p w14:paraId="39EA5F54">
            <w:pPr>
              <w:spacing w:line="360" w:lineRule="auto"/>
              <w:ind w:firstLine="480" w:firstLineChars="200"/>
              <w:rPr>
                <w:sz w:val="24"/>
              </w:rPr>
            </w:pPr>
            <w:r>
              <w:rPr>
                <w:b/>
                <w:sz w:val="24"/>
              </w:rPr>
              <w:t>4</w:t>
            </w:r>
            <w:r>
              <w:rPr>
                <w:rFonts w:hint="eastAsia"/>
                <w:b/>
                <w:sz w:val="24"/>
              </w:rPr>
              <w:t>．监测结果</w:t>
            </w:r>
            <w:r>
              <w:rPr>
                <w:rFonts w:hint="eastAsia"/>
                <w:sz w:val="24"/>
              </w:rPr>
              <w:t>：项目监测期间正常运营。项目区域工业企业厂界噪声监测结果见表</w:t>
            </w:r>
            <w:r>
              <w:rPr>
                <w:sz w:val="24"/>
              </w:rPr>
              <w:t>3-4</w:t>
            </w:r>
            <w:r>
              <w:rPr>
                <w:rFonts w:hint="eastAsia"/>
                <w:sz w:val="24"/>
              </w:rPr>
              <w:t>。</w:t>
            </w:r>
          </w:p>
          <w:p w14:paraId="1B1FE73E">
            <w:pPr>
              <w:tabs>
                <w:tab w:val="left" w:pos="720"/>
              </w:tabs>
              <w:spacing w:line="360" w:lineRule="auto"/>
              <w:jc w:val="center"/>
              <w:rPr>
                <w:rFonts w:eastAsia="黑体"/>
                <w:bCs/>
                <w:sz w:val="24"/>
              </w:rPr>
            </w:pPr>
            <w:r>
              <w:rPr>
                <w:rFonts w:hint="eastAsia" w:eastAsia="黑体"/>
                <w:bCs/>
                <w:sz w:val="24"/>
              </w:rPr>
              <w:t>表</w:t>
            </w:r>
            <w:r>
              <w:rPr>
                <w:rFonts w:eastAsia="黑体"/>
                <w:bCs/>
                <w:sz w:val="24"/>
              </w:rPr>
              <w:t xml:space="preserve">3-4 </w:t>
            </w:r>
            <w:r>
              <w:rPr>
                <w:rFonts w:hint="eastAsia" w:eastAsia="黑体"/>
                <w:bCs/>
                <w:sz w:val="24"/>
              </w:rPr>
              <w:t>工业企业厂界噪声监测结果</w:t>
            </w:r>
          </w:p>
          <w:tbl>
            <w:tblPr>
              <w:tblStyle w:val="25"/>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44" w:type="dxa"/>
                <w:bottom w:w="0" w:type="dxa"/>
                <w:right w:w="44" w:type="dxa"/>
              </w:tblCellMar>
            </w:tblPr>
            <w:tblGrid>
              <w:gridCol w:w="940"/>
              <w:gridCol w:w="2178"/>
              <w:gridCol w:w="1201"/>
              <w:gridCol w:w="1010"/>
              <w:gridCol w:w="1010"/>
              <w:gridCol w:w="1311"/>
              <w:gridCol w:w="657"/>
            </w:tblGrid>
            <w:tr w14:paraId="2EE27C0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4" w:type="dxa"/>
                  <w:bottom w:w="0" w:type="dxa"/>
                  <w:right w:w="44" w:type="dxa"/>
                </w:tblCellMar>
              </w:tblPrEx>
              <w:trPr>
                <w:trHeight w:val="454" w:hRule="atLeast"/>
                <w:jc w:val="center"/>
              </w:trPr>
              <w:tc>
                <w:tcPr>
                  <w:tcW w:w="0" w:type="auto"/>
                  <w:vMerge w:val="restart"/>
                  <w:tcBorders>
                    <w:top w:val="single" w:color="auto" w:sz="12" w:space="0"/>
                    <w:left w:val="single" w:color="auto" w:sz="12" w:space="0"/>
                  </w:tcBorders>
                  <w:vAlign w:val="center"/>
                </w:tcPr>
                <w:p w14:paraId="5D4A4F19">
                  <w:pPr>
                    <w:ind w:left="-105" w:leftChars="-50"/>
                    <w:jc w:val="center"/>
                    <w:rPr>
                      <w:b/>
                      <w:bCs/>
                      <w:szCs w:val="21"/>
                    </w:rPr>
                  </w:pPr>
                  <w:r>
                    <w:rPr>
                      <w:b/>
                      <w:bCs/>
                      <w:szCs w:val="21"/>
                    </w:rPr>
                    <w:t>检测日期</w:t>
                  </w:r>
                </w:p>
              </w:tc>
              <w:tc>
                <w:tcPr>
                  <w:tcW w:w="2178" w:type="dxa"/>
                  <w:vMerge w:val="restart"/>
                  <w:tcBorders>
                    <w:top w:val="single" w:color="auto" w:sz="12" w:space="0"/>
                  </w:tcBorders>
                  <w:vAlign w:val="center"/>
                </w:tcPr>
                <w:p w14:paraId="06C950A5">
                  <w:pPr>
                    <w:jc w:val="center"/>
                    <w:rPr>
                      <w:b/>
                      <w:bCs/>
                      <w:szCs w:val="21"/>
                    </w:rPr>
                  </w:pPr>
                  <w:r>
                    <w:rPr>
                      <w:b/>
                      <w:bCs/>
                      <w:szCs w:val="21"/>
                    </w:rPr>
                    <w:t>检测点位</w:t>
                  </w:r>
                </w:p>
              </w:tc>
              <w:tc>
                <w:tcPr>
                  <w:tcW w:w="1201" w:type="dxa"/>
                  <w:vMerge w:val="restart"/>
                  <w:tcBorders>
                    <w:top w:val="single" w:color="auto" w:sz="12" w:space="0"/>
                  </w:tcBorders>
                  <w:vAlign w:val="center"/>
                </w:tcPr>
                <w:p w14:paraId="74278641">
                  <w:pPr>
                    <w:jc w:val="center"/>
                    <w:rPr>
                      <w:b/>
                      <w:bCs/>
                      <w:szCs w:val="21"/>
                    </w:rPr>
                  </w:pPr>
                  <w:r>
                    <w:rPr>
                      <w:b/>
                      <w:bCs/>
                      <w:szCs w:val="21"/>
                    </w:rPr>
                    <w:t>检测项目</w:t>
                  </w:r>
                </w:p>
              </w:tc>
              <w:tc>
                <w:tcPr>
                  <w:tcW w:w="0" w:type="auto"/>
                  <w:gridSpan w:val="2"/>
                  <w:tcBorders>
                    <w:top w:val="single" w:color="auto" w:sz="12" w:space="0"/>
                  </w:tcBorders>
                  <w:vAlign w:val="center"/>
                </w:tcPr>
                <w:p w14:paraId="2B567449">
                  <w:pPr>
                    <w:jc w:val="center"/>
                    <w:rPr>
                      <w:b/>
                      <w:bCs/>
                      <w:szCs w:val="21"/>
                    </w:rPr>
                  </w:pPr>
                  <w:r>
                    <w:rPr>
                      <w:b/>
                      <w:bCs/>
                      <w:szCs w:val="21"/>
                    </w:rPr>
                    <w:t>检测结果/Leq[ dB(A)]</w:t>
                  </w:r>
                </w:p>
              </w:tc>
              <w:tc>
                <w:tcPr>
                  <w:tcW w:w="1311" w:type="dxa"/>
                  <w:vMerge w:val="restart"/>
                  <w:tcBorders>
                    <w:top w:val="single" w:color="auto" w:sz="12" w:space="0"/>
                    <w:right w:val="single" w:color="auto" w:sz="4" w:space="0"/>
                  </w:tcBorders>
                  <w:vAlign w:val="center"/>
                </w:tcPr>
                <w:p w14:paraId="2EB7D3FC">
                  <w:pPr>
                    <w:jc w:val="center"/>
                    <w:rPr>
                      <w:b/>
                      <w:bCs/>
                      <w:szCs w:val="21"/>
                    </w:rPr>
                  </w:pPr>
                  <w:r>
                    <w:rPr>
                      <w:b/>
                      <w:bCs/>
                      <w:szCs w:val="21"/>
                    </w:rPr>
                    <w:t>标准限值dB(A)</w:t>
                  </w:r>
                </w:p>
              </w:tc>
              <w:tc>
                <w:tcPr>
                  <w:tcW w:w="657" w:type="dxa"/>
                  <w:vMerge w:val="restart"/>
                  <w:tcBorders>
                    <w:top w:val="single" w:color="auto" w:sz="12" w:space="0"/>
                    <w:left w:val="single" w:color="auto" w:sz="4" w:space="0"/>
                    <w:right w:val="single" w:color="auto" w:sz="12" w:space="0"/>
                  </w:tcBorders>
                  <w:vAlign w:val="center"/>
                </w:tcPr>
                <w:p w14:paraId="5D4C3E9D">
                  <w:pPr>
                    <w:jc w:val="center"/>
                    <w:rPr>
                      <w:b/>
                      <w:bCs/>
                      <w:szCs w:val="21"/>
                    </w:rPr>
                  </w:pPr>
                  <w:r>
                    <w:rPr>
                      <w:b/>
                      <w:bCs/>
                      <w:szCs w:val="21"/>
                    </w:rPr>
                    <w:t>结果</w:t>
                  </w:r>
                </w:p>
                <w:p w14:paraId="510B0598">
                  <w:pPr>
                    <w:jc w:val="center"/>
                    <w:rPr>
                      <w:b/>
                      <w:bCs/>
                      <w:szCs w:val="21"/>
                    </w:rPr>
                  </w:pPr>
                  <w:r>
                    <w:rPr>
                      <w:b/>
                      <w:bCs/>
                      <w:szCs w:val="21"/>
                    </w:rPr>
                    <w:t>评价</w:t>
                  </w:r>
                </w:p>
              </w:tc>
            </w:tr>
            <w:tr w14:paraId="0FAFD0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4" w:type="dxa"/>
                  <w:bottom w:w="0" w:type="dxa"/>
                  <w:right w:w="44" w:type="dxa"/>
                </w:tblCellMar>
              </w:tblPrEx>
              <w:trPr>
                <w:trHeight w:val="454" w:hRule="atLeast"/>
                <w:jc w:val="center"/>
              </w:trPr>
              <w:tc>
                <w:tcPr>
                  <w:tcW w:w="0" w:type="auto"/>
                  <w:vMerge w:val="continue"/>
                  <w:tcBorders>
                    <w:left w:val="single" w:color="auto" w:sz="12" w:space="0"/>
                    <w:bottom w:val="single" w:color="auto" w:sz="12" w:space="0"/>
                  </w:tcBorders>
                  <w:vAlign w:val="center"/>
                </w:tcPr>
                <w:p w14:paraId="41BCC9EC">
                  <w:pPr>
                    <w:jc w:val="center"/>
                    <w:rPr>
                      <w:b/>
                      <w:bCs/>
                      <w:szCs w:val="21"/>
                    </w:rPr>
                  </w:pPr>
                </w:p>
              </w:tc>
              <w:tc>
                <w:tcPr>
                  <w:tcW w:w="2178" w:type="dxa"/>
                  <w:vMerge w:val="continue"/>
                  <w:tcBorders>
                    <w:bottom w:val="single" w:color="auto" w:sz="12" w:space="0"/>
                  </w:tcBorders>
                  <w:vAlign w:val="center"/>
                </w:tcPr>
                <w:p w14:paraId="029B311D">
                  <w:pPr>
                    <w:jc w:val="center"/>
                    <w:rPr>
                      <w:b/>
                      <w:bCs/>
                      <w:szCs w:val="21"/>
                    </w:rPr>
                  </w:pPr>
                </w:p>
              </w:tc>
              <w:tc>
                <w:tcPr>
                  <w:tcW w:w="1201" w:type="dxa"/>
                  <w:vMerge w:val="continue"/>
                  <w:tcBorders>
                    <w:bottom w:val="single" w:color="auto" w:sz="12" w:space="0"/>
                  </w:tcBorders>
                  <w:vAlign w:val="center"/>
                </w:tcPr>
                <w:p w14:paraId="16B7D8DD">
                  <w:pPr>
                    <w:jc w:val="center"/>
                    <w:rPr>
                      <w:b/>
                      <w:bCs/>
                      <w:szCs w:val="21"/>
                    </w:rPr>
                  </w:pPr>
                </w:p>
              </w:tc>
              <w:tc>
                <w:tcPr>
                  <w:tcW w:w="0" w:type="auto"/>
                  <w:tcBorders>
                    <w:bottom w:val="single" w:color="auto" w:sz="12" w:space="0"/>
                    <w:right w:val="single" w:color="auto" w:sz="4" w:space="0"/>
                  </w:tcBorders>
                  <w:vAlign w:val="center"/>
                </w:tcPr>
                <w:p w14:paraId="26075A06">
                  <w:pPr>
                    <w:jc w:val="center"/>
                    <w:rPr>
                      <w:b/>
                      <w:bCs/>
                      <w:szCs w:val="21"/>
                    </w:rPr>
                  </w:pPr>
                  <w:r>
                    <w:rPr>
                      <w:b/>
                      <w:bCs/>
                      <w:szCs w:val="21"/>
                    </w:rPr>
                    <w:t>昼间</w:t>
                  </w:r>
                </w:p>
              </w:tc>
              <w:tc>
                <w:tcPr>
                  <w:tcW w:w="0" w:type="auto"/>
                  <w:tcBorders>
                    <w:left w:val="single" w:color="auto" w:sz="4" w:space="0"/>
                    <w:bottom w:val="single" w:color="auto" w:sz="12" w:space="0"/>
                  </w:tcBorders>
                  <w:vAlign w:val="center"/>
                </w:tcPr>
                <w:p w14:paraId="03156A74">
                  <w:pPr>
                    <w:jc w:val="center"/>
                    <w:rPr>
                      <w:b/>
                      <w:bCs/>
                      <w:szCs w:val="21"/>
                    </w:rPr>
                  </w:pPr>
                  <w:r>
                    <w:rPr>
                      <w:b/>
                      <w:bCs/>
                      <w:szCs w:val="21"/>
                    </w:rPr>
                    <w:t>夜间</w:t>
                  </w:r>
                </w:p>
              </w:tc>
              <w:tc>
                <w:tcPr>
                  <w:tcW w:w="1311" w:type="dxa"/>
                  <w:vMerge w:val="continue"/>
                  <w:tcBorders>
                    <w:bottom w:val="single" w:color="auto" w:sz="12" w:space="0"/>
                    <w:right w:val="single" w:color="auto" w:sz="4" w:space="0"/>
                  </w:tcBorders>
                  <w:vAlign w:val="center"/>
                </w:tcPr>
                <w:p w14:paraId="67A1A88C">
                  <w:pPr>
                    <w:jc w:val="center"/>
                    <w:rPr>
                      <w:bCs/>
                      <w:szCs w:val="21"/>
                    </w:rPr>
                  </w:pPr>
                </w:p>
              </w:tc>
              <w:tc>
                <w:tcPr>
                  <w:tcW w:w="657" w:type="dxa"/>
                  <w:vMerge w:val="continue"/>
                  <w:tcBorders>
                    <w:left w:val="single" w:color="auto" w:sz="4" w:space="0"/>
                    <w:bottom w:val="single" w:color="auto" w:sz="12" w:space="0"/>
                    <w:right w:val="single" w:color="auto" w:sz="12" w:space="0"/>
                  </w:tcBorders>
                  <w:vAlign w:val="center"/>
                </w:tcPr>
                <w:p w14:paraId="3FCBFCD8">
                  <w:pPr>
                    <w:jc w:val="center"/>
                    <w:rPr>
                      <w:bCs/>
                      <w:szCs w:val="21"/>
                    </w:rPr>
                  </w:pPr>
                </w:p>
              </w:tc>
            </w:tr>
            <w:tr w14:paraId="03DE143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54" w:hRule="atLeast"/>
                <w:jc w:val="center"/>
              </w:trPr>
              <w:tc>
                <w:tcPr>
                  <w:tcW w:w="0" w:type="auto"/>
                  <w:vMerge w:val="restart"/>
                  <w:tcBorders>
                    <w:top w:val="single" w:color="auto" w:sz="12" w:space="0"/>
                    <w:left w:val="single" w:color="auto" w:sz="12" w:space="0"/>
                  </w:tcBorders>
                  <w:vAlign w:val="center"/>
                </w:tcPr>
                <w:p w14:paraId="66D3E7CE">
                  <w:pPr>
                    <w:jc w:val="center"/>
                    <w:rPr>
                      <w:szCs w:val="21"/>
                    </w:rPr>
                  </w:pPr>
                  <w:r>
                    <w:rPr>
                      <w:szCs w:val="21"/>
                    </w:rPr>
                    <w:t>2020/4/15</w:t>
                  </w:r>
                </w:p>
              </w:tc>
              <w:tc>
                <w:tcPr>
                  <w:tcW w:w="2178" w:type="dxa"/>
                  <w:tcBorders>
                    <w:top w:val="single" w:color="auto" w:sz="12" w:space="0"/>
                    <w:bottom w:val="single" w:color="auto" w:sz="4" w:space="0"/>
                  </w:tcBorders>
                  <w:vAlign w:val="center"/>
                </w:tcPr>
                <w:p w14:paraId="6A70C684">
                  <w:pPr>
                    <w:jc w:val="center"/>
                    <w:rPr>
                      <w:szCs w:val="21"/>
                    </w:rPr>
                  </w:pPr>
                  <w:r>
                    <w:rPr>
                      <w:szCs w:val="21"/>
                    </w:rPr>
                    <w:t>1#东北侧厂界外1m</w:t>
                  </w:r>
                </w:p>
              </w:tc>
              <w:tc>
                <w:tcPr>
                  <w:tcW w:w="1201" w:type="dxa"/>
                  <w:vMerge w:val="restart"/>
                  <w:tcBorders>
                    <w:top w:val="single" w:color="auto" w:sz="12" w:space="0"/>
                  </w:tcBorders>
                  <w:vAlign w:val="center"/>
                </w:tcPr>
                <w:p w14:paraId="037C9963">
                  <w:pPr>
                    <w:jc w:val="center"/>
                    <w:rPr>
                      <w:szCs w:val="21"/>
                    </w:rPr>
                  </w:pPr>
                  <w:r>
                    <w:rPr>
                      <w:szCs w:val="21"/>
                    </w:rPr>
                    <w:t>工业企业厂界</w:t>
                  </w:r>
                </w:p>
                <w:p w14:paraId="5E151FDD">
                  <w:pPr>
                    <w:jc w:val="center"/>
                    <w:rPr>
                      <w:szCs w:val="21"/>
                    </w:rPr>
                  </w:pPr>
                  <w:r>
                    <w:rPr>
                      <w:szCs w:val="21"/>
                    </w:rPr>
                    <w:t>环境噪声</w:t>
                  </w:r>
                </w:p>
              </w:tc>
              <w:tc>
                <w:tcPr>
                  <w:tcW w:w="0" w:type="auto"/>
                  <w:tcBorders>
                    <w:top w:val="single" w:color="auto" w:sz="12" w:space="0"/>
                    <w:bottom w:val="single" w:color="auto" w:sz="4" w:space="0"/>
                    <w:right w:val="single" w:color="auto" w:sz="4" w:space="0"/>
                  </w:tcBorders>
                  <w:vAlign w:val="center"/>
                </w:tcPr>
                <w:p w14:paraId="6B744443">
                  <w:pPr>
                    <w:jc w:val="center"/>
                    <w:rPr>
                      <w:szCs w:val="21"/>
                    </w:rPr>
                  </w:pPr>
                  <w:r>
                    <w:rPr>
                      <w:szCs w:val="21"/>
                    </w:rPr>
                    <w:t>/</w:t>
                  </w:r>
                </w:p>
              </w:tc>
              <w:tc>
                <w:tcPr>
                  <w:tcW w:w="0" w:type="auto"/>
                  <w:tcBorders>
                    <w:top w:val="single" w:color="auto" w:sz="12" w:space="0"/>
                    <w:left w:val="single" w:color="auto" w:sz="4" w:space="0"/>
                    <w:bottom w:val="single" w:color="auto" w:sz="4" w:space="0"/>
                  </w:tcBorders>
                  <w:vAlign w:val="center"/>
                </w:tcPr>
                <w:p w14:paraId="666BBC84">
                  <w:pPr>
                    <w:jc w:val="center"/>
                    <w:rPr>
                      <w:szCs w:val="21"/>
                    </w:rPr>
                  </w:pPr>
                  <w:r>
                    <w:rPr>
                      <w:szCs w:val="21"/>
                    </w:rPr>
                    <w:t>34</w:t>
                  </w:r>
                </w:p>
              </w:tc>
              <w:tc>
                <w:tcPr>
                  <w:tcW w:w="1311" w:type="dxa"/>
                  <w:vMerge w:val="restart"/>
                  <w:tcBorders>
                    <w:top w:val="single" w:color="auto" w:sz="12" w:space="0"/>
                    <w:right w:val="single" w:color="auto" w:sz="4" w:space="0"/>
                  </w:tcBorders>
                  <w:vAlign w:val="center"/>
                </w:tcPr>
                <w:p w14:paraId="4E2C0FA9">
                  <w:pPr>
                    <w:jc w:val="center"/>
                    <w:rPr>
                      <w:szCs w:val="21"/>
                    </w:rPr>
                  </w:pPr>
                  <w:r>
                    <w:rPr>
                      <w:szCs w:val="21"/>
                    </w:rPr>
                    <w:t>昼间：60</w:t>
                  </w:r>
                </w:p>
                <w:p w14:paraId="0B619BF7">
                  <w:pPr>
                    <w:jc w:val="center"/>
                    <w:rPr>
                      <w:szCs w:val="21"/>
                    </w:rPr>
                  </w:pPr>
                  <w:r>
                    <w:rPr>
                      <w:szCs w:val="21"/>
                    </w:rPr>
                    <w:t>夜间：50</w:t>
                  </w:r>
                </w:p>
              </w:tc>
              <w:tc>
                <w:tcPr>
                  <w:tcW w:w="657" w:type="dxa"/>
                  <w:tcBorders>
                    <w:top w:val="single" w:color="auto" w:sz="12" w:space="0"/>
                    <w:left w:val="single" w:color="auto" w:sz="4" w:space="0"/>
                    <w:bottom w:val="single" w:color="auto" w:sz="4" w:space="0"/>
                    <w:right w:val="single" w:color="auto" w:sz="12" w:space="0"/>
                  </w:tcBorders>
                  <w:vAlign w:val="center"/>
                </w:tcPr>
                <w:p w14:paraId="3AA916D7">
                  <w:pPr>
                    <w:jc w:val="center"/>
                    <w:rPr>
                      <w:bCs/>
                      <w:szCs w:val="21"/>
                    </w:rPr>
                  </w:pPr>
                  <w:r>
                    <w:rPr>
                      <w:bCs/>
                      <w:szCs w:val="21"/>
                    </w:rPr>
                    <w:t>达标</w:t>
                  </w:r>
                </w:p>
              </w:tc>
            </w:tr>
            <w:tr w14:paraId="176583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4" w:type="dxa"/>
                  <w:bottom w:w="0" w:type="dxa"/>
                  <w:right w:w="44" w:type="dxa"/>
                </w:tblCellMar>
              </w:tblPrEx>
              <w:trPr>
                <w:trHeight w:val="454" w:hRule="atLeast"/>
                <w:jc w:val="center"/>
              </w:trPr>
              <w:tc>
                <w:tcPr>
                  <w:tcW w:w="0" w:type="auto"/>
                  <w:vMerge w:val="continue"/>
                  <w:tcBorders>
                    <w:left w:val="single" w:color="auto" w:sz="12" w:space="0"/>
                  </w:tcBorders>
                  <w:vAlign w:val="center"/>
                </w:tcPr>
                <w:p w14:paraId="79BA6136">
                  <w:pPr>
                    <w:jc w:val="center"/>
                    <w:rPr>
                      <w:szCs w:val="21"/>
                    </w:rPr>
                  </w:pPr>
                </w:p>
              </w:tc>
              <w:tc>
                <w:tcPr>
                  <w:tcW w:w="2178" w:type="dxa"/>
                  <w:tcBorders>
                    <w:top w:val="single" w:color="auto" w:sz="4" w:space="0"/>
                    <w:bottom w:val="single" w:color="auto" w:sz="4" w:space="0"/>
                  </w:tcBorders>
                  <w:vAlign w:val="center"/>
                </w:tcPr>
                <w:p w14:paraId="7E304FA5">
                  <w:pPr>
                    <w:jc w:val="center"/>
                    <w:rPr>
                      <w:szCs w:val="21"/>
                    </w:rPr>
                  </w:pPr>
                  <w:r>
                    <w:rPr>
                      <w:szCs w:val="21"/>
                    </w:rPr>
                    <w:t>2#东南侧厂界外1m</w:t>
                  </w:r>
                </w:p>
              </w:tc>
              <w:tc>
                <w:tcPr>
                  <w:tcW w:w="1201" w:type="dxa"/>
                  <w:vMerge w:val="continue"/>
                  <w:vAlign w:val="center"/>
                </w:tcPr>
                <w:p w14:paraId="1E6C7709">
                  <w:pPr>
                    <w:jc w:val="center"/>
                    <w:rPr>
                      <w:szCs w:val="21"/>
                    </w:rPr>
                  </w:pPr>
                </w:p>
              </w:tc>
              <w:tc>
                <w:tcPr>
                  <w:tcW w:w="0" w:type="auto"/>
                  <w:tcBorders>
                    <w:top w:val="single" w:color="auto" w:sz="4" w:space="0"/>
                    <w:bottom w:val="single" w:color="auto" w:sz="4" w:space="0"/>
                    <w:right w:val="single" w:color="auto" w:sz="4" w:space="0"/>
                  </w:tcBorders>
                  <w:vAlign w:val="center"/>
                </w:tcPr>
                <w:p w14:paraId="421F651E">
                  <w:pPr>
                    <w:jc w:val="center"/>
                    <w:rPr>
                      <w:szCs w:val="21"/>
                    </w:rPr>
                  </w:pPr>
                  <w:r>
                    <w:rPr>
                      <w:szCs w:val="21"/>
                    </w:rPr>
                    <w:t>/</w:t>
                  </w:r>
                </w:p>
              </w:tc>
              <w:tc>
                <w:tcPr>
                  <w:tcW w:w="0" w:type="auto"/>
                  <w:tcBorders>
                    <w:top w:val="single" w:color="auto" w:sz="4" w:space="0"/>
                    <w:left w:val="single" w:color="auto" w:sz="4" w:space="0"/>
                    <w:bottom w:val="single" w:color="auto" w:sz="4" w:space="0"/>
                  </w:tcBorders>
                  <w:vAlign w:val="center"/>
                </w:tcPr>
                <w:p w14:paraId="4977095D">
                  <w:pPr>
                    <w:jc w:val="center"/>
                    <w:rPr>
                      <w:szCs w:val="21"/>
                    </w:rPr>
                  </w:pPr>
                  <w:r>
                    <w:rPr>
                      <w:szCs w:val="21"/>
                    </w:rPr>
                    <w:t>38</w:t>
                  </w:r>
                </w:p>
              </w:tc>
              <w:tc>
                <w:tcPr>
                  <w:tcW w:w="1311" w:type="dxa"/>
                  <w:vMerge w:val="continue"/>
                  <w:tcBorders>
                    <w:right w:val="single" w:color="auto" w:sz="4" w:space="0"/>
                  </w:tcBorders>
                  <w:vAlign w:val="center"/>
                </w:tcPr>
                <w:p w14:paraId="76AF09FA">
                  <w:pPr>
                    <w:rPr>
                      <w:bCs/>
                      <w:szCs w:val="21"/>
                    </w:rPr>
                  </w:pPr>
                </w:p>
              </w:tc>
              <w:tc>
                <w:tcPr>
                  <w:tcW w:w="657" w:type="dxa"/>
                  <w:tcBorders>
                    <w:top w:val="single" w:color="auto" w:sz="4" w:space="0"/>
                    <w:left w:val="single" w:color="auto" w:sz="4" w:space="0"/>
                    <w:bottom w:val="single" w:color="auto" w:sz="4" w:space="0"/>
                    <w:right w:val="single" w:color="auto" w:sz="12" w:space="0"/>
                  </w:tcBorders>
                  <w:vAlign w:val="center"/>
                </w:tcPr>
                <w:p w14:paraId="341EA9D1">
                  <w:pPr>
                    <w:jc w:val="center"/>
                    <w:rPr>
                      <w:bCs/>
                      <w:szCs w:val="21"/>
                    </w:rPr>
                  </w:pPr>
                  <w:r>
                    <w:rPr>
                      <w:bCs/>
                      <w:szCs w:val="21"/>
                    </w:rPr>
                    <w:t>达标</w:t>
                  </w:r>
                </w:p>
              </w:tc>
            </w:tr>
            <w:tr w14:paraId="45E29C1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54" w:hRule="atLeast"/>
                <w:jc w:val="center"/>
              </w:trPr>
              <w:tc>
                <w:tcPr>
                  <w:tcW w:w="0" w:type="auto"/>
                  <w:vMerge w:val="continue"/>
                  <w:tcBorders>
                    <w:left w:val="single" w:color="auto" w:sz="12" w:space="0"/>
                  </w:tcBorders>
                  <w:vAlign w:val="center"/>
                </w:tcPr>
                <w:p w14:paraId="2C6A1828">
                  <w:pPr>
                    <w:jc w:val="center"/>
                    <w:rPr>
                      <w:szCs w:val="21"/>
                    </w:rPr>
                  </w:pPr>
                </w:p>
              </w:tc>
              <w:tc>
                <w:tcPr>
                  <w:tcW w:w="2178" w:type="dxa"/>
                  <w:tcBorders>
                    <w:top w:val="single" w:color="auto" w:sz="4" w:space="0"/>
                    <w:bottom w:val="single" w:color="auto" w:sz="4" w:space="0"/>
                  </w:tcBorders>
                  <w:vAlign w:val="center"/>
                </w:tcPr>
                <w:p w14:paraId="7D2D7671">
                  <w:pPr>
                    <w:jc w:val="center"/>
                    <w:rPr>
                      <w:szCs w:val="21"/>
                    </w:rPr>
                  </w:pPr>
                  <w:r>
                    <w:rPr>
                      <w:szCs w:val="21"/>
                    </w:rPr>
                    <w:t>3#西南侧厂界外1m</w:t>
                  </w:r>
                </w:p>
              </w:tc>
              <w:tc>
                <w:tcPr>
                  <w:tcW w:w="1201" w:type="dxa"/>
                  <w:vMerge w:val="continue"/>
                  <w:vAlign w:val="center"/>
                </w:tcPr>
                <w:p w14:paraId="5425CAEE">
                  <w:pPr>
                    <w:jc w:val="center"/>
                    <w:rPr>
                      <w:szCs w:val="21"/>
                    </w:rPr>
                  </w:pPr>
                </w:p>
              </w:tc>
              <w:tc>
                <w:tcPr>
                  <w:tcW w:w="0" w:type="auto"/>
                  <w:tcBorders>
                    <w:top w:val="single" w:color="auto" w:sz="4" w:space="0"/>
                    <w:bottom w:val="single" w:color="auto" w:sz="4" w:space="0"/>
                    <w:right w:val="single" w:color="auto" w:sz="4" w:space="0"/>
                  </w:tcBorders>
                  <w:vAlign w:val="center"/>
                </w:tcPr>
                <w:p w14:paraId="48E6EC4B">
                  <w:pPr>
                    <w:jc w:val="center"/>
                    <w:rPr>
                      <w:szCs w:val="21"/>
                    </w:rPr>
                  </w:pPr>
                  <w:r>
                    <w:rPr>
                      <w:szCs w:val="21"/>
                    </w:rPr>
                    <w:t>/</w:t>
                  </w:r>
                </w:p>
              </w:tc>
              <w:tc>
                <w:tcPr>
                  <w:tcW w:w="0" w:type="auto"/>
                  <w:tcBorders>
                    <w:top w:val="single" w:color="auto" w:sz="4" w:space="0"/>
                    <w:left w:val="single" w:color="auto" w:sz="4" w:space="0"/>
                    <w:bottom w:val="single" w:color="auto" w:sz="4" w:space="0"/>
                  </w:tcBorders>
                  <w:vAlign w:val="center"/>
                </w:tcPr>
                <w:p w14:paraId="5E03DF4C">
                  <w:pPr>
                    <w:jc w:val="center"/>
                    <w:rPr>
                      <w:szCs w:val="21"/>
                    </w:rPr>
                  </w:pPr>
                  <w:r>
                    <w:rPr>
                      <w:szCs w:val="21"/>
                    </w:rPr>
                    <w:t>40</w:t>
                  </w:r>
                </w:p>
              </w:tc>
              <w:tc>
                <w:tcPr>
                  <w:tcW w:w="1311" w:type="dxa"/>
                  <w:vMerge w:val="continue"/>
                  <w:tcBorders>
                    <w:right w:val="single" w:color="auto" w:sz="4" w:space="0"/>
                  </w:tcBorders>
                  <w:vAlign w:val="center"/>
                </w:tcPr>
                <w:p w14:paraId="559A4F95">
                  <w:pPr>
                    <w:rPr>
                      <w:bCs/>
                      <w:szCs w:val="21"/>
                    </w:rPr>
                  </w:pPr>
                </w:p>
              </w:tc>
              <w:tc>
                <w:tcPr>
                  <w:tcW w:w="657" w:type="dxa"/>
                  <w:tcBorders>
                    <w:top w:val="single" w:color="auto" w:sz="4" w:space="0"/>
                    <w:left w:val="single" w:color="auto" w:sz="4" w:space="0"/>
                    <w:bottom w:val="single" w:color="auto" w:sz="4" w:space="0"/>
                    <w:right w:val="single" w:color="auto" w:sz="12" w:space="0"/>
                  </w:tcBorders>
                  <w:vAlign w:val="center"/>
                </w:tcPr>
                <w:p w14:paraId="1BEBF354">
                  <w:pPr>
                    <w:jc w:val="center"/>
                    <w:rPr>
                      <w:bCs/>
                      <w:szCs w:val="21"/>
                    </w:rPr>
                  </w:pPr>
                  <w:r>
                    <w:rPr>
                      <w:bCs/>
                      <w:szCs w:val="21"/>
                    </w:rPr>
                    <w:t>达标</w:t>
                  </w:r>
                </w:p>
              </w:tc>
            </w:tr>
            <w:tr w14:paraId="4BE11E3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54" w:hRule="atLeast"/>
                <w:jc w:val="center"/>
              </w:trPr>
              <w:tc>
                <w:tcPr>
                  <w:tcW w:w="0" w:type="auto"/>
                  <w:vMerge w:val="continue"/>
                  <w:tcBorders>
                    <w:left w:val="single" w:color="auto" w:sz="12" w:space="0"/>
                    <w:bottom w:val="single" w:color="auto" w:sz="4" w:space="0"/>
                  </w:tcBorders>
                  <w:vAlign w:val="center"/>
                </w:tcPr>
                <w:p w14:paraId="218A9ECF">
                  <w:pPr>
                    <w:jc w:val="center"/>
                    <w:rPr>
                      <w:szCs w:val="21"/>
                    </w:rPr>
                  </w:pPr>
                </w:p>
              </w:tc>
              <w:tc>
                <w:tcPr>
                  <w:tcW w:w="2178" w:type="dxa"/>
                  <w:tcBorders>
                    <w:top w:val="single" w:color="auto" w:sz="4" w:space="0"/>
                    <w:bottom w:val="single" w:color="auto" w:sz="4" w:space="0"/>
                  </w:tcBorders>
                  <w:vAlign w:val="center"/>
                </w:tcPr>
                <w:p w14:paraId="5DFB221F">
                  <w:pPr>
                    <w:jc w:val="center"/>
                    <w:rPr>
                      <w:szCs w:val="21"/>
                    </w:rPr>
                  </w:pPr>
                  <w:r>
                    <w:rPr>
                      <w:szCs w:val="21"/>
                    </w:rPr>
                    <w:t>4#西北侧厂界外1m</w:t>
                  </w:r>
                </w:p>
              </w:tc>
              <w:tc>
                <w:tcPr>
                  <w:tcW w:w="1201" w:type="dxa"/>
                  <w:vMerge w:val="continue"/>
                  <w:vAlign w:val="center"/>
                </w:tcPr>
                <w:p w14:paraId="0658DE93">
                  <w:pPr>
                    <w:jc w:val="center"/>
                    <w:rPr>
                      <w:szCs w:val="21"/>
                    </w:rPr>
                  </w:pPr>
                </w:p>
              </w:tc>
              <w:tc>
                <w:tcPr>
                  <w:tcW w:w="0" w:type="auto"/>
                  <w:tcBorders>
                    <w:top w:val="single" w:color="auto" w:sz="4" w:space="0"/>
                    <w:bottom w:val="single" w:color="auto" w:sz="4" w:space="0"/>
                    <w:right w:val="single" w:color="auto" w:sz="4" w:space="0"/>
                  </w:tcBorders>
                  <w:vAlign w:val="center"/>
                </w:tcPr>
                <w:p w14:paraId="1A5F62AE">
                  <w:pPr>
                    <w:jc w:val="center"/>
                    <w:rPr>
                      <w:szCs w:val="21"/>
                    </w:rPr>
                  </w:pPr>
                  <w:r>
                    <w:rPr>
                      <w:szCs w:val="21"/>
                    </w:rPr>
                    <w:t>/</w:t>
                  </w:r>
                </w:p>
              </w:tc>
              <w:tc>
                <w:tcPr>
                  <w:tcW w:w="0" w:type="auto"/>
                  <w:tcBorders>
                    <w:top w:val="single" w:color="auto" w:sz="4" w:space="0"/>
                    <w:left w:val="single" w:color="auto" w:sz="4" w:space="0"/>
                    <w:bottom w:val="single" w:color="auto" w:sz="4" w:space="0"/>
                  </w:tcBorders>
                  <w:vAlign w:val="center"/>
                </w:tcPr>
                <w:p w14:paraId="5859664E">
                  <w:pPr>
                    <w:jc w:val="center"/>
                    <w:rPr>
                      <w:szCs w:val="21"/>
                    </w:rPr>
                  </w:pPr>
                  <w:r>
                    <w:rPr>
                      <w:szCs w:val="21"/>
                    </w:rPr>
                    <w:t>40</w:t>
                  </w:r>
                </w:p>
              </w:tc>
              <w:tc>
                <w:tcPr>
                  <w:tcW w:w="1311" w:type="dxa"/>
                  <w:vMerge w:val="continue"/>
                  <w:tcBorders>
                    <w:right w:val="single" w:color="auto" w:sz="4" w:space="0"/>
                  </w:tcBorders>
                  <w:vAlign w:val="center"/>
                </w:tcPr>
                <w:p w14:paraId="78B6A7E8">
                  <w:pPr>
                    <w:rPr>
                      <w:bCs/>
                      <w:szCs w:val="21"/>
                    </w:rPr>
                  </w:pPr>
                </w:p>
              </w:tc>
              <w:tc>
                <w:tcPr>
                  <w:tcW w:w="657" w:type="dxa"/>
                  <w:tcBorders>
                    <w:top w:val="single" w:color="auto" w:sz="4" w:space="0"/>
                    <w:left w:val="single" w:color="auto" w:sz="4" w:space="0"/>
                    <w:bottom w:val="single" w:color="auto" w:sz="4" w:space="0"/>
                    <w:right w:val="single" w:color="auto" w:sz="12" w:space="0"/>
                  </w:tcBorders>
                  <w:vAlign w:val="center"/>
                </w:tcPr>
                <w:p w14:paraId="12546CDD">
                  <w:pPr>
                    <w:jc w:val="center"/>
                    <w:rPr>
                      <w:bCs/>
                      <w:szCs w:val="21"/>
                    </w:rPr>
                  </w:pPr>
                  <w:r>
                    <w:rPr>
                      <w:bCs/>
                      <w:szCs w:val="21"/>
                    </w:rPr>
                    <w:t>达标</w:t>
                  </w:r>
                </w:p>
              </w:tc>
            </w:tr>
            <w:tr w14:paraId="63237F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54" w:hRule="atLeast"/>
                <w:jc w:val="center"/>
              </w:trPr>
              <w:tc>
                <w:tcPr>
                  <w:tcW w:w="0" w:type="auto"/>
                  <w:vMerge w:val="restart"/>
                  <w:tcBorders>
                    <w:top w:val="single" w:color="auto" w:sz="4" w:space="0"/>
                    <w:left w:val="single" w:color="auto" w:sz="12" w:space="0"/>
                  </w:tcBorders>
                  <w:vAlign w:val="center"/>
                </w:tcPr>
                <w:p w14:paraId="16522710">
                  <w:pPr>
                    <w:jc w:val="center"/>
                    <w:rPr>
                      <w:szCs w:val="21"/>
                    </w:rPr>
                  </w:pPr>
                  <w:r>
                    <w:rPr>
                      <w:szCs w:val="21"/>
                    </w:rPr>
                    <w:t>2020/4/16</w:t>
                  </w:r>
                </w:p>
              </w:tc>
              <w:tc>
                <w:tcPr>
                  <w:tcW w:w="2178" w:type="dxa"/>
                  <w:tcBorders>
                    <w:top w:val="single" w:color="auto" w:sz="4" w:space="0"/>
                    <w:bottom w:val="single" w:color="auto" w:sz="2" w:space="0"/>
                  </w:tcBorders>
                  <w:vAlign w:val="center"/>
                </w:tcPr>
                <w:p w14:paraId="68B151EC">
                  <w:pPr>
                    <w:jc w:val="center"/>
                    <w:rPr>
                      <w:szCs w:val="21"/>
                    </w:rPr>
                  </w:pPr>
                  <w:r>
                    <w:rPr>
                      <w:szCs w:val="21"/>
                    </w:rPr>
                    <w:t>1#东北侧厂界外1m</w:t>
                  </w:r>
                </w:p>
              </w:tc>
              <w:tc>
                <w:tcPr>
                  <w:tcW w:w="1201" w:type="dxa"/>
                  <w:vMerge w:val="continue"/>
                  <w:vAlign w:val="center"/>
                </w:tcPr>
                <w:p w14:paraId="75A0C504">
                  <w:pPr>
                    <w:jc w:val="center"/>
                    <w:rPr>
                      <w:szCs w:val="21"/>
                    </w:rPr>
                  </w:pPr>
                </w:p>
              </w:tc>
              <w:tc>
                <w:tcPr>
                  <w:tcW w:w="0" w:type="auto"/>
                  <w:tcBorders>
                    <w:top w:val="single" w:color="auto" w:sz="4" w:space="0"/>
                    <w:bottom w:val="single" w:color="auto" w:sz="2" w:space="0"/>
                    <w:right w:val="single" w:color="auto" w:sz="4" w:space="0"/>
                  </w:tcBorders>
                  <w:vAlign w:val="center"/>
                </w:tcPr>
                <w:p w14:paraId="33B31514">
                  <w:pPr>
                    <w:jc w:val="center"/>
                    <w:rPr>
                      <w:szCs w:val="21"/>
                    </w:rPr>
                  </w:pPr>
                  <w:r>
                    <w:rPr>
                      <w:szCs w:val="21"/>
                    </w:rPr>
                    <w:t>55</w:t>
                  </w:r>
                </w:p>
              </w:tc>
              <w:tc>
                <w:tcPr>
                  <w:tcW w:w="0" w:type="auto"/>
                  <w:tcBorders>
                    <w:top w:val="single" w:color="auto" w:sz="4" w:space="0"/>
                    <w:left w:val="single" w:color="auto" w:sz="4" w:space="0"/>
                    <w:bottom w:val="single" w:color="auto" w:sz="2" w:space="0"/>
                  </w:tcBorders>
                  <w:vAlign w:val="center"/>
                </w:tcPr>
                <w:p w14:paraId="783C6605">
                  <w:pPr>
                    <w:jc w:val="center"/>
                    <w:rPr>
                      <w:szCs w:val="21"/>
                    </w:rPr>
                  </w:pPr>
                  <w:r>
                    <w:rPr>
                      <w:szCs w:val="21"/>
                    </w:rPr>
                    <w:t>38</w:t>
                  </w:r>
                </w:p>
              </w:tc>
              <w:tc>
                <w:tcPr>
                  <w:tcW w:w="1311" w:type="dxa"/>
                  <w:vMerge w:val="continue"/>
                  <w:tcBorders>
                    <w:right w:val="single" w:color="auto" w:sz="4" w:space="0"/>
                  </w:tcBorders>
                  <w:vAlign w:val="center"/>
                </w:tcPr>
                <w:p w14:paraId="4022D224">
                  <w:pPr>
                    <w:rPr>
                      <w:bCs/>
                      <w:szCs w:val="21"/>
                    </w:rPr>
                  </w:pPr>
                </w:p>
              </w:tc>
              <w:tc>
                <w:tcPr>
                  <w:tcW w:w="657" w:type="dxa"/>
                  <w:tcBorders>
                    <w:top w:val="single" w:color="auto" w:sz="4" w:space="0"/>
                    <w:left w:val="single" w:color="auto" w:sz="4" w:space="0"/>
                    <w:right w:val="single" w:color="auto" w:sz="12" w:space="0"/>
                  </w:tcBorders>
                  <w:vAlign w:val="center"/>
                </w:tcPr>
                <w:p w14:paraId="12E48087">
                  <w:pPr>
                    <w:jc w:val="center"/>
                    <w:rPr>
                      <w:bCs/>
                      <w:szCs w:val="21"/>
                    </w:rPr>
                  </w:pPr>
                  <w:r>
                    <w:rPr>
                      <w:bCs/>
                      <w:szCs w:val="21"/>
                    </w:rPr>
                    <w:t>达标</w:t>
                  </w:r>
                </w:p>
              </w:tc>
            </w:tr>
            <w:tr w14:paraId="4E30422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54" w:hRule="atLeast"/>
                <w:jc w:val="center"/>
              </w:trPr>
              <w:tc>
                <w:tcPr>
                  <w:tcW w:w="0" w:type="auto"/>
                  <w:vMerge w:val="continue"/>
                  <w:tcBorders>
                    <w:left w:val="single" w:color="auto" w:sz="12" w:space="0"/>
                  </w:tcBorders>
                  <w:vAlign w:val="center"/>
                </w:tcPr>
                <w:p w14:paraId="63E038A1">
                  <w:pPr>
                    <w:jc w:val="center"/>
                    <w:rPr>
                      <w:szCs w:val="21"/>
                    </w:rPr>
                  </w:pPr>
                </w:p>
              </w:tc>
              <w:tc>
                <w:tcPr>
                  <w:tcW w:w="2178" w:type="dxa"/>
                  <w:vAlign w:val="center"/>
                </w:tcPr>
                <w:p w14:paraId="2BE9697B">
                  <w:pPr>
                    <w:jc w:val="center"/>
                    <w:rPr>
                      <w:szCs w:val="21"/>
                    </w:rPr>
                  </w:pPr>
                  <w:r>
                    <w:rPr>
                      <w:szCs w:val="21"/>
                    </w:rPr>
                    <w:t>2#东南侧厂界外1m</w:t>
                  </w:r>
                </w:p>
              </w:tc>
              <w:tc>
                <w:tcPr>
                  <w:tcW w:w="1201" w:type="dxa"/>
                  <w:vMerge w:val="continue"/>
                </w:tcPr>
                <w:p w14:paraId="34806A3A">
                  <w:pPr>
                    <w:jc w:val="center"/>
                    <w:rPr>
                      <w:szCs w:val="21"/>
                    </w:rPr>
                  </w:pPr>
                </w:p>
              </w:tc>
              <w:tc>
                <w:tcPr>
                  <w:tcW w:w="0" w:type="auto"/>
                  <w:tcBorders>
                    <w:right w:val="single" w:color="auto" w:sz="4" w:space="0"/>
                  </w:tcBorders>
                  <w:vAlign w:val="center"/>
                </w:tcPr>
                <w:p w14:paraId="3D78050B">
                  <w:pPr>
                    <w:jc w:val="center"/>
                    <w:rPr>
                      <w:szCs w:val="21"/>
                    </w:rPr>
                  </w:pPr>
                  <w:r>
                    <w:rPr>
                      <w:szCs w:val="21"/>
                    </w:rPr>
                    <w:t>52</w:t>
                  </w:r>
                </w:p>
              </w:tc>
              <w:tc>
                <w:tcPr>
                  <w:tcW w:w="0" w:type="auto"/>
                  <w:tcBorders>
                    <w:left w:val="single" w:color="auto" w:sz="4" w:space="0"/>
                  </w:tcBorders>
                  <w:vAlign w:val="center"/>
                </w:tcPr>
                <w:p w14:paraId="406645E5">
                  <w:pPr>
                    <w:jc w:val="center"/>
                    <w:rPr>
                      <w:szCs w:val="21"/>
                    </w:rPr>
                  </w:pPr>
                  <w:r>
                    <w:rPr>
                      <w:szCs w:val="21"/>
                    </w:rPr>
                    <w:t>41</w:t>
                  </w:r>
                </w:p>
              </w:tc>
              <w:tc>
                <w:tcPr>
                  <w:tcW w:w="1311" w:type="dxa"/>
                  <w:vMerge w:val="continue"/>
                  <w:tcBorders>
                    <w:right w:val="single" w:color="auto" w:sz="4" w:space="0"/>
                  </w:tcBorders>
                  <w:vAlign w:val="center"/>
                </w:tcPr>
                <w:p w14:paraId="2E94464C">
                  <w:pPr>
                    <w:jc w:val="center"/>
                    <w:rPr>
                      <w:bCs/>
                      <w:szCs w:val="21"/>
                    </w:rPr>
                  </w:pPr>
                </w:p>
              </w:tc>
              <w:tc>
                <w:tcPr>
                  <w:tcW w:w="657" w:type="dxa"/>
                  <w:tcBorders>
                    <w:left w:val="single" w:color="auto" w:sz="4" w:space="0"/>
                    <w:right w:val="single" w:color="auto" w:sz="12" w:space="0"/>
                  </w:tcBorders>
                  <w:vAlign w:val="center"/>
                </w:tcPr>
                <w:p w14:paraId="09599EDD">
                  <w:pPr>
                    <w:jc w:val="center"/>
                    <w:rPr>
                      <w:bCs/>
                      <w:szCs w:val="21"/>
                    </w:rPr>
                  </w:pPr>
                  <w:r>
                    <w:rPr>
                      <w:bCs/>
                      <w:szCs w:val="21"/>
                    </w:rPr>
                    <w:t>达标</w:t>
                  </w:r>
                </w:p>
              </w:tc>
            </w:tr>
            <w:tr w14:paraId="0A3EC45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54" w:hRule="atLeast"/>
                <w:jc w:val="center"/>
              </w:trPr>
              <w:tc>
                <w:tcPr>
                  <w:tcW w:w="0" w:type="auto"/>
                  <w:vMerge w:val="continue"/>
                  <w:tcBorders>
                    <w:left w:val="single" w:color="auto" w:sz="12" w:space="0"/>
                  </w:tcBorders>
                  <w:vAlign w:val="center"/>
                </w:tcPr>
                <w:p w14:paraId="2C679389">
                  <w:pPr>
                    <w:jc w:val="center"/>
                    <w:rPr>
                      <w:szCs w:val="21"/>
                    </w:rPr>
                  </w:pPr>
                </w:p>
              </w:tc>
              <w:tc>
                <w:tcPr>
                  <w:tcW w:w="2178" w:type="dxa"/>
                  <w:tcBorders>
                    <w:bottom w:val="single" w:color="auto" w:sz="4" w:space="0"/>
                  </w:tcBorders>
                  <w:vAlign w:val="center"/>
                </w:tcPr>
                <w:p w14:paraId="1C93CAC9">
                  <w:pPr>
                    <w:jc w:val="center"/>
                    <w:rPr>
                      <w:szCs w:val="21"/>
                    </w:rPr>
                  </w:pPr>
                  <w:r>
                    <w:rPr>
                      <w:szCs w:val="21"/>
                    </w:rPr>
                    <w:t>3#西南侧厂界外1m</w:t>
                  </w:r>
                </w:p>
              </w:tc>
              <w:tc>
                <w:tcPr>
                  <w:tcW w:w="1201" w:type="dxa"/>
                  <w:vMerge w:val="continue"/>
                </w:tcPr>
                <w:p w14:paraId="6CD73697">
                  <w:pPr>
                    <w:jc w:val="center"/>
                    <w:rPr>
                      <w:szCs w:val="21"/>
                    </w:rPr>
                  </w:pPr>
                </w:p>
              </w:tc>
              <w:tc>
                <w:tcPr>
                  <w:tcW w:w="0" w:type="auto"/>
                  <w:tcBorders>
                    <w:bottom w:val="single" w:color="auto" w:sz="4" w:space="0"/>
                    <w:right w:val="single" w:color="auto" w:sz="4" w:space="0"/>
                  </w:tcBorders>
                  <w:vAlign w:val="center"/>
                </w:tcPr>
                <w:p w14:paraId="17563A31">
                  <w:pPr>
                    <w:jc w:val="center"/>
                    <w:rPr>
                      <w:szCs w:val="21"/>
                    </w:rPr>
                  </w:pPr>
                  <w:r>
                    <w:rPr>
                      <w:szCs w:val="21"/>
                    </w:rPr>
                    <w:t>57</w:t>
                  </w:r>
                </w:p>
              </w:tc>
              <w:tc>
                <w:tcPr>
                  <w:tcW w:w="0" w:type="auto"/>
                  <w:tcBorders>
                    <w:left w:val="single" w:color="auto" w:sz="4" w:space="0"/>
                    <w:bottom w:val="single" w:color="auto" w:sz="4" w:space="0"/>
                  </w:tcBorders>
                  <w:vAlign w:val="center"/>
                </w:tcPr>
                <w:p w14:paraId="62031CAD">
                  <w:pPr>
                    <w:jc w:val="center"/>
                    <w:rPr>
                      <w:szCs w:val="21"/>
                    </w:rPr>
                  </w:pPr>
                  <w:r>
                    <w:rPr>
                      <w:szCs w:val="21"/>
                    </w:rPr>
                    <w:t>42</w:t>
                  </w:r>
                </w:p>
              </w:tc>
              <w:tc>
                <w:tcPr>
                  <w:tcW w:w="1311" w:type="dxa"/>
                  <w:vMerge w:val="continue"/>
                  <w:tcBorders>
                    <w:right w:val="single" w:color="auto" w:sz="4" w:space="0"/>
                  </w:tcBorders>
                  <w:vAlign w:val="center"/>
                </w:tcPr>
                <w:p w14:paraId="2C6FFF80">
                  <w:pPr>
                    <w:jc w:val="center"/>
                    <w:rPr>
                      <w:bCs/>
                      <w:szCs w:val="21"/>
                    </w:rPr>
                  </w:pPr>
                </w:p>
              </w:tc>
              <w:tc>
                <w:tcPr>
                  <w:tcW w:w="657" w:type="dxa"/>
                  <w:tcBorders>
                    <w:left w:val="single" w:color="auto" w:sz="4" w:space="0"/>
                    <w:bottom w:val="single" w:color="auto" w:sz="4" w:space="0"/>
                    <w:right w:val="single" w:color="auto" w:sz="12" w:space="0"/>
                  </w:tcBorders>
                  <w:vAlign w:val="center"/>
                </w:tcPr>
                <w:p w14:paraId="5FA9A57E">
                  <w:pPr>
                    <w:jc w:val="center"/>
                    <w:rPr>
                      <w:bCs/>
                      <w:szCs w:val="21"/>
                    </w:rPr>
                  </w:pPr>
                  <w:r>
                    <w:rPr>
                      <w:bCs/>
                      <w:szCs w:val="21"/>
                    </w:rPr>
                    <w:t>达标</w:t>
                  </w:r>
                </w:p>
              </w:tc>
            </w:tr>
            <w:tr w14:paraId="71B7591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54" w:hRule="atLeast"/>
                <w:jc w:val="center"/>
              </w:trPr>
              <w:tc>
                <w:tcPr>
                  <w:tcW w:w="0" w:type="auto"/>
                  <w:vMerge w:val="continue"/>
                  <w:tcBorders>
                    <w:left w:val="single" w:color="auto" w:sz="12" w:space="0"/>
                    <w:bottom w:val="single" w:color="auto" w:sz="4" w:space="0"/>
                  </w:tcBorders>
                  <w:vAlign w:val="center"/>
                </w:tcPr>
                <w:p w14:paraId="25000BB6">
                  <w:pPr>
                    <w:jc w:val="center"/>
                    <w:rPr>
                      <w:szCs w:val="21"/>
                    </w:rPr>
                  </w:pPr>
                </w:p>
              </w:tc>
              <w:tc>
                <w:tcPr>
                  <w:tcW w:w="2178" w:type="dxa"/>
                  <w:tcBorders>
                    <w:top w:val="single" w:color="auto" w:sz="4" w:space="0"/>
                    <w:bottom w:val="single" w:color="auto" w:sz="4" w:space="0"/>
                  </w:tcBorders>
                  <w:vAlign w:val="center"/>
                </w:tcPr>
                <w:p w14:paraId="0DCE1C7D">
                  <w:pPr>
                    <w:jc w:val="center"/>
                    <w:rPr>
                      <w:szCs w:val="21"/>
                    </w:rPr>
                  </w:pPr>
                  <w:r>
                    <w:rPr>
                      <w:szCs w:val="21"/>
                    </w:rPr>
                    <w:t>4#西北侧厂界外1m</w:t>
                  </w:r>
                </w:p>
              </w:tc>
              <w:tc>
                <w:tcPr>
                  <w:tcW w:w="1201" w:type="dxa"/>
                  <w:vMerge w:val="continue"/>
                </w:tcPr>
                <w:p w14:paraId="372792F2">
                  <w:pPr>
                    <w:jc w:val="center"/>
                    <w:rPr>
                      <w:szCs w:val="21"/>
                    </w:rPr>
                  </w:pPr>
                </w:p>
              </w:tc>
              <w:tc>
                <w:tcPr>
                  <w:tcW w:w="0" w:type="auto"/>
                  <w:tcBorders>
                    <w:top w:val="single" w:color="auto" w:sz="4" w:space="0"/>
                    <w:bottom w:val="single" w:color="auto" w:sz="4" w:space="0"/>
                    <w:right w:val="single" w:color="auto" w:sz="4" w:space="0"/>
                  </w:tcBorders>
                  <w:vAlign w:val="center"/>
                </w:tcPr>
                <w:p w14:paraId="043D15D9">
                  <w:pPr>
                    <w:jc w:val="center"/>
                    <w:rPr>
                      <w:szCs w:val="21"/>
                    </w:rPr>
                  </w:pPr>
                  <w:r>
                    <w:rPr>
                      <w:szCs w:val="21"/>
                    </w:rPr>
                    <w:t>52</w:t>
                  </w:r>
                </w:p>
              </w:tc>
              <w:tc>
                <w:tcPr>
                  <w:tcW w:w="0" w:type="auto"/>
                  <w:tcBorders>
                    <w:top w:val="single" w:color="auto" w:sz="4" w:space="0"/>
                    <w:left w:val="single" w:color="auto" w:sz="4" w:space="0"/>
                    <w:bottom w:val="single" w:color="auto" w:sz="4" w:space="0"/>
                  </w:tcBorders>
                  <w:vAlign w:val="center"/>
                </w:tcPr>
                <w:p w14:paraId="367BE7B2">
                  <w:pPr>
                    <w:jc w:val="center"/>
                    <w:rPr>
                      <w:szCs w:val="21"/>
                    </w:rPr>
                  </w:pPr>
                  <w:r>
                    <w:rPr>
                      <w:szCs w:val="21"/>
                    </w:rPr>
                    <w:t>36</w:t>
                  </w:r>
                </w:p>
              </w:tc>
              <w:tc>
                <w:tcPr>
                  <w:tcW w:w="1311" w:type="dxa"/>
                  <w:vMerge w:val="continue"/>
                  <w:tcBorders>
                    <w:right w:val="single" w:color="auto" w:sz="4" w:space="0"/>
                  </w:tcBorders>
                  <w:vAlign w:val="center"/>
                </w:tcPr>
                <w:p w14:paraId="4A74648A">
                  <w:pPr>
                    <w:jc w:val="center"/>
                    <w:rPr>
                      <w:bCs/>
                      <w:szCs w:val="21"/>
                    </w:rPr>
                  </w:pPr>
                </w:p>
              </w:tc>
              <w:tc>
                <w:tcPr>
                  <w:tcW w:w="657" w:type="dxa"/>
                  <w:tcBorders>
                    <w:top w:val="single" w:color="auto" w:sz="4" w:space="0"/>
                    <w:left w:val="single" w:color="auto" w:sz="4" w:space="0"/>
                    <w:bottom w:val="single" w:color="auto" w:sz="4" w:space="0"/>
                    <w:right w:val="single" w:color="auto" w:sz="12" w:space="0"/>
                  </w:tcBorders>
                  <w:vAlign w:val="center"/>
                </w:tcPr>
                <w:p w14:paraId="6E41E9E8">
                  <w:pPr>
                    <w:jc w:val="center"/>
                    <w:rPr>
                      <w:bCs/>
                      <w:szCs w:val="21"/>
                    </w:rPr>
                  </w:pPr>
                  <w:r>
                    <w:rPr>
                      <w:bCs/>
                      <w:szCs w:val="21"/>
                    </w:rPr>
                    <w:t>达标</w:t>
                  </w:r>
                </w:p>
              </w:tc>
            </w:tr>
            <w:tr w14:paraId="071CE5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54" w:hRule="atLeast"/>
                <w:jc w:val="center"/>
              </w:trPr>
              <w:tc>
                <w:tcPr>
                  <w:tcW w:w="0" w:type="auto"/>
                  <w:vMerge w:val="restart"/>
                  <w:tcBorders>
                    <w:top w:val="single" w:color="auto" w:sz="4" w:space="0"/>
                    <w:left w:val="single" w:color="auto" w:sz="12" w:space="0"/>
                  </w:tcBorders>
                  <w:vAlign w:val="center"/>
                </w:tcPr>
                <w:p w14:paraId="21E1080B">
                  <w:pPr>
                    <w:jc w:val="center"/>
                    <w:rPr>
                      <w:szCs w:val="21"/>
                    </w:rPr>
                  </w:pPr>
                  <w:r>
                    <w:rPr>
                      <w:szCs w:val="21"/>
                    </w:rPr>
                    <w:t>2020/4/17</w:t>
                  </w:r>
                </w:p>
              </w:tc>
              <w:tc>
                <w:tcPr>
                  <w:tcW w:w="2178" w:type="dxa"/>
                  <w:tcBorders>
                    <w:top w:val="single" w:color="auto" w:sz="4" w:space="0"/>
                    <w:bottom w:val="single" w:color="auto" w:sz="4" w:space="0"/>
                  </w:tcBorders>
                  <w:vAlign w:val="center"/>
                </w:tcPr>
                <w:p w14:paraId="50FE5541">
                  <w:pPr>
                    <w:jc w:val="center"/>
                    <w:rPr>
                      <w:szCs w:val="21"/>
                    </w:rPr>
                  </w:pPr>
                  <w:r>
                    <w:rPr>
                      <w:szCs w:val="21"/>
                    </w:rPr>
                    <w:t>1#东北侧厂界外1m</w:t>
                  </w:r>
                </w:p>
              </w:tc>
              <w:tc>
                <w:tcPr>
                  <w:tcW w:w="1201" w:type="dxa"/>
                  <w:vMerge w:val="continue"/>
                </w:tcPr>
                <w:p w14:paraId="48196E7D">
                  <w:pPr>
                    <w:jc w:val="center"/>
                    <w:rPr>
                      <w:szCs w:val="21"/>
                    </w:rPr>
                  </w:pPr>
                </w:p>
              </w:tc>
              <w:tc>
                <w:tcPr>
                  <w:tcW w:w="0" w:type="auto"/>
                  <w:tcBorders>
                    <w:top w:val="single" w:color="auto" w:sz="4" w:space="0"/>
                    <w:bottom w:val="single" w:color="auto" w:sz="4" w:space="0"/>
                    <w:right w:val="single" w:color="auto" w:sz="4" w:space="0"/>
                  </w:tcBorders>
                  <w:vAlign w:val="center"/>
                </w:tcPr>
                <w:p w14:paraId="12B07D04">
                  <w:pPr>
                    <w:jc w:val="center"/>
                    <w:rPr>
                      <w:szCs w:val="21"/>
                    </w:rPr>
                  </w:pPr>
                  <w:r>
                    <w:rPr>
                      <w:szCs w:val="21"/>
                    </w:rPr>
                    <w:t>56</w:t>
                  </w:r>
                </w:p>
              </w:tc>
              <w:tc>
                <w:tcPr>
                  <w:tcW w:w="0" w:type="auto"/>
                  <w:tcBorders>
                    <w:top w:val="single" w:color="auto" w:sz="4" w:space="0"/>
                    <w:left w:val="single" w:color="auto" w:sz="4" w:space="0"/>
                    <w:bottom w:val="single" w:color="auto" w:sz="4" w:space="0"/>
                  </w:tcBorders>
                  <w:vAlign w:val="center"/>
                </w:tcPr>
                <w:p w14:paraId="17B8C07F">
                  <w:pPr>
                    <w:jc w:val="center"/>
                    <w:rPr>
                      <w:szCs w:val="21"/>
                    </w:rPr>
                  </w:pPr>
                  <w:r>
                    <w:rPr>
                      <w:szCs w:val="21"/>
                    </w:rPr>
                    <w:t>/</w:t>
                  </w:r>
                </w:p>
              </w:tc>
              <w:tc>
                <w:tcPr>
                  <w:tcW w:w="1311" w:type="dxa"/>
                  <w:vMerge w:val="continue"/>
                  <w:tcBorders>
                    <w:right w:val="single" w:color="auto" w:sz="4" w:space="0"/>
                  </w:tcBorders>
                  <w:vAlign w:val="center"/>
                </w:tcPr>
                <w:p w14:paraId="25BD8AE6">
                  <w:pPr>
                    <w:jc w:val="center"/>
                    <w:rPr>
                      <w:bCs/>
                      <w:szCs w:val="21"/>
                    </w:rPr>
                  </w:pPr>
                </w:p>
              </w:tc>
              <w:tc>
                <w:tcPr>
                  <w:tcW w:w="657" w:type="dxa"/>
                  <w:tcBorders>
                    <w:top w:val="single" w:color="auto" w:sz="4" w:space="0"/>
                    <w:left w:val="single" w:color="auto" w:sz="4" w:space="0"/>
                    <w:bottom w:val="single" w:color="auto" w:sz="4" w:space="0"/>
                    <w:right w:val="single" w:color="auto" w:sz="12" w:space="0"/>
                  </w:tcBorders>
                  <w:vAlign w:val="center"/>
                </w:tcPr>
                <w:p w14:paraId="73866D52">
                  <w:pPr>
                    <w:jc w:val="center"/>
                    <w:rPr>
                      <w:bCs/>
                      <w:szCs w:val="21"/>
                    </w:rPr>
                  </w:pPr>
                  <w:r>
                    <w:rPr>
                      <w:bCs/>
                      <w:szCs w:val="21"/>
                    </w:rPr>
                    <w:t>达标</w:t>
                  </w:r>
                </w:p>
              </w:tc>
            </w:tr>
            <w:tr w14:paraId="65D0C6F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54" w:hRule="atLeast"/>
                <w:jc w:val="center"/>
              </w:trPr>
              <w:tc>
                <w:tcPr>
                  <w:tcW w:w="0" w:type="auto"/>
                  <w:vMerge w:val="continue"/>
                  <w:tcBorders>
                    <w:left w:val="single" w:color="auto" w:sz="12" w:space="0"/>
                  </w:tcBorders>
                  <w:vAlign w:val="center"/>
                </w:tcPr>
                <w:p w14:paraId="7AAA371A">
                  <w:pPr>
                    <w:jc w:val="center"/>
                    <w:rPr>
                      <w:szCs w:val="21"/>
                    </w:rPr>
                  </w:pPr>
                </w:p>
              </w:tc>
              <w:tc>
                <w:tcPr>
                  <w:tcW w:w="2178" w:type="dxa"/>
                  <w:tcBorders>
                    <w:top w:val="single" w:color="auto" w:sz="4" w:space="0"/>
                    <w:bottom w:val="single" w:color="auto" w:sz="4" w:space="0"/>
                  </w:tcBorders>
                  <w:vAlign w:val="center"/>
                </w:tcPr>
                <w:p w14:paraId="6F10E404">
                  <w:pPr>
                    <w:jc w:val="center"/>
                    <w:rPr>
                      <w:szCs w:val="21"/>
                    </w:rPr>
                  </w:pPr>
                  <w:r>
                    <w:rPr>
                      <w:szCs w:val="21"/>
                    </w:rPr>
                    <w:t>2#东南侧厂界外1m</w:t>
                  </w:r>
                </w:p>
              </w:tc>
              <w:tc>
                <w:tcPr>
                  <w:tcW w:w="1201" w:type="dxa"/>
                  <w:vMerge w:val="continue"/>
                </w:tcPr>
                <w:p w14:paraId="76086C27">
                  <w:pPr>
                    <w:jc w:val="center"/>
                    <w:rPr>
                      <w:szCs w:val="21"/>
                    </w:rPr>
                  </w:pPr>
                </w:p>
              </w:tc>
              <w:tc>
                <w:tcPr>
                  <w:tcW w:w="0" w:type="auto"/>
                  <w:tcBorders>
                    <w:top w:val="single" w:color="auto" w:sz="4" w:space="0"/>
                    <w:bottom w:val="single" w:color="auto" w:sz="4" w:space="0"/>
                    <w:right w:val="single" w:color="auto" w:sz="4" w:space="0"/>
                  </w:tcBorders>
                  <w:vAlign w:val="center"/>
                </w:tcPr>
                <w:p w14:paraId="3C2A1A5D">
                  <w:pPr>
                    <w:jc w:val="center"/>
                    <w:rPr>
                      <w:szCs w:val="21"/>
                    </w:rPr>
                  </w:pPr>
                  <w:r>
                    <w:rPr>
                      <w:szCs w:val="21"/>
                    </w:rPr>
                    <w:t>48</w:t>
                  </w:r>
                </w:p>
              </w:tc>
              <w:tc>
                <w:tcPr>
                  <w:tcW w:w="0" w:type="auto"/>
                  <w:tcBorders>
                    <w:top w:val="single" w:color="auto" w:sz="4" w:space="0"/>
                    <w:left w:val="single" w:color="auto" w:sz="4" w:space="0"/>
                    <w:bottom w:val="single" w:color="auto" w:sz="4" w:space="0"/>
                  </w:tcBorders>
                  <w:vAlign w:val="center"/>
                </w:tcPr>
                <w:p w14:paraId="364247EA">
                  <w:pPr>
                    <w:jc w:val="center"/>
                    <w:rPr>
                      <w:szCs w:val="21"/>
                    </w:rPr>
                  </w:pPr>
                  <w:r>
                    <w:rPr>
                      <w:szCs w:val="21"/>
                    </w:rPr>
                    <w:t>/</w:t>
                  </w:r>
                </w:p>
              </w:tc>
              <w:tc>
                <w:tcPr>
                  <w:tcW w:w="1311" w:type="dxa"/>
                  <w:vMerge w:val="continue"/>
                  <w:tcBorders>
                    <w:right w:val="single" w:color="auto" w:sz="4" w:space="0"/>
                  </w:tcBorders>
                  <w:vAlign w:val="center"/>
                </w:tcPr>
                <w:p w14:paraId="27CDA597">
                  <w:pPr>
                    <w:jc w:val="center"/>
                    <w:rPr>
                      <w:bCs/>
                      <w:szCs w:val="21"/>
                    </w:rPr>
                  </w:pPr>
                </w:p>
              </w:tc>
              <w:tc>
                <w:tcPr>
                  <w:tcW w:w="657" w:type="dxa"/>
                  <w:tcBorders>
                    <w:top w:val="single" w:color="auto" w:sz="4" w:space="0"/>
                    <w:left w:val="single" w:color="auto" w:sz="4" w:space="0"/>
                    <w:bottom w:val="single" w:color="auto" w:sz="4" w:space="0"/>
                    <w:right w:val="single" w:color="auto" w:sz="12" w:space="0"/>
                  </w:tcBorders>
                  <w:vAlign w:val="center"/>
                </w:tcPr>
                <w:p w14:paraId="17565392">
                  <w:pPr>
                    <w:jc w:val="center"/>
                    <w:rPr>
                      <w:bCs/>
                      <w:szCs w:val="21"/>
                    </w:rPr>
                  </w:pPr>
                  <w:r>
                    <w:rPr>
                      <w:bCs/>
                      <w:szCs w:val="21"/>
                    </w:rPr>
                    <w:t>达标</w:t>
                  </w:r>
                </w:p>
              </w:tc>
            </w:tr>
            <w:tr w14:paraId="50F169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54" w:hRule="atLeast"/>
                <w:jc w:val="center"/>
              </w:trPr>
              <w:tc>
                <w:tcPr>
                  <w:tcW w:w="0" w:type="auto"/>
                  <w:vMerge w:val="continue"/>
                  <w:tcBorders>
                    <w:left w:val="single" w:color="auto" w:sz="12" w:space="0"/>
                  </w:tcBorders>
                  <w:vAlign w:val="center"/>
                </w:tcPr>
                <w:p w14:paraId="156E54D7">
                  <w:pPr>
                    <w:jc w:val="center"/>
                    <w:rPr>
                      <w:szCs w:val="21"/>
                    </w:rPr>
                  </w:pPr>
                </w:p>
              </w:tc>
              <w:tc>
                <w:tcPr>
                  <w:tcW w:w="2178" w:type="dxa"/>
                  <w:tcBorders>
                    <w:top w:val="single" w:color="auto" w:sz="4" w:space="0"/>
                    <w:bottom w:val="single" w:color="auto" w:sz="4" w:space="0"/>
                  </w:tcBorders>
                  <w:vAlign w:val="center"/>
                </w:tcPr>
                <w:p w14:paraId="44B984C9">
                  <w:pPr>
                    <w:jc w:val="center"/>
                    <w:rPr>
                      <w:szCs w:val="21"/>
                    </w:rPr>
                  </w:pPr>
                  <w:r>
                    <w:rPr>
                      <w:szCs w:val="21"/>
                    </w:rPr>
                    <w:t>3#西南侧厂界外1m</w:t>
                  </w:r>
                </w:p>
              </w:tc>
              <w:tc>
                <w:tcPr>
                  <w:tcW w:w="1201" w:type="dxa"/>
                  <w:vMerge w:val="continue"/>
                </w:tcPr>
                <w:p w14:paraId="1C27F434">
                  <w:pPr>
                    <w:jc w:val="center"/>
                    <w:rPr>
                      <w:szCs w:val="21"/>
                    </w:rPr>
                  </w:pPr>
                </w:p>
              </w:tc>
              <w:tc>
                <w:tcPr>
                  <w:tcW w:w="0" w:type="auto"/>
                  <w:tcBorders>
                    <w:top w:val="single" w:color="auto" w:sz="4" w:space="0"/>
                    <w:bottom w:val="single" w:color="auto" w:sz="4" w:space="0"/>
                    <w:right w:val="single" w:color="auto" w:sz="4" w:space="0"/>
                  </w:tcBorders>
                  <w:vAlign w:val="center"/>
                </w:tcPr>
                <w:p w14:paraId="43D038EB">
                  <w:pPr>
                    <w:jc w:val="center"/>
                    <w:rPr>
                      <w:szCs w:val="21"/>
                    </w:rPr>
                  </w:pPr>
                  <w:r>
                    <w:rPr>
                      <w:szCs w:val="21"/>
                    </w:rPr>
                    <w:t>50</w:t>
                  </w:r>
                </w:p>
              </w:tc>
              <w:tc>
                <w:tcPr>
                  <w:tcW w:w="0" w:type="auto"/>
                  <w:tcBorders>
                    <w:top w:val="single" w:color="auto" w:sz="4" w:space="0"/>
                    <w:left w:val="single" w:color="auto" w:sz="4" w:space="0"/>
                    <w:bottom w:val="single" w:color="auto" w:sz="4" w:space="0"/>
                  </w:tcBorders>
                  <w:vAlign w:val="center"/>
                </w:tcPr>
                <w:p w14:paraId="26247AE5">
                  <w:pPr>
                    <w:jc w:val="center"/>
                    <w:rPr>
                      <w:szCs w:val="21"/>
                    </w:rPr>
                  </w:pPr>
                  <w:r>
                    <w:rPr>
                      <w:szCs w:val="21"/>
                    </w:rPr>
                    <w:t>/</w:t>
                  </w:r>
                </w:p>
              </w:tc>
              <w:tc>
                <w:tcPr>
                  <w:tcW w:w="1311" w:type="dxa"/>
                  <w:vMerge w:val="continue"/>
                  <w:tcBorders>
                    <w:right w:val="single" w:color="auto" w:sz="4" w:space="0"/>
                  </w:tcBorders>
                  <w:vAlign w:val="center"/>
                </w:tcPr>
                <w:p w14:paraId="608B6FC4">
                  <w:pPr>
                    <w:jc w:val="center"/>
                    <w:rPr>
                      <w:bCs/>
                      <w:szCs w:val="21"/>
                    </w:rPr>
                  </w:pPr>
                </w:p>
              </w:tc>
              <w:tc>
                <w:tcPr>
                  <w:tcW w:w="657" w:type="dxa"/>
                  <w:tcBorders>
                    <w:top w:val="single" w:color="auto" w:sz="4" w:space="0"/>
                    <w:left w:val="single" w:color="auto" w:sz="4" w:space="0"/>
                    <w:bottom w:val="single" w:color="auto" w:sz="4" w:space="0"/>
                    <w:right w:val="single" w:color="auto" w:sz="12" w:space="0"/>
                  </w:tcBorders>
                  <w:vAlign w:val="center"/>
                </w:tcPr>
                <w:p w14:paraId="604BA478">
                  <w:pPr>
                    <w:jc w:val="center"/>
                    <w:rPr>
                      <w:bCs/>
                      <w:szCs w:val="21"/>
                    </w:rPr>
                  </w:pPr>
                  <w:r>
                    <w:rPr>
                      <w:bCs/>
                      <w:szCs w:val="21"/>
                    </w:rPr>
                    <w:t>达标</w:t>
                  </w:r>
                </w:p>
              </w:tc>
            </w:tr>
            <w:tr w14:paraId="37C7A1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54" w:hRule="atLeast"/>
                <w:jc w:val="center"/>
              </w:trPr>
              <w:tc>
                <w:tcPr>
                  <w:tcW w:w="0" w:type="auto"/>
                  <w:vMerge w:val="continue"/>
                  <w:tcBorders>
                    <w:left w:val="single" w:color="auto" w:sz="12" w:space="0"/>
                    <w:bottom w:val="single" w:color="auto" w:sz="12" w:space="0"/>
                  </w:tcBorders>
                  <w:vAlign w:val="center"/>
                </w:tcPr>
                <w:p w14:paraId="586978DE">
                  <w:pPr>
                    <w:jc w:val="center"/>
                    <w:rPr>
                      <w:szCs w:val="21"/>
                    </w:rPr>
                  </w:pPr>
                </w:p>
              </w:tc>
              <w:tc>
                <w:tcPr>
                  <w:tcW w:w="2178" w:type="dxa"/>
                  <w:tcBorders>
                    <w:top w:val="single" w:color="auto" w:sz="4" w:space="0"/>
                    <w:bottom w:val="single" w:color="auto" w:sz="12" w:space="0"/>
                  </w:tcBorders>
                  <w:vAlign w:val="center"/>
                </w:tcPr>
                <w:p w14:paraId="614EB1EA">
                  <w:pPr>
                    <w:jc w:val="center"/>
                    <w:rPr>
                      <w:szCs w:val="21"/>
                    </w:rPr>
                  </w:pPr>
                  <w:r>
                    <w:rPr>
                      <w:szCs w:val="21"/>
                    </w:rPr>
                    <w:t>4#西北侧厂界外1m</w:t>
                  </w:r>
                </w:p>
              </w:tc>
              <w:tc>
                <w:tcPr>
                  <w:tcW w:w="1201" w:type="dxa"/>
                  <w:vMerge w:val="continue"/>
                  <w:tcBorders>
                    <w:bottom w:val="single" w:color="auto" w:sz="12" w:space="0"/>
                  </w:tcBorders>
                </w:tcPr>
                <w:p w14:paraId="230C52F9">
                  <w:pPr>
                    <w:jc w:val="center"/>
                    <w:rPr>
                      <w:szCs w:val="21"/>
                    </w:rPr>
                  </w:pPr>
                </w:p>
              </w:tc>
              <w:tc>
                <w:tcPr>
                  <w:tcW w:w="0" w:type="auto"/>
                  <w:tcBorders>
                    <w:top w:val="single" w:color="auto" w:sz="4" w:space="0"/>
                    <w:bottom w:val="single" w:color="auto" w:sz="12" w:space="0"/>
                    <w:right w:val="single" w:color="auto" w:sz="4" w:space="0"/>
                  </w:tcBorders>
                  <w:vAlign w:val="center"/>
                </w:tcPr>
                <w:p w14:paraId="2AD7E2B1">
                  <w:pPr>
                    <w:jc w:val="center"/>
                    <w:rPr>
                      <w:szCs w:val="21"/>
                    </w:rPr>
                  </w:pPr>
                  <w:r>
                    <w:rPr>
                      <w:szCs w:val="21"/>
                    </w:rPr>
                    <w:t>55</w:t>
                  </w:r>
                </w:p>
              </w:tc>
              <w:tc>
                <w:tcPr>
                  <w:tcW w:w="0" w:type="auto"/>
                  <w:tcBorders>
                    <w:top w:val="single" w:color="auto" w:sz="4" w:space="0"/>
                    <w:left w:val="single" w:color="auto" w:sz="4" w:space="0"/>
                    <w:bottom w:val="single" w:color="auto" w:sz="12" w:space="0"/>
                  </w:tcBorders>
                  <w:vAlign w:val="center"/>
                </w:tcPr>
                <w:p w14:paraId="372057AC">
                  <w:pPr>
                    <w:jc w:val="center"/>
                    <w:rPr>
                      <w:szCs w:val="21"/>
                    </w:rPr>
                  </w:pPr>
                  <w:r>
                    <w:rPr>
                      <w:szCs w:val="21"/>
                    </w:rPr>
                    <w:t>/</w:t>
                  </w:r>
                </w:p>
              </w:tc>
              <w:tc>
                <w:tcPr>
                  <w:tcW w:w="1311" w:type="dxa"/>
                  <w:vMerge w:val="continue"/>
                  <w:tcBorders>
                    <w:bottom w:val="single" w:color="auto" w:sz="12" w:space="0"/>
                    <w:right w:val="single" w:color="auto" w:sz="4" w:space="0"/>
                  </w:tcBorders>
                  <w:vAlign w:val="center"/>
                </w:tcPr>
                <w:p w14:paraId="6ED0443D">
                  <w:pPr>
                    <w:jc w:val="center"/>
                    <w:rPr>
                      <w:bCs/>
                      <w:szCs w:val="21"/>
                    </w:rPr>
                  </w:pPr>
                </w:p>
              </w:tc>
              <w:tc>
                <w:tcPr>
                  <w:tcW w:w="657" w:type="dxa"/>
                  <w:tcBorders>
                    <w:top w:val="single" w:color="auto" w:sz="4" w:space="0"/>
                    <w:left w:val="single" w:color="auto" w:sz="4" w:space="0"/>
                    <w:bottom w:val="single" w:color="auto" w:sz="12" w:space="0"/>
                    <w:right w:val="single" w:color="auto" w:sz="12" w:space="0"/>
                  </w:tcBorders>
                  <w:vAlign w:val="center"/>
                </w:tcPr>
                <w:p w14:paraId="46D6C16F">
                  <w:pPr>
                    <w:jc w:val="center"/>
                    <w:rPr>
                      <w:bCs/>
                      <w:szCs w:val="21"/>
                    </w:rPr>
                  </w:pPr>
                  <w:r>
                    <w:rPr>
                      <w:bCs/>
                      <w:szCs w:val="21"/>
                    </w:rPr>
                    <w:t>达标</w:t>
                  </w:r>
                </w:p>
              </w:tc>
            </w:tr>
          </w:tbl>
          <w:p w14:paraId="6F8361EB">
            <w:pPr>
              <w:spacing w:line="360" w:lineRule="auto"/>
              <w:ind w:firstLine="480" w:firstLineChars="200"/>
              <w:rPr>
                <w:b/>
                <w:sz w:val="24"/>
              </w:rPr>
            </w:pPr>
            <w:r>
              <w:rPr>
                <w:b/>
                <w:sz w:val="24"/>
              </w:rPr>
              <w:t>5</w:t>
            </w:r>
            <w:r>
              <w:rPr>
                <w:rFonts w:hint="eastAsia"/>
                <w:b/>
                <w:sz w:val="24"/>
              </w:rPr>
              <w:t>．评价结果</w:t>
            </w:r>
          </w:p>
          <w:p w14:paraId="1E50727A">
            <w:pPr>
              <w:spacing w:line="360" w:lineRule="auto"/>
              <w:ind w:firstLine="480" w:firstLineChars="200"/>
              <w:rPr>
                <w:bCs/>
                <w:sz w:val="24"/>
              </w:rPr>
            </w:pPr>
            <w:r>
              <w:rPr>
                <w:rFonts w:hint="eastAsia"/>
                <w:bCs/>
                <w:sz w:val="24"/>
              </w:rPr>
              <w:t>从上述监测结果可以看出：项目厂界工业企业厂界环境噪声检测结果符合《工业企业厂界环境噪声排放标准》（GB12348-2008）2类标准限值，项目声环境质量状况良好。</w:t>
            </w:r>
          </w:p>
        </w:tc>
      </w:tr>
      <w:tr w14:paraId="28AB044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7" w:type="dxa"/>
            <w:bottom w:w="0" w:type="dxa"/>
            <w:right w:w="57" w:type="dxa"/>
          </w:tblCellMar>
        </w:tblPrEx>
        <w:trPr>
          <w:trHeight w:val="64" w:hRule="atLeast"/>
          <w:jc w:val="center"/>
        </w:trPr>
        <w:tc>
          <w:tcPr>
            <w:tcW w:w="8426" w:type="dxa"/>
            <w:tcBorders>
              <w:bottom w:val="single" w:color="auto" w:sz="4" w:space="0"/>
            </w:tcBorders>
          </w:tcPr>
          <w:p w14:paraId="520CE639">
            <w:pPr>
              <w:spacing w:line="360" w:lineRule="auto"/>
              <w:rPr>
                <w:b/>
                <w:bCs/>
                <w:sz w:val="28"/>
                <w:szCs w:val="28"/>
              </w:rPr>
            </w:pPr>
            <w:r>
              <w:rPr>
                <w:rFonts w:hint="eastAsia"/>
                <w:b/>
                <w:bCs/>
                <w:sz w:val="28"/>
                <w:szCs w:val="28"/>
              </w:rPr>
              <w:t>主要环境保护目标（列出名单及保护级别）</w:t>
            </w:r>
          </w:p>
          <w:p w14:paraId="53E8FEAF">
            <w:pPr>
              <w:spacing w:line="360" w:lineRule="auto"/>
              <w:ind w:firstLine="480" w:firstLineChars="200"/>
              <w:rPr>
                <w:sz w:val="24"/>
              </w:rPr>
            </w:pPr>
            <w:r>
              <w:rPr>
                <w:rFonts w:hint="eastAsia"/>
                <w:sz w:val="24"/>
              </w:rPr>
              <w:t>本项目选址位于</w:t>
            </w:r>
            <w:r>
              <w:rPr>
                <w:rFonts w:hint="eastAsia"/>
                <w:bCs/>
                <w:sz w:val="24"/>
              </w:rPr>
              <w:t>峨边彝族自治县平等乡观慈村三组（中心坐标东经：</w:t>
            </w:r>
            <w:r>
              <w:rPr>
                <w:bCs/>
                <w:sz w:val="24"/>
              </w:rPr>
              <w:t>103.5304°</w:t>
            </w:r>
            <w:r>
              <w:rPr>
                <w:rFonts w:hint="eastAsia"/>
                <w:bCs/>
                <w:sz w:val="24"/>
              </w:rPr>
              <w:t>，北纬：</w:t>
            </w:r>
            <w:r>
              <w:rPr>
                <w:bCs/>
                <w:sz w:val="24"/>
              </w:rPr>
              <w:t>29.1505°</w:t>
            </w:r>
            <w:r>
              <w:rPr>
                <w:rFonts w:hint="eastAsia"/>
                <w:bCs/>
                <w:sz w:val="24"/>
              </w:rPr>
              <w:t>）。区域属于建设用地</w:t>
            </w:r>
            <w:r>
              <w:rPr>
                <w:rFonts w:hint="eastAsia"/>
                <w:sz w:val="24"/>
              </w:rPr>
              <w:t>，</w:t>
            </w:r>
            <w:r>
              <w:rPr>
                <w:rFonts w:hint="eastAsia"/>
                <w:bCs/>
                <w:sz w:val="24"/>
              </w:rPr>
              <w:t>项目所在地周边道路较完善，水、电、通讯均能满足本工程的需要。</w:t>
            </w:r>
          </w:p>
          <w:p w14:paraId="4E6965C4">
            <w:pPr>
              <w:spacing w:line="360" w:lineRule="auto"/>
              <w:ind w:firstLine="470" w:firstLineChars="196"/>
              <w:rPr>
                <w:bCs/>
                <w:sz w:val="24"/>
              </w:rPr>
            </w:pPr>
            <w:r>
              <w:rPr>
                <w:rFonts w:hint="eastAsia"/>
                <w:sz w:val="24"/>
              </w:rPr>
              <w:t>根据现场勘查，</w:t>
            </w:r>
            <w:r>
              <w:rPr>
                <w:rFonts w:hint="eastAsia"/>
                <w:bCs/>
                <w:sz w:val="24"/>
              </w:rPr>
              <w:t>项目外环境关系简单，除项目西南侧距离厂界约35m为</w:t>
            </w:r>
            <w:r>
              <w:rPr>
                <w:rFonts w:hint="eastAsia"/>
                <w:bCs/>
                <w:sz w:val="24"/>
                <w:lang w:eastAsia="zh-CN"/>
              </w:rPr>
              <w:t>自有住房</w:t>
            </w:r>
            <w:r>
              <w:rPr>
                <w:rFonts w:hint="eastAsia"/>
                <w:bCs/>
                <w:sz w:val="24"/>
              </w:rPr>
              <w:t>外，周边皆为林地，周边皆为林地，项目临近公路，周边无特殊敏感点。</w:t>
            </w:r>
          </w:p>
          <w:p w14:paraId="06E61930">
            <w:pPr>
              <w:spacing w:line="360" w:lineRule="auto"/>
              <w:ind w:firstLine="480" w:firstLineChars="200"/>
              <w:rPr>
                <w:sz w:val="24"/>
              </w:rPr>
            </w:pPr>
            <w:r>
              <w:rPr>
                <w:rFonts w:hint="eastAsia"/>
                <w:sz w:val="24"/>
              </w:rPr>
              <w:t>根据项目特点和外环境特征确定保护目标及保护级别为：</w:t>
            </w:r>
          </w:p>
          <w:p w14:paraId="4460F0C6">
            <w:pPr>
              <w:autoSpaceDE w:val="0"/>
              <w:autoSpaceDN w:val="0"/>
              <w:adjustRightInd w:val="0"/>
              <w:spacing w:line="360" w:lineRule="auto"/>
              <w:ind w:firstLine="480" w:firstLineChars="200"/>
              <w:jc w:val="left"/>
              <w:rPr>
                <w:bCs/>
                <w:sz w:val="24"/>
              </w:rPr>
            </w:pPr>
            <w:r>
              <w:rPr>
                <w:rFonts w:hint="eastAsia"/>
                <w:b/>
                <w:bCs/>
                <w:sz w:val="24"/>
              </w:rPr>
              <w:t>环境空气</w:t>
            </w:r>
            <w:r>
              <w:rPr>
                <w:rFonts w:hint="eastAsia"/>
                <w:bCs/>
                <w:sz w:val="24"/>
              </w:rPr>
              <w:t>：《环境空气质量标准》（</w:t>
            </w:r>
            <w:r>
              <w:rPr>
                <w:bCs/>
                <w:sz w:val="24"/>
              </w:rPr>
              <w:t>GB3095-2012</w:t>
            </w:r>
            <w:r>
              <w:rPr>
                <w:rFonts w:hint="eastAsia"/>
                <w:bCs/>
                <w:sz w:val="24"/>
              </w:rPr>
              <w:t>）二级标准要求；</w:t>
            </w:r>
          </w:p>
          <w:p w14:paraId="5601A775">
            <w:pPr>
              <w:autoSpaceDE w:val="0"/>
              <w:autoSpaceDN w:val="0"/>
              <w:adjustRightInd w:val="0"/>
              <w:spacing w:line="360" w:lineRule="auto"/>
              <w:ind w:firstLine="480" w:firstLineChars="200"/>
              <w:jc w:val="left"/>
              <w:rPr>
                <w:bCs/>
                <w:sz w:val="24"/>
              </w:rPr>
            </w:pPr>
            <w:r>
              <w:rPr>
                <w:rFonts w:hint="eastAsia"/>
                <w:b/>
                <w:bCs/>
                <w:sz w:val="24"/>
              </w:rPr>
              <w:t>声环境</w:t>
            </w:r>
            <w:r>
              <w:rPr>
                <w:rFonts w:hint="eastAsia"/>
                <w:bCs/>
                <w:sz w:val="24"/>
              </w:rPr>
              <w:t>：《声环境质量标准》（</w:t>
            </w:r>
            <w:r>
              <w:rPr>
                <w:bCs/>
                <w:sz w:val="24"/>
              </w:rPr>
              <w:t>GB3096-2008</w:t>
            </w:r>
            <w:r>
              <w:rPr>
                <w:rFonts w:hint="eastAsia"/>
                <w:bCs/>
                <w:sz w:val="24"/>
              </w:rPr>
              <w:t>）规定的</w:t>
            </w:r>
            <w:r>
              <w:rPr>
                <w:bCs/>
                <w:sz w:val="24"/>
              </w:rPr>
              <w:t>2</w:t>
            </w:r>
            <w:r>
              <w:rPr>
                <w:rFonts w:hint="eastAsia"/>
                <w:bCs/>
                <w:sz w:val="24"/>
              </w:rPr>
              <w:t>类标准要求；</w:t>
            </w:r>
          </w:p>
          <w:p w14:paraId="188210F1">
            <w:pPr>
              <w:autoSpaceDE w:val="0"/>
              <w:autoSpaceDN w:val="0"/>
              <w:adjustRightInd w:val="0"/>
              <w:spacing w:line="360" w:lineRule="auto"/>
              <w:ind w:firstLine="480" w:firstLineChars="200"/>
              <w:jc w:val="left"/>
              <w:rPr>
                <w:bCs/>
                <w:sz w:val="24"/>
              </w:rPr>
            </w:pPr>
            <w:r>
              <w:rPr>
                <w:rFonts w:hint="eastAsia"/>
                <w:b/>
                <w:bCs/>
                <w:sz w:val="24"/>
              </w:rPr>
              <w:t>地表水环境：</w:t>
            </w:r>
            <w:r>
              <w:rPr>
                <w:rFonts w:hint="eastAsia"/>
                <w:bCs/>
                <w:sz w:val="24"/>
              </w:rPr>
              <w:t>目标水质为《地表水环境质量标准》（</w:t>
            </w:r>
            <w:r>
              <w:rPr>
                <w:bCs/>
                <w:sz w:val="24"/>
              </w:rPr>
              <w:t>GB3838-2002</w:t>
            </w:r>
            <w:r>
              <w:rPr>
                <w:rFonts w:hint="eastAsia"/>
                <w:bCs/>
                <w:sz w:val="24"/>
              </w:rPr>
              <w:t>）中</w:t>
            </w:r>
            <w:r>
              <w:rPr>
                <w:rFonts w:hint="eastAsia" w:ascii="宋体" w:hAnsi="宋体" w:cs="宋体"/>
                <w:bCs/>
                <w:sz w:val="24"/>
              </w:rPr>
              <w:t>Ⅲ</w:t>
            </w:r>
            <w:r>
              <w:rPr>
                <w:rFonts w:hint="eastAsia"/>
                <w:bCs/>
                <w:sz w:val="24"/>
              </w:rPr>
              <w:t>类水域，本项目保护目标为大渡河地表水水质和水体功能不因本项目的建设而降低；</w:t>
            </w:r>
          </w:p>
          <w:p w14:paraId="50D0B46F">
            <w:pPr>
              <w:autoSpaceDE w:val="0"/>
              <w:autoSpaceDN w:val="0"/>
              <w:adjustRightInd w:val="0"/>
              <w:spacing w:line="360" w:lineRule="auto"/>
              <w:ind w:firstLine="480" w:firstLineChars="200"/>
              <w:jc w:val="left"/>
              <w:rPr>
                <w:kern w:val="0"/>
                <w:sz w:val="24"/>
              </w:rPr>
            </w:pPr>
            <w:r>
              <w:rPr>
                <w:rFonts w:hint="eastAsia"/>
                <w:b/>
                <w:bCs/>
                <w:sz w:val="24"/>
              </w:rPr>
              <w:t>固体废物：</w:t>
            </w:r>
            <w:r>
              <w:rPr>
                <w:rFonts w:hint="eastAsia"/>
                <w:bCs/>
                <w:sz w:val="24"/>
              </w:rPr>
              <w:t>项目施工期和营运期产生的固体废物得到妥善处置，不造成二次污染。</w:t>
            </w:r>
            <w:r>
              <w:rPr>
                <w:rFonts w:hint="eastAsia"/>
                <w:kern w:val="0"/>
                <w:sz w:val="24"/>
              </w:rPr>
              <w:t>项目具体环境保护目标见表</w:t>
            </w:r>
            <w:r>
              <w:rPr>
                <w:kern w:val="0"/>
                <w:sz w:val="24"/>
              </w:rPr>
              <w:t>3-5</w:t>
            </w:r>
            <w:r>
              <w:rPr>
                <w:rFonts w:hint="eastAsia"/>
                <w:kern w:val="0"/>
                <w:sz w:val="24"/>
              </w:rPr>
              <w:t>。</w:t>
            </w:r>
          </w:p>
          <w:p w14:paraId="71A6D9B7">
            <w:pPr>
              <w:pBdr>
                <w:left w:val="single" w:color="auto" w:sz="12" w:space="4"/>
                <w:right w:val="single" w:color="auto" w:sz="12" w:space="4"/>
              </w:pBdr>
              <w:spacing w:before="156" w:beforeLines="50" w:after="156" w:afterLines="50" w:line="360" w:lineRule="auto"/>
              <w:jc w:val="center"/>
              <w:rPr>
                <w:rFonts w:ascii="黑体" w:hAnsi="黑体" w:eastAsia="黑体"/>
                <w:bCs/>
                <w:sz w:val="24"/>
              </w:rPr>
            </w:pPr>
            <w:r>
              <w:rPr>
                <w:rFonts w:hint="eastAsia" w:ascii="黑体" w:hAnsi="黑体" w:eastAsia="黑体"/>
                <w:bCs/>
                <w:sz w:val="24"/>
              </w:rPr>
              <w:t>表</w:t>
            </w:r>
            <w:r>
              <w:rPr>
                <w:rFonts w:ascii="黑体" w:hAnsi="黑体" w:eastAsia="黑体"/>
                <w:bCs/>
                <w:sz w:val="24"/>
              </w:rPr>
              <w:t xml:space="preserve">3-5  </w:t>
            </w:r>
            <w:r>
              <w:rPr>
                <w:rFonts w:hint="eastAsia" w:ascii="黑体" w:hAnsi="黑体" w:eastAsia="黑体"/>
                <w:bCs/>
                <w:sz w:val="24"/>
              </w:rPr>
              <w:t>项目具体环境保护目标及级别表</w:t>
            </w:r>
          </w:p>
          <w:tbl>
            <w:tblPr>
              <w:tblStyle w:val="25"/>
              <w:tblW w:w="828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0" w:type="dxa"/>
                <w:bottom w:w="0" w:type="dxa"/>
                <w:right w:w="0" w:type="dxa"/>
              </w:tblCellMar>
            </w:tblPr>
            <w:tblGrid>
              <w:gridCol w:w="914"/>
              <w:gridCol w:w="1135"/>
              <w:gridCol w:w="762"/>
              <w:gridCol w:w="1095"/>
              <w:gridCol w:w="1140"/>
              <w:gridCol w:w="833"/>
              <w:gridCol w:w="2403"/>
            </w:tblGrid>
            <w:tr w14:paraId="0A85F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43" w:hRule="atLeast"/>
                <w:jc w:val="center"/>
              </w:trPr>
              <w:tc>
                <w:tcPr>
                  <w:tcW w:w="914" w:type="dxa"/>
                  <w:tcBorders>
                    <w:top w:val="single" w:color="auto" w:sz="12" w:space="0"/>
                    <w:left w:val="single" w:color="auto" w:sz="12" w:space="0"/>
                    <w:bottom w:val="single" w:color="auto" w:sz="6" w:space="0"/>
                    <w:right w:val="single" w:color="auto" w:sz="6" w:space="0"/>
                  </w:tcBorders>
                  <w:vAlign w:val="center"/>
                </w:tcPr>
                <w:p w14:paraId="28FB480E">
                  <w:pPr>
                    <w:pBdr>
                      <w:left w:val="single" w:color="auto" w:sz="12" w:space="4"/>
                      <w:right w:val="single" w:color="auto" w:sz="12" w:space="4"/>
                    </w:pBdr>
                    <w:jc w:val="center"/>
                    <w:rPr>
                      <w:bCs/>
                      <w:szCs w:val="21"/>
                    </w:rPr>
                  </w:pPr>
                  <w:bookmarkStart w:id="1" w:name="_Hlk6818423"/>
                  <w:r>
                    <w:rPr>
                      <w:rFonts w:hint="eastAsia"/>
                      <w:bCs/>
                      <w:szCs w:val="21"/>
                    </w:rPr>
                    <w:t>环境要素</w:t>
                  </w:r>
                </w:p>
              </w:tc>
              <w:tc>
                <w:tcPr>
                  <w:tcW w:w="1135" w:type="dxa"/>
                  <w:tcBorders>
                    <w:top w:val="single" w:color="auto" w:sz="12" w:space="0"/>
                    <w:left w:val="single" w:color="auto" w:sz="6" w:space="0"/>
                    <w:bottom w:val="single" w:color="auto" w:sz="6" w:space="0"/>
                    <w:right w:val="single" w:color="auto" w:sz="6" w:space="0"/>
                  </w:tcBorders>
                  <w:vAlign w:val="center"/>
                </w:tcPr>
                <w:p w14:paraId="4B07FD41">
                  <w:pPr>
                    <w:pBdr>
                      <w:left w:val="single" w:color="auto" w:sz="12" w:space="4"/>
                      <w:right w:val="single" w:color="auto" w:sz="12" w:space="4"/>
                    </w:pBdr>
                    <w:jc w:val="center"/>
                    <w:rPr>
                      <w:bCs/>
                      <w:szCs w:val="21"/>
                    </w:rPr>
                  </w:pPr>
                  <w:r>
                    <w:rPr>
                      <w:rFonts w:hint="eastAsia"/>
                      <w:bCs/>
                      <w:szCs w:val="21"/>
                    </w:rPr>
                    <w:t>环境保护对象名称</w:t>
                  </w:r>
                </w:p>
              </w:tc>
              <w:tc>
                <w:tcPr>
                  <w:tcW w:w="762" w:type="dxa"/>
                  <w:tcBorders>
                    <w:top w:val="single" w:color="auto" w:sz="12" w:space="0"/>
                    <w:left w:val="single" w:color="auto" w:sz="6" w:space="0"/>
                    <w:bottom w:val="single" w:color="auto" w:sz="6" w:space="0"/>
                    <w:right w:val="single" w:color="auto" w:sz="6" w:space="0"/>
                  </w:tcBorders>
                  <w:vAlign w:val="center"/>
                </w:tcPr>
                <w:p w14:paraId="0C8B7AFC">
                  <w:pPr>
                    <w:pBdr>
                      <w:left w:val="single" w:color="auto" w:sz="12" w:space="4"/>
                      <w:right w:val="single" w:color="auto" w:sz="12" w:space="4"/>
                    </w:pBdr>
                    <w:jc w:val="center"/>
                    <w:rPr>
                      <w:bCs/>
                      <w:szCs w:val="21"/>
                    </w:rPr>
                  </w:pPr>
                  <w:r>
                    <w:rPr>
                      <w:rFonts w:hint="eastAsia"/>
                      <w:bCs/>
                      <w:szCs w:val="21"/>
                    </w:rPr>
                    <w:t>方位</w:t>
                  </w:r>
                </w:p>
              </w:tc>
              <w:tc>
                <w:tcPr>
                  <w:tcW w:w="1095" w:type="dxa"/>
                  <w:tcBorders>
                    <w:top w:val="single" w:color="auto" w:sz="12" w:space="0"/>
                    <w:left w:val="single" w:color="auto" w:sz="6" w:space="0"/>
                    <w:bottom w:val="single" w:color="auto" w:sz="6" w:space="0"/>
                    <w:right w:val="single" w:color="auto" w:sz="6" w:space="0"/>
                  </w:tcBorders>
                  <w:vAlign w:val="center"/>
                </w:tcPr>
                <w:p w14:paraId="5DF9DD40">
                  <w:pPr>
                    <w:pBdr>
                      <w:left w:val="single" w:color="auto" w:sz="12" w:space="4"/>
                      <w:right w:val="single" w:color="auto" w:sz="12" w:space="4"/>
                    </w:pBdr>
                    <w:jc w:val="center"/>
                    <w:rPr>
                      <w:bCs/>
                      <w:szCs w:val="21"/>
                    </w:rPr>
                  </w:pPr>
                  <w:r>
                    <w:rPr>
                      <w:rFonts w:hint="eastAsia"/>
                      <w:bCs/>
                      <w:szCs w:val="21"/>
                    </w:rPr>
                    <w:t>高差</w:t>
                  </w:r>
                </w:p>
              </w:tc>
              <w:tc>
                <w:tcPr>
                  <w:tcW w:w="1140" w:type="dxa"/>
                  <w:tcBorders>
                    <w:top w:val="single" w:color="auto" w:sz="12" w:space="0"/>
                    <w:left w:val="single" w:color="auto" w:sz="6" w:space="0"/>
                    <w:bottom w:val="single" w:color="auto" w:sz="6" w:space="0"/>
                    <w:right w:val="single" w:color="auto" w:sz="6" w:space="0"/>
                  </w:tcBorders>
                  <w:vAlign w:val="center"/>
                </w:tcPr>
                <w:p w14:paraId="55A9D9EF">
                  <w:pPr>
                    <w:pBdr>
                      <w:left w:val="single" w:color="auto" w:sz="12" w:space="4"/>
                      <w:right w:val="single" w:color="auto" w:sz="12" w:space="4"/>
                    </w:pBdr>
                    <w:jc w:val="center"/>
                    <w:rPr>
                      <w:bCs/>
                      <w:szCs w:val="21"/>
                    </w:rPr>
                  </w:pPr>
                  <w:r>
                    <w:rPr>
                      <w:rFonts w:hint="eastAsia"/>
                      <w:bCs/>
                      <w:szCs w:val="21"/>
                    </w:rPr>
                    <w:t>距离</w:t>
                  </w:r>
                </w:p>
              </w:tc>
              <w:tc>
                <w:tcPr>
                  <w:tcW w:w="833" w:type="dxa"/>
                  <w:tcBorders>
                    <w:top w:val="single" w:color="auto" w:sz="12" w:space="0"/>
                    <w:left w:val="single" w:color="auto" w:sz="6" w:space="0"/>
                    <w:bottom w:val="single" w:color="auto" w:sz="6" w:space="0"/>
                    <w:right w:val="single" w:color="auto" w:sz="6" w:space="0"/>
                  </w:tcBorders>
                  <w:vAlign w:val="center"/>
                </w:tcPr>
                <w:p w14:paraId="701A7F10">
                  <w:pPr>
                    <w:pBdr>
                      <w:left w:val="single" w:color="auto" w:sz="12" w:space="4"/>
                      <w:right w:val="single" w:color="auto" w:sz="12" w:space="4"/>
                    </w:pBdr>
                    <w:jc w:val="center"/>
                    <w:rPr>
                      <w:bCs/>
                      <w:szCs w:val="21"/>
                    </w:rPr>
                  </w:pPr>
                  <w:r>
                    <w:rPr>
                      <w:rFonts w:hint="eastAsia"/>
                      <w:bCs/>
                      <w:szCs w:val="21"/>
                    </w:rPr>
                    <w:t>规模及性质</w:t>
                  </w:r>
                </w:p>
              </w:tc>
              <w:tc>
                <w:tcPr>
                  <w:tcW w:w="2403" w:type="dxa"/>
                  <w:tcBorders>
                    <w:top w:val="single" w:color="auto" w:sz="12" w:space="0"/>
                    <w:left w:val="single" w:color="auto" w:sz="6" w:space="0"/>
                    <w:bottom w:val="single" w:color="auto" w:sz="6" w:space="0"/>
                    <w:right w:val="single" w:color="auto" w:sz="12" w:space="0"/>
                  </w:tcBorders>
                  <w:vAlign w:val="center"/>
                </w:tcPr>
                <w:p w14:paraId="43896F77">
                  <w:pPr>
                    <w:pBdr>
                      <w:left w:val="single" w:color="auto" w:sz="12" w:space="4"/>
                      <w:right w:val="single" w:color="auto" w:sz="12" w:space="4"/>
                    </w:pBdr>
                    <w:jc w:val="center"/>
                    <w:rPr>
                      <w:bCs/>
                      <w:szCs w:val="21"/>
                    </w:rPr>
                  </w:pPr>
                  <w:r>
                    <w:rPr>
                      <w:rFonts w:hint="eastAsia"/>
                      <w:bCs/>
                      <w:szCs w:val="21"/>
                    </w:rPr>
                    <w:t>环境保护级别</w:t>
                  </w:r>
                </w:p>
              </w:tc>
            </w:tr>
            <w:tr w14:paraId="2D5E80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1074" w:hRule="atLeast"/>
                <w:jc w:val="center"/>
              </w:trPr>
              <w:tc>
                <w:tcPr>
                  <w:tcW w:w="914" w:type="dxa"/>
                  <w:tcBorders>
                    <w:top w:val="single" w:color="auto" w:sz="6" w:space="0"/>
                    <w:left w:val="single" w:color="auto" w:sz="12" w:space="0"/>
                    <w:bottom w:val="single" w:color="auto" w:sz="6" w:space="0"/>
                    <w:right w:val="single" w:color="auto" w:sz="6" w:space="0"/>
                  </w:tcBorders>
                  <w:vAlign w:val="center"/>
                </w:tcPr>
                <w:p w14:paraId="512FC80A">
                  <w:pPr>
                    <w:pBdr>
                      <w:left w:val="single" w:color="auto" w:sz="12" w:space="4"/>
                      <w:right w:val="single" w:color="auto" w:sz="12" w:space="4"/>
                    </w:pBdr>
                    <w:jc w:val="center"/>
                    <w:rPr>
                      <w:szCs w:val="21"/>
                    </w:rPr>
                  </w:pPr>
                  <w:bookmarkStart w:id="2" w:name="_Hlk325548942"/>
                  <w:r>
                    <w:rPr>
                      <w:rFonts w:hint="eastAsia"/>
                      <w:szCs w:val="21"/>
                    </w:rPr>
                    <w:t>环境空气、声环境</w:t>
                  </w:r>
                </w:p>
              </w:tc>
              <w:tc>
                <w:tcPr>
                  <w:tcW w:w="1135" w:type="dxa"/>
                  <w:tcBorders>
                    <w:top w:val="single" w:color="auto" w:sz="6" w:space="0"/>
                    <w:left w:val="single" w:color="auto" w:sz="6" w:space="0"/>
                    <w:bottom w:val="single" w:color="auto" w:sz="6" w:space="0"/>
                    <w:right w:val="single" w:color="auto" w:sz="6" w:space="0"/>
                  </w:tcBorders>
                  <w:vAlign w:val="center"/>
                </w:tcPr>
                <w:p w14:paraId="311A0751">
                  <w:pPr>
                    <w:pBdr>
                      <w:left w:val="single" w:color="auto" w:sz="12" w:space="4"/>
                      <w:right w:val="single" w:color="auto" w:sz="12" w:space="4"/>
                    </w:pBdr>
                    <w:jc w:val="center"/>
                    <w:rPr>
                      <w:szCs w:val="21"/>
                    </w:rPr>
                  </w:pPr>
                  <w:r>
                    <w:rPr>
                      <w:rFonts w:hint="eastAsia"/>
                      <w:szCs w:val="21"/>
                    </w:rPr>
                    <w:t>自有住房</w:t>
                  </w:r>
                </w:p>
              </w:tc>
              <w:tc>
                <w:tcPr>
                  <w:tcW w:w="762" w:type="dxa"/>
                  <w:tcBorders>
                    <w:top w:val="single" w:color="auto" w:sz="6" w:space="0"/>
                    <w:left w:val="single" w:color="auto" w:sz="6" w:space="0"/>
                    <w:bottom w:val="single" w:color="auto" w:sz="6" w:space="0"/>
                    <w:right w:val="single" w:color="auto" w:sz="6" w:space="0"/>
                  </w:tcBorders>
                  <w:vAlign w:val="center"/>
                </w:tcPr>
                <w:p w14:paraId="4E97868A">
                  <w:pPr>
                    <w:pBdr>
                      <w:left w:val="single" w:color="auto" w:sz="12" w:space="4"/>
                      <w:right w:val="single" w:color="auto" w:sz="12" w:space="4"/>
                    </w:pBdr>
                    <w:jc w:val="center"/>
                    <w:rPr>
                      <w:szCs w:val="21"/>
                    </w:rPr>
                  </w:pPr>
                  <w:r>
                    <w:rPr>
                      <w:rFonts w:hint="eastAsia"/>
                      <w:szCs w:val="21"/>
                    </w:rPr>
                    <w:t>西南</w:t>
                  </w:r>
                </w:p>
              </w:tc>
              <w:tc>
                <w:tcPr>
                  <w:tcW w:w="1095" w:type="dxa"/>
                  <w:tcBorders>
                    <w:top w:val="single" w:color="auto" w:sz="6" w:space="0"/>
                    <w:left w:val="single" w:color="auto" w:sz="6" w:space="0"/>
                    <w:bottom w:val="single" w:color="auto" w:sz="6" w:space="0"/>
                    <w:right w:val="single" w:color="auto" w:sz="6" w:space="0"/>
                  </w:tcBorders>
                  <w:vAlign w:val="center"/>
                </w:tcPr>
                <w:p w14:paraId="00D13AC9">
                  <w:pPr>
                    <w:pBdr>
                      <w:left w:val="single" w:color="auto" w:sz="12" w:space="4"/>
                      <w:right w:val="single" w:color="auto" w:sz="12" w:space="4"/>
                    </w:pBdr>
                    <w:jc w:val="center"/>
                    <w:rPr>
                      <w:szCs w:val="21"/>
                    </w:rPr>
                  </w:pPr>
                  <w:r>
                    <w:rPr>
                      <w:szCs w:val="21"/>
                    </w:rPr>
                    <w:t>+21m</w:t>
                  </w:r>
                </w:p>
              </w:tc>
              <w:tc>
                <w:tcPr>
                  <w:tcW w:w="1140" w:type="dxa"/>
                  <w:tcBorders>
                    <w:top w:val="single" w:color="auto" w:sz="6" w:space="0"/>
                    <w:left w:val="single" w:color="auto" w:sz="6" w:space="0"/>
                    <w:bottom w:val="single" w:color="auto" w:sz="6" w:space="0"/>
                    <w:right w:val="single" w:color="auto" w:sz="6" w:space="0"/>
                  </w:tcBorders>
                  <w:vAlign w:val="center"/>
                </w:tcPr>
                <w:p w14:paraId="75C8D043">
                  <w:pPr>
                    <w:pBdr>
                      <w:left w:val="single" w:color="auto" w:sz="12" w:space="4"/>
                      <w:right w:val="single" w:color="auto" w:sz="12" w:space="4"/>
                    </w:pBdr>
                    <w:jc w:val="center"/>
                    <w:rPr>
                      <w:szCs w:val="21"/>
                    </w:rPr>
                  </w:pPr>
                  <w:r>
                    <w:rPr>
                      <w:szCs w:val="21"/>
                    </w:rPr>
                    <w:t>35m</w:t>
                  </w:r>
                </w:p>
              </w:tc>
              <w:tc>
                <w:tcPr>
                  <w:tcW w:w="833" w:type="dxa"/>
                  <w:tcBorders>
                    <w:top w:val="single" w:color="auto" w:sz="6" w:space="0"/>
                    <w:left w:val="single" w:color="auto" w:sz="6" w:space="0"/>
                    <w:bottom w:val="single" w:color="auto" w:sz="6" w:space="0"/>
                    <w:right w:val="single" w:color="auto" w:sz="6" w:space="0"/>
                  </w:tcBorders>
                  <w:vAlign w:val="center"/>
                </w:tcPr>
                <w:p w14:paraId="33EA90BB">
                  <w:pPr>
                    <w:pBdr>
                      <w:left w:val="single" w:color="auto" w:sz="12" w:space="4"/>
                      <w:right w:val="single" w:color="auto" w:sz="12" w:space="4"/>
                    </w:pBdr>
                    <w:jc w:val="center"/>
                    <w:rPr>
                      <w:szCs w:val="21"/>
                    </w:rPr>
                  </w:pPr>
                  <w:r>
                    <w:rPr>
                      <w:rFonts w:hint="eastAsia"/>
                      <w:szCs w:val="21"/>
                    </w:rPr>
                    <w:t>1户，砖混结构</w:t>
                  </w:r>
                </w:p>
              </w:tc>
              <w:tc>
                <w:tcPr>
                  <w:tcW w:w="2403" w:type="dxa"/>
                  <w:tcBorders>
                    <w:top w:val="single" w:color="auto" w:sz="6" w:space="0"/>
                    <w:left w:val="single" w:color="auto" w:sz="6" w:space="0"/>
                    <w:bottom w:val="single" w:color="auto" w:sz="6" w:space="0"/>
                    <w:right w:val="single" w:color="auto" w:sz="12" w:space="0"/>
                  </w:tcBorders>
                  <w:vAlign w:val="center"/>
                </w:tcPr>
                <w:p w14:paraId="48BF14A6">
                  <w:pPr>
                    <w:pBdr>
                      <w:left w:val="single" w:color="auto" w:sz="12" w:space="4"/>
                      <w:right w:val="single" w:color="auto" w:sz="12" w:space="4"/>
                    </w:pBdr>
                    <w:jc w:val="center"/>
                    <w:rPr>
                      <w:szCs w:val="21"/>
                    </w:rPr>
                  </w:pPr>
                  <w:r>
                    <w:rPr>
                      <w:rFonts w:hint="eastAsia"/>
                      <w:szCs w:val="21"/>
                    </w:rPr>
                    <w:t>《环境空气质量标准》（</w:t>
                  </w:r>
                  <w:r>
                    <w:rPr>
                      <w:szCs w:val="21"/>
                    </w:rPr>
                    <w:t>GB3095-2012</w:t>
                  </w:r>
                  <w:r>
                    <w:rPr>
                      <w:rFonts w:hint="eastAsia"/>
                      <w:szCs w:val="21"/>
                    </w:rPr>
                    <w:t>）二级；</w:t>
                  </w:r>
                </w:p>
                <w:p w14:paraId="6587FF6A">
                  <w:pPr>
                    <w:pBdr>
                      <w:left w:val="single" w:color="auto" w:sz="12" w:space="4"/>
                      <w:right w:val="single" w:color="auto" w:sz="12" w:space="4"/>
                    </w:pBdr>
                    <w:jc w:val="center"/>
                    <w:rPr>
                      <w:szCs w:val="21"/>
                    </w:rPr>
                  </w:pPr>
                  <w:r>
                    <w:rPr>
                      <w:rFonts w:hint="eastAsia"/>
                      <w:szCs w:val="21"/>
                    </w:rPr>
                    <w:t>《声环境质量标准》（</w:t>
                  </w:r>
                  <w:r>
                    <w:rPr>
                      <w:szCs w:val="21"/>
                    </w:rPr>
                    <w:t>GB3096-2008</w:t>
                  </w:r>
                  <w:r>
                    <w:rPr>
                      <w:rFonts w:hint="eastAsia"/>
                      <w:szCs w:val="21"/>
                    </w:rPr>
                    <w:t>）</w:t>
                  </w:r>
                  <w:r>
                    <w:rPr>
                      <w:szCs w:val="21"/>
                    </w:rPr>
                    <w:t>2</w:t>
                  </w:r>
                  <w:r>
                    <w:rPr>
                      <w:rFonts w:hint="eastAsia"/>
                      <w:szCs w:val="21"/>
                    </w:rPr>
                    <w:t>类</w:t>
                  </w:r>
                </w:p>
              </w:tc>
            </w:tr>
            <w:bookmarkEnd w:id="2"/>
            <w:tr w14:paraId="3FB19F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43" w:hRule="atLeast"/>
                <w:jc w:val="center"/>
              </w:trPr>
              <w:tc>
                <w:tcPr>
                  <w:tcW w:w="914" w:type="dxa"/>
                  <w:tcBorders>
                    <w:top w:val="single" w:color="auto" w:sz="6" w:space="0"/>
                    <w:left w:val="single" w:color="auto" w:sz="12" w:space="0"/>
                    <w:bottom w:val="single" w:color="auto" w:sz="6" w:space="0"/>
                    <w:right w:val="single" w:color="auto" w:sz="6" w:space="0"/>
                  </w:tcBorders>
                  <w:vAlign w:val="center"/>
                </w:tcPr>
                <w:p w14:paraId="2AF3E700">
                  <w:pPr>
                    <w:pBdr>
                      <w:left w:val="single" w:color="auto" w:sz="12" w:space="4"/>
                      <w:right w:val="single" w:color="auto" w:sz="12" w:space="4"/>
                    </w:pBdr>
                    <w:jc w:val="center"/>
                    <w:rPr>
                      <w:szCs w:val="21"/>
                    </w:rPr>
                  </w:pPr>
                  <w:r>
                    <w:rPr>
                      <w:rFonts w:hint="eastAsia"/>
                      <w:szCs w:val="21"/>
                    </w:rPr>
                    <w:t>地表水环境</w:t>
                  </w:r>
                </w:p>
              </w:tc>
              <w:tc>
                <w:tcPr>
                  <w:tcW w:w="1135" w:type="dxa"/>
                  <w:tcBorders>
                    <w:top w:val="single" w:color="auto" w:sz="6" w:space="0"/>
                    <w:left w:val="single" w:color="auto" w:sz="6" w:space="0"/>
                    <w:bottom w:val="single" w:color="auto" w:sz="6" w:space="0"/>
                    <w:right w:val="single" w:color="auto" w:sz="6" w:space="0"/>
                  </w:tcBorders>
                  <w:vAlign w:val="center"/>
                </w:tcPr>
                <w:p w14:paraId="69F1B481">
                  <w:pPr>
                    <w:pBdr>
                      <w:left w:val="single" w:color="auto" w:sz="12" w:space="4"/>
                      <w:right w:val="single" w:color="auto" w:sz="12" w:space="4"/>
                    </w:pBdr>
                    <w:jc w:val="center"/>
                    <w:rPr>
                      <w:szCs w:val="21"/>
                    </w:rPr>
                  </w:pPr>
                  <w:r>
                    <w:rPr>
                      <w:rFonts w:hint="eastAsia"/>
                      <w:szCs w:val="21"/>
                    </w:rPr>
                    <w:t>大渡河</w:t>
                  </w:r>
                </w:p>
              </w:tc>
              <w:tc>
                <w:tcPr>
                  <w:tcW w:w="762" w:type="dxa"/>
                  <w:tcBorders>
                    <w:top w:val="single" w:color="auto" w:sz="6" w:space="0"/>
                    <w:left w:val="single" w:color="auto" w:sz="6" w:space="0"/>
                    <w:bottom w:val="single" w:color="auto" w:sz="6" w:space="0"/>
                    <w:right w:val="single" w:color="auto" w:sz="6" w:space="0"/>
                  </w:tcBorders>
                  <w:vAlign w:val="center"/>
                </w:tcPr>
                <w:p w14:paraId="78A699F8">
                  <w:pPr>
                    <w:pBdr>
                      <w:left w:val="single" w:color="auto" w:sz="12" w:space="4"/>
                      <w:right w:val="single" w:color="auto" w:sz="12" w:space="4"/>
                    </w:pBdr>
                    <w:jc w:val="center"/>
                    <w:rPr>
                      <w:szCs w:val="21"/>
                    </w:rPr>
                  </w:pPr>
                  <w:r>
                    <w:rPr>
                      <w:rFonts w:hint="eastAsia"/>
                      <w:szCs w:val="21"/>
                    </w:rPr>
                    <w:t>东南侧</w:t>
                  </w:r>
                </w:p>
              </w:tc>
              <w:tc>
                <w:tcPr>
                  <w:tcW w:w="1095" w:type="dxa"/>
                  <w:tcBorders>
                    <w:top w:val="single" w:color="auto" w:sz="6" w:space="0"/>
                    <w:left w:val="single" w:color="auto" w:sz="6" w:space="0"/>
                    <w:bottom w:val="single" w:color="auto" w:sz="6" w:space="0"/>
                    <w:right w:val="single" w:color="auto" w:sz="6" w:space="0"/>
                  </w:tcBorders>
                  <w:vAlign w:val="center"/>
                </w:tcPr>
                <w:p w14:paraId="2A6DA885">
                  <w:pPr>
                    <w:pBdr>
                      <w:left w:val="single" w:color="auto" w:sz="12" w:space="4"/>
                      <w:right w:val="single" w:color="auto" w:sz="12" w:space="4"/>
                    </w:pBdr>
                    <w:jc w:val="center"/>
                    <w:rPr>
                      <w:bCs/>
                      <w:szCs w:val="21"/>
                    </w:rPr>
                  </w:pPr>
                  <w:r>
                    <w:rPr>
                      <w:bCs/>
                      <w:szCs w:val="21"/>
                    </w:rPr>
                    <w:t>/</w:t>
                  </w:r>
                </w:p>
              </w:tc>
              <w:tc>
                <w:tcPr>
                  <w:tcW w:w="1140" w:type="dxa"/>
                  <w:tcBorders>
                    <w:top w:val="single" w:color="auto" w:sz="6" w:space="0"/>
                    <w:left w:val="single" w:color="auto" w:sz="6" w:space="0"/>
                    <w:bottom w:val="single" w:color="auto" w:sz="6" w:space="0"/>
                    <w:right w:val="single" w:color="auto" w:sz="6" w:space="0"/>
                  </w:tcBorders>
                  <w:vAlign w:val="center"/>
                </w:tcPr>
                <w:p w14:paraId="4BE6BFAC">
                  <w:pPr>
                    <w:pBdr>
                      <w:left w:val="single" w:color="auto" w:sz="12" w:space="4"/>
                      <w:right w:val="single" w:color="auto" w:sz="12" w:space="4"/>
                    </w:pBdr>
                    <w:jc w:val="center"/>
                    <w:rPr>
                      <w:bCs/>
                      <w:szCs w:val="21"/>
                    </w:rPr>
                  </w:pPr>
                  <w:r>
                    <w:rPr>
                      <w:rFonts w:hint="eastAsia"/>
                      <w:bCs/>
                      <w:szCs w:val="21"/>
                    </w:rPr>
                    <w:t>约</w:t>
                  </w:r>
                  <w:r>
                    <w:rPr>
                      <w:bCs/>
                      <w:szCs w:val="21"/>
                    </w:rPr>
                    <w:t>7600m</w:t>
                  </w:r>
                </w:p>
              </w:tc>
              <w:tc>
                <w:tcPr>
                  <w:tcW w:w="833" w:type="dxa"/>
                  <w:tcBorders>
                    <w:top w:val="single" w:color="auto" w:sz="6" w:space="0"/>
                    <w:left w:val="single" w:color="auto" w:sz="6" w:space="0"/>
                    <w:bottom w:val="single" w:color="auto" w:sz="6" w:space="0"/>
                    <w:right w:val="single" w:color="auto" w:sz="6" w:space="0"/>
                  </w:tcBorders>
                  <w:vAlign w:val="center"/>
                </w:tcPr>
                <w:p w14:paraId="6E53FCA7">
                  <w:pPr>
                    <w:pBdr>
                      <w:left w:val="single" w:color="auto" w:sz="12" w:space="4"/>
                      <w:right w:val="single" w:color="auto" w:sz="12" w:space="4"/>
                    </w:pBdr>
                    <w:jc w:val="center"/>
                    <w:rPr>
                      <w:szCs w:val="21"/>
                    </w:rPr>
                  </w:pPr>
                  <w:r>
                    <w:rPr>
                      <w:rFonts w:hint="eastAsia"/>
                      <w:szCs w:val="21"/>
                      <w:lang w:eastAsia="zh-CN"/>
                    </w:rPr>
                    <w:t>Ⅲ</w:t>
                  </w:r>
                  <w:r>
                    <w:rPr>
                      <w:rFonts w:hint="eastAsia"/>
                      <w:szCs w:val="21"/>
                    </w:rPr>
                    <w:t>类水体；行洪灌溉，距离较远</w:t>
                  </w:r>
                </w:p>
              </w:tc>
              <w:tc>
                <w:tcPr>
                  <w:tcW w:w="2403" w:type="dxa"/>
                  <w:tcBorders>
                    <w:top w:val="single" w:color="auto" w:sz="6" w:space="0"/>
                    <w:left w:val="single" w:color="auto" w:sz="6" w:space="0"/>
                    <w:bottom w:val="single" w:color="auto" w:sz="6" w:space="0"/>
                    <w:right w:val="single" w:color="auto" w:sz="12" w:space="0"/>
                  </w:tcBorders>
                  <w:vAlign w:val="center"/>
                </w:tcPr>
                <w:p w14:paraId="27108456">
                  <w:pPr>
                    <w:pBdr>
                      <w:left w:val="single" w:color="auto" w:sz="12" w:space="4"/>
                      <w:right w:val="single" w:color="auto" w:sz="12" w:space="4"/>
                    </w:pBdr>
                    <w:jc w:val="center"/>
                    <w:rPr>
                      <w:szCs w:val="21"/>
                    </w:rPr>
                  </w:pPr>
                  <w:r>
                    <w:rPr>
                      <w:rFonts w:hint="eastAsia"/>
                      <w:szCs w:val="21"/>
                    </w:rPr>
                    <w:t>《地表水环境质量标准》（</w:t>
                  </w:r>
                  <w:r>
                    <w:rPr>
                      <w:szCs w:val="21"/>
                    </w:rPr>
                    <w:t>GB3838-2002</w:t>
                  </w:r>
                  <w:r>
                    <w:rPr>
                      <w:rFonts w:hint="eastAsia"/>
                      <w:szCs w:val="21"/>
                    </w:rPr>
                    <w:t>）</w:t>
                  </w:r>
                  <w:r>
                    <w:rPr>
                      <w:szCs w:val="21"/>
                    </w:rPr>
                    <w:fldChar w:fldCharType="begin"/>
                  </w:r>
                  <w:r>
                    <w:rPr>
                      <w:szCs w:val="21"/>
                    </w:rPr>
                    <w:instrText xml:space="preserve"> = 4 \* ROMAN </w:instrText>
                  </w:r>
                  <w:r>
                    <w:rPr>
                      <w:szCs w:val="21"/>
                    </w:rPr>
                    <w:fldChar w:fldCharType="separate"/>
                  </w:r>
                  <w:r>
                    <w:rPr>
                      <w:szCs w:val="21"/>
                    </w:rPr>
                    <w:t>I</w:t>
                  </w:r>
                  <w:r>
                    <w:rPr>
                      <w:szCs w:val="21"/>
                    </w:rPr>
                    <w:fldChar w:fldCharType="begin"/>
                  </w:r>
                  <w:r>
                    <w:rPr>
                      <w:szCs w:val="21"/>
                    </w:rPr>
                    <w:instrText xml:space="preserve"> = 3 \* ROMAN </w:instrText>
                  </w:r>
                  <w:r>
                    <w:rPr>
                      <w:szCs w:val="21"/>
                    </w:rPr>
                    <w:fldChar w:fldCharType="separate"/>
                  </w:r>
                  <w:r>
                    <w:rPr>
                      <w:szCs w:val="21"/>
                    </w:rPr>
                    <w:t>II</w:t>
                  </w:r>
                  <w:r>
                    <w:rPr>
                      <w:szCs w:val="21"/>
                    </w:rPr>
                    <w:fldChar w:fldCharType="end"/>
                  </w:r>
                  <w:r>
                    <w:rPr>
                      <w:szCs w:val="21"/>
                    </w:rPr>
                    <w:fldChar w:fldCharType="end"/>
                  </w:r>
                  <w:r>
                    <w:rPr>
                      <w:rFonts w:hint="eastAsia"/>
                      <w:szCs w:val="21"/>
                    </w:rPr>
                    <w:t>类</w:t>
                  </w:r>
                </w:p>
              </w:tc>
            </w:tr>
            <w:tr w14:paraId="2F4FF3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43" w:hRule="atLeast"/>
                <w:jc w:val="center"/>
              </w:trPr>
              <w:tc>
                <w:tcPr>
                  <w:tcW w:w="914" w:type="dxa"/>
                  <w:tcBorders>
                    <w:top w:val="single" w:color="auto" w:sz="6" w:space="0"/>
                    <w:left w:val="single" w:color="auto" w:sz="12" w:space="0"/>
                    <w:bottom w:val="single" w:color="auto" w:sz="6" w:space="0"/>
                    <w:right w:val="single" w:color="auto" w:sz="6" w:space="0"/>
                  </w:tcBorders>
                  <w:vAlign w:val="center"/>
                </w:tcPr>
                <w:p w14:paraId="1C4E220C">
                  <w:pPr>
                    <w:pBdr>
                      <w:left w:val="single" w:color="auto" w:sz="12" w:space="4"/>
                      <w:right w:val="single" w:color="auto" w:sz="12" w:space="4"/>
                    </w:pBdr>
                    <w:jc w:val="center"/>
                    <w:rPr>
                      <w:szCs w:val="21"/>
                    </w:rPr>
                  </w:pPr>
                  <w:r>
                    <w:rPr>
                      <w:rFonts w:hint="eastAsia"/>
                      <w:szCs w:val="21"/>
                    </w:rPr>
                    <w:t>地下水环境</w:t>
                  </w:r>
                </w:p>
              </w:tc>
              <w:tc>
                <w:tcPr>
                  <w:tcW w:w="1135" w:type="dxa"/>
                  <w:tcBorders>
                    <w:top w:val="single" w:color="auto" w:sz="6" w:space="0"/>
                    <w:left w:val="single" w:color="auto" w:sz="6" w:space="0"/>
                    <w:bottom w:val="single" w:color="auto" w:sz="6" w:space="0"/>
                    <w:right w:val="single" w:color="auto" w:sz="6" w:space="0"/>
                  </w:tcBorders>
                  <w:vAlign w:val="center"/>
                </w:tcPr>
                <w:p w14:paraId="7C7CF482">
                  <w:pPr>
                    <w:pBdr>
                      <w:left w:val="single" w:color="auto" w:sz="12" w:space="4"/>
                      <w:right w:val="single" w:color="auto" w:sz="12" w:space="4"/>
                    </w:pBdr>
                    <w:jc w:val="center"/>
                    <w:rPr>
                      <w:szCs w:val="21"/>
                    </w:rPr>
                  </w:pPr>
                  <w:r>
                    <w:rPr>
                      <w:rFonts w:hint="eastAsia"/>
                      <w:szCs w:val="21"/>
                    </w:rPr>
                    <w:t>当地地下水</w:t>
                  </w:r>
                </w:p>
              </w:tc>
              <w:tc>
                <w:tcPr>
                  <w:tcW w:w="762" w:type="dxa"/>
                  <w:tcBorders>
                    <w:top w:val="single" w:color="auto" w:sz="6" w:space="0"/>
                    <w:left w:val="single" w:color="auto" w:sz="6" w:space="0"/>
                    <w:bottom w:val="single" w:color="auto" w:sz="6" w:space="0"/>
                    <w:right w:val="single" w:color="auto" w:sz="6" w:space="0"/>
                  </w:tcBorders>
                  <w:vAlign w:val="center"/>
                </w:tcPr>
                <w:p w14:paraId="60BD0A5F">
                  <w:pPr>
                    <w:pBdr>
                      <w:left w:val="single" w:color="auto" w:sz="12" w:space="4"/>
                      <w:right w:val="single" w:color="auto" w:sz="12" w:space="4"/>
                    </w:pBdr>
                    <w:jc w:val="center"/>
                    <w:rPr>
                      <w:szCs w:val="21"/>
                    </w:rPr>
                  </w:pPr>
                  <w:r>
                    <w:rPr>
                      <w:szCs w:val="21"/>
                    </w:rPr>
                    <w:t>/</w:t>
                  </w:r>
                </w:p>
              </w:tc>
              <w:tc>
                <w:tcPr>
                  <w:tcW w:w="1095" w:type="dxa"/>
                  <w:tcBorders>
                    <w:top w:val="single" w:color="auto" w:sz="6" w:space="0"/>
                    <w:left w:val="single" w:color="auto" w:sz="6" w:space="0"/>
                    <w:bottom w:val="single" w:color="auto" w:sz="6" w:space="0"/>
                    <w:right w:val="single" w:color="auto" w:sz="6" w:space="0"/>
                  </w:tcBorders>
                  <w:vAlign w:val="center"/>
                </w:tcPr>
                <w:p w14:paraId="4F43D51F">
                  <w:pPr>
                    <w:pBdr>
                      <w:left w:val="single" w:color="auto" w:sz="12" w:space="4"/>
                      <w:right w:val="single" w:color="auto" w:sz="12" w:space="4"/>
                    </w:pBdr>
                    <w:jc w:val="center"/>
                    <w:rPr>
                      <w:bCs/>
                      <w:szCs w:val="21"/>
                    </w:rPr>
                  </w:pPr>
                  <w:r>
                    <w:rPr>
                      <w:bCs/>
                      <w:szCs w:val="21"/>
                    </w:rPr>
                    <w:t>/</w:t>
                  </w:r>
                </w:p>
              </w:tc>
              <w:tc>
                <w:tcPr>
                  <w:tcW w:w="1140" w:type="dxa"/>
                  <w:tcBorders>
                    <w:top w:val="single" w:color="auto" w:sz="6" w:space="0"/>
                    <w:left w:val="single" w:color="auto" w:sz="6" w:space="0"/>
                    <w:bottom w:val="single" w:color="auto" w:sz="6" w:space="0"/>
                    <w:right w:val="single" w:color="auto" w:sz="6" w:space="0"/>
                  </w:tcBorders>
                  <w:vAlign w:val="center"/>
                </w:tcPr>
                <w:p w14:paraId="7853F4B4">
                  <w:pPr>
                    <w:pBdr>
                      <w:left w:val="single" w:color="auto" w:sz="12" w:space="4"/>
                      <w:right w:val="single" w:color="auto" w:sz="12" w:space="4"/>
                    </w:pBdr>
                    <w:jc w:val="center"/>
                    <w:rPr>
                      <w:bCs/>
                      <w:szCs w:val="21"/>
                    </w:rPr>
                  </w:pPr>
                  <w:r>
                    <w:rPr>
                      <w:bCs/>
                      <w:szCs w:val="21"/>
                    </w:rPr>
                    <w:t>/</w:t>
                  </w:r>
                </w:p>
              </w:tc>
              <w:tc>
                <w:tcPr>
                  <w:tcW w:w="833" w:type="dxa"/>
                  <w:tcBorders>
                    <w:top w:val="single" w:color="auto" w:sz="6" w:space="0"/>
                    <w:left w:val="single" w:color="auto" w:sz="6" w:space="0"/>
                    <w:bottom w:val="single" w:color="auto" w:sz="6" w:space="0"/>
                    <w:right w:val="single" w:color="auto" w:sz="6" w:space="0"/>
                  </w:tcBorders>
                  <w:vAlign w:val="center"/>
                </w:tcPr>
                <w:p w14:paraId="47DF938D">
                  <w:pPr>
                    <w:pBdr>
                      <w:left w:val="single" w:color="auto" w:sz="12" w:space="4"/>
                      <w:right w:val="single" w:color="auto" w:sz="12" w:space="4"/>
                    </w:pBdr>
                    <w:jc w:val="center"/>
                    <w:rPr>
                      <w:szCs w:val="21"/>
                    </w:rPr>
                  </w:pPr>
                  <w:r>
                    <w:rPr>
                      <w:szCs w:val="21"/>
                    </w:rPr>
                    <w:t>/</w:t>
                  </w:r>
                </w:p>
              </w:tc>
              <w:tc>
                <w:tcPr>
                  <w:tcW w:w="2403" w:type="dxa"/>
                  <w:tcBorders>
                    <w:top w:val="single" w:color="auto" w:sz="6" w:space="0"/>
                    <w:left w:val="single" w:color="auto" w:sz="6" w:space="0"/>
                    <w:bottom w:val="single" w:color="auto" w:sz="6" w:space="0"/>
                    <w:right w:val="single" w:color="auto" w:sz="12" w:space="0"/>
                  </w:tcBorders>
                  <w:vAlign w:val="center"/>
                </w:tcPr>
                <w:p w14:paraId="672C734B">
                  <w:pPr>
                    <w:pBdr>
                      <w:left w:val="single" w:color="auto" w:sz="12" w:space="4"/>
                      <w:right w:val="single" w:color="auto" w:sz="12" w:space="4"/>
                    </w:pBdr>
                    <w:jc w:val="center"/>
                    <w:rPr>
                      <w:szCs w:val="21"/>
                    </w:rPr>
                  </w:pPr>
                  <w:r>
                    <w:rPr>
                      <w:rFonts w:hint="eastAsia"/>
                      <w:szCs w:val="21"/>
                    </w:rPr>
                    <w:t>《地下水环境质量标准》（</w:t>
                  </w:r>
                  <w:r>
                    <w:rPr>
                      <w:szCs w:val="21"/>
                    </w:rPr>
                    <w:t>GB/T 14848-2017</w:t>
                  </w:r>
                  <w:r>
                    <w:rPr>
                      <w:rFonts w:hint="eastAsia"/>
                      <w:szCs w:val="21"/>
                    </w:rPr>
                    <w:t>）中</w:t>
                  </w:r>
                  <w:r>
                    <w:rPr>
                      <w:rFonts w:hint="eastAsia" w:ascii="宋体" w:hAnsi="宋体" w:cs="宋体"/>
                      <w:szCs w:val="21"/>
                    </w:rPr>
                    <w:t>Ⅲ</w:t>
                  </w:r>
                  <w:r>
                    <w:rPr>
                      <w:rFonts w:hint="eastAsia"/>
                      <w:szCs w:val="21"/>
                    </w:rPr>
                    <w:t>类水域标准</w:t>
                  </w:r>
                </w:p>
              </w:tc>
            </w:tr>
            <w:bookmarkEnd w:id="1"/>
          </w:tbl>
          <w:p w14:paraId="38401A99">
            <w:pPr>
              <w:autoSpaceDE w:val="0"/>
              <w:autoSpaceDN w:val="0"/>
              <w:adjustRightInd w:val="0"/>
              <w:spacing w:line="440" w:lineRule="exact"/>
              <w:jc w:val="left"/>
              <w:rPr>
                <w:sz w:val="24"/>
              </w:rPr>
            </w:pPr>
          </w:p>
          <w:p w14:paraId="263EA32C">
            <w:pPr>
              <w:autoSpaceDE w:val="0"/>
              <w:autoSpaceDN w:val="0"/>
              <w:adjustRightInd w:val="0"/>
              <w:spacing w:line="440" w:lineRule="exact"/>
              <w:jc w:val="left"/>
              <w:rPr>
                <w:sz w:val="24"/>
              </w:rPr>
            </w:pPr>
          </w:p>
          <w:p w14:paraId="342613BE">
            <w:pPr>
              <w:autoSpaceDE w:val="0"/>
              <w:autoSpaceDN w:val="0"/>
              <w:adjustRightInd w:val="0"/>
              <w:spacing w:line="440" w:lineRule="exact"/>
              <w:jc w:val="left"/>
              <w:rPr>
                <w:sz w:val="24"/>
              </w:rPr>
            </w:pPr>
          </w:p>
          <w:p w14:paraId="54E9F4BC">
            <w:pPr>
              <w:autoSpaceDE w:val="0"/>
              <w:autoSpaceDN w:val="0"/>
              <w:adjustRightInd w:val="0"/>
              <w:spacing w:line="440" w:lineRule="exact"/>
              <w:jc w:val="left"/>
              <w:rPr>
                <w:sz w:val="24"/>
              </w:rPr>
            </w:pPr>
          </w:p>
          <w:p w14:paraId="730F2FD5">
            <w:pPr>
              <w:autoSpaceDE w:val="0"/>
              <w:autoSpaceDN w:val="0"/>
              <w:adjustRightInd w:val="0"/>
              <w:spacing w:line="440" w:lineRule="exact"/>
              <w:jc w:val="left"/>
              <w:rPr>
                <w:sz w:val="24"/>
              </w:rPr>
            </w:pPr>
          </w:p>
        </w:tc>
      </w:tr>
    </w:tbl>
    <w:p w14:paraId="43CFE20C">
      <w:pPr>
        <w:spacing w:line="360" w:lineRule="auto"/>
        <w:ind w:firstLine="320" w:firstLineChars="100"/>
        <w:outlineLvl w:val="0"/>
        <w:rPr>
          <w:b/>
          <w:sz w:val="32"/>
          <w:szCs w:val="32"/>
        </w:rPr>
      </w:pPr>
      <w:r>
        <w:rPr>
          <w:sz w:val="32"/>
          <w:szCs w:val="32"/>
        </w:rPr>
        <w:br w:type="page"/>
      </w:r>
      <w:r>
        <w:rPr>
          <w:rFonts w:hint="eastAsia"/>
          <w:b/>
          <w:sz w:val="32"/>
          <w:szCs w:val="32"/>
        </w:rPr>
        <w:t>评价适用标准</w:t>
      </w:r>
      <w:r>
        <w:rPr>
          <w:b/>
          <w:sz w:val="32"/>
          <w:szCs w:val="32"/>
        </w:rPr>
        <w:t xml:space="preserve">                                </w:t>
      </w:r>
      <w:r>
        <w:rPr>
          <w:rFonts w:hint="eastAsia"/>
          <w:b/>
          <w:sz w:val="32"/>
          <w:szCs w:val="32"/>
          <w:lang w:eastAsia="zh-CN"/>
        </w:rPr>
        <w:t>（</w:t>
      </w:r>
      <w:r>
        <w:rPr>
          <w:rFonts w:hint="eastAsia"/>
          <w:b/>
          <w:sz w:val="30"/>
          <w:szCs w:val="30"/>
        </w:rPr>
        <w:t>表四</w:t>
      </w:r>
      <w:r>
        <w:rPr>
          <w:rFonts w:hint="eastAsia"/>
          <w:b/>
          <w:sz w:val="30"/>
          <w:szCs w:val="30"/>
          <w:lang w:eastAsia="zh-CN"/>
        </w:rPr>
        <w:t>）</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7"/>
        <w:gridCol w:w="7901"/>
      </w:tblGrid>
      <w:tr w14:paraId="218C1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 w:type="pct"/>
            <w:vAlign w:val="center"/>
          </w:tcPr>
          <w:p w14:paraId="191FC06D">
            <w:pPr>
              <w:spacing w:line="720" w:lineRule="auto"/>
              <w:rPr>
                <w:b/>
                <w:sz w:val="28"/>
                <w:szCs w:val="28"/>
              </w:rPr>
            </w:pPr>
            <w:r>
              <w:rPr>
                <w:rFonts w:hint="eastAsia"/>
                <w:b/>
                <w:sz w:val="28"/>
                <w:szCs w:val="28"/>
              </w:rPr>
              <w:t>环</w:t>
            </w:r>
          </w:p>
          <w:p w14:paraId="7225D5CF">
            <w:pPr>
              <w:spacing w:line="720" w:lineRule="auto"/>
              <w:rPr>
                <w:b/>
                <w:sz w:val="28"/>
                <w:szCs w:val="28"/>
              </w:rPr>
            </w:pPr>
            <w:r>
              <w:rPr>
                <w:rFonts w:hint="eastAsia"/>
                <w:b/>
                <w:sz w:val="28"/>
                <w:szCs w:val="28"/>
              </w:rPr>
              <w:t>境</w:t>
            </w:r>
          </w:p>
          <w:p w14:paraId="30885997">
            <w:pPr>
              <w:spacing w:line="720" w:lineRule="auto"/>
              <w:rPr>
                <w:b/>
                <w:sz w:val="28"/>
                <w:szCs w:val="28"/>
              </w:rPr>
            </w:pPr>
            <w:r>
              <w:rPr>
                <w:rFonts w:hint="eastAsia"/>
                <w:b/>
                <w:sz w:val="28"/>
                <w:szCs w:val="28"/>
              </w:rPr>
              <w:t>质</w:t>
            </w:r>
          </w:p>
          <w:p w14:paraId="79E1C534">
            <w:pPr>
              <w:spacing w:line="720" w:lineRule="auto"/>
              <w:rPr>
                <w:b/>
                <w:sz w:val="28"/>
                <w:szCs w:val="28"/>
              </w:rPr>
            </w:pPr>
            <w:r>
              <w:rPr>
                <w:rFonts w:hint="eastAsia"/>
                <w:b/>
                <w:sz w:val="28"/>
                <w:szCs w:val="28"/>
              </w:rPr>
              <w:t>量</w:t>
            </w:r>
          </w:p>
          <w:p w14:paraId="65574371">
            <w:pPr>
              <w:spacing w:line="720" w:lineRule="auto"/>
              <w:rPr>
                <w:b/>
                <w:sz w:val="28"/>
                <w:szCs w:val="28"/>
              </w:rPr>
            </w:pPr>
            <w:r>
              <w:rPr>
                <w:rFonts w:hint="eastAsia"/>
                <w:b/>
                <w:sz w:val="28"/>
                <w:szCs w:val="28"/>
              </w:rPr>
              <w:t>标</w:t>
            </w:r>
          </w:p>
          <w:p w14:paraId="5FC32116">
            <w:pPr>
              <w:spacing w:line="720" w:lineRule="auto"/>
            </w:pPr>
            <w:r>
              <w:rPr>
                <w:rFonts w:hint="eastAsia"/>
                <w:b/>
                <w:sz w:val="28"/>
                <w:szCs w:val="28"/>
              </w:rPr>
              <w:t>准</w:t>
            </w:r>
          </w:p>
        </w:tc>
        <w:tc>
          <w:tcPr>
            <w:tcW w:w="4632" w:type="pct"/>
            <w:tcBorders>
              <w:right w:val="single" w:color="auto" w:sz="12" w:space="0"/>
            </w:tcBorders>
          </w:tcPr>
          <w:p w14:paraId="5BD93D6E">
            <w:pPr>
              <w:spacing w:line="360" w:lineRule="auto"/>
              <w:ind w:firstLine="480" w:firstLineChars="200"/>
              <w:rPr>
                <w:bCs/>
                <w:sz w:val="24"/>
              </w:rPr>
            </w:pPr>
            <w:r>
              <w:rPr>
                <w:rFonts w:hint="eastAsia"/>
                <w:bCs/>
                <w:sz w:val="24"/>
              </w:rPr>
              <w:t>根据项目实际情况，本项目执行以下标准。</w:t>
            </w:r>
          </w:p>
          <w:p w14:paraId="38168924">
            <w:pPr>
              <w:spacing w:line="360" w:lineRule="auto"/>
              <w:rPr>
                <w:b/>
                <w:bCs/>
                <w:sz w:val="24"/>
              </w:rPr>
            </w:pPr>
            <w:r>
              <w:rPr>
                <w:rFonts w:hint="eastAsia"/>
                <w:b/>
                <w:bCs/>
                <w:sz w:val="24"/>
              </w:rPr>
              <w:t>一、环境空气质量：</w:t>
            </w:r>
          </w:p>
          <w:p w14:paraId="5397FE4C">
            <w:pPr>
              <w:spacing w:line="360" w:lineRule="auto"/>
              <w:ind w:firstLine="480" w:firstLineChars="200"/>
              <w:rPr>
                <w:b/>
                <w:bCs/>
                <w:sz w:val="24"/>
              </w:rPr>
            </w:pPr>
            <w:r>
              <w:rPr>
                <w:rFonts w:hint="eastAsia"/>
                <w:sz w:val="24"/>
              </w:rPr>
              <w:t>执行《环境空气质量标准》</w:t>
            </w:r>
            <w:r>
              <w:rPr>
                <w:sz w:val="24"/>
              </w:rPr>
              <w:t>(GB3095-2012</w:t>
            </w:r>
            <w:r>
              <w:rPr>
                <w:rFonts w:hint="eastAsia"/>
                <w:sz w:val="24"/>
                <w:lang w:eastAsia="zh-CN"/>
              </w:rPr>
              <w:t>）</w:t>
            </w:r>
            <w:r>
              <w:rPr>
                <w:rFonts w:hint="eastAsia"/>
                <w:sz w:val="24"/>
              </w:rPr>
              <w:t>中的二级标准，标准限值见表</w:t>
            </w:r>
            <w:r>
              <w:rPr>
                <w:sz w:val="24"/>
              </w:rPr>
              <w:t>4-1</w:t>
            </w:r>
            <w:r>
              <w:rPr>
                <w:rFonts w:hint="eastAsia"/>
                <w:sz w:val="24"/>
              </w:rPr>
              <w:t>。</w:t>
            </w:r>
          </w:p>
          <w:p w14:paraId="090389BF">
            <w:pPr>
              <w:spacing w:line="360" w:lineRule="auto"/>
              <w:ind w:firstLine="200"/>
              <w:jc w:val="center"/>
              <w:rPr>
                <w:rFonts w:ascii="黑体" w:hAnsi="黑体" w:eastAsia="黑体"/>
                <w:b/>
                <w:sz w:val="24"/>
                <w:vertAlign w:val="superscript"/>
              </w:rPr>
            </w:pPr>
            <w:r>
              <w:rPr>
                <w:rFonts w:hint="eastAsia" w:ascii="黑体" w:hAnsi="黑体" w:eastAsia="黑体"/>
                <w:b/>
                <w:sz w:val="24"/>
              </w:rPr>
              <w:t>表</w:t>
            </w:r>
            <w:r>
              <w:rPr>
                <w:rFonts w:ascii="黑体" w:hAnsi="黑体" w:eastAsia="黑体"/>
                <w:b/>
                <w:sz w:val="24"/>
              </w:rPr>
              <w:t xml:space="preserve">4-1 </w:t>
            </w:r>
            <w:r>
              <w:rPr>
                <w:rFonts w:hint="eastAsia" w:ascii="黑体" w:hAnsi="黑体" w:eastAsia="黑体"/>
                <w:b/>
                <w:sz w:val="24"/>
              </w:rPr>
              <w:t>环境空气质量标准</w:t>
            </w:r>
            <w:r>
              <w:rPr>
                <w:rFonts w:ascii="黑体" w:hAnsi="黑体" w:eastAsia="黑体"/>
                <w:b/>
                <w:sz w:val="24"/>
              </w:rPr>
              <w:t xml:space="preserve">     </w:t>
            </w:r>
            <w:r>
              <w:rPr>
                <w:rFonts w:hint="eastAsia" w:ascii="黑体" w:hAnsi="黑体" w:eastAsia="黑体"/>
                <w:b/>
                <w:sz w:val="24"/>
              </w:rPr>
              <w:t>单位：</w:t>
            </w:r>
            <w:r>
              <w:rPr>
                <w:rFonts w:hint="eastAsia" w:ascii="黑体" w:hAnsi="黑体" w:eastAsia="黑体"/>
                <w:b/>
                <w:sz w:val="24"/>
                <w:lang w:eastAsia="zh-CN"/>
              </w:rPr>
              <w:t>μg/m3</w:t>
            </w:r>
          </w:p>
          <w:tbl>
            <w:tblPr>
              <w:tblStyle w:val="25"/>
              <w:tblW w:w="765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557"/>
              <w:gridCol w:w="2541"/>
              <w:gridCol w:w="1523"/>
              <w:gridCol w:w="2033"/>
            </w:tblGrid>
            <w:tr w14:paraId="16DD25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557" w:type="dxa"/>
                  <w:tcBorders>
                    <w:top w:val="single" w:color="auto" w:sz="12" w:space="0"/>
                    <w:left w:val="single" w:color="auto" w:sz="12" w:space="0"/>
                    <w:bottom w:val="single" w:color="auto" w:sz="6" w:space="0"/>
                    <w:right w:val="single" w:color="auto" w:sz="6" w:space="0"/>
                  </w:tcBorders>
                  <w:vAlign w:val="center"/>
                </w:tcPr>
                <w:p w14:paraId="67C81995">
                  <w:pPr>
                    <w:spacing w:line="360" w:lineRule="exact"/>
                    <w:jc w:val="center"/>
                    <w:rPr>
                      <w:caps/>
                      <w:szCs w:val="21"/>
                    </w:rPr>
                  </w:pPr>
                  <w:r>
                    <w:rPr>
                      <w:caps/>
                      <w:szCs w:val="21"/>
                    </w:rPr>
                    <w:t>污染物</w:t>
                  </w:r>
                </w:p>
              </w:tc>
              <w:tc>
                <w:tcPr>
                  <w:tcW w:w="2541" w:type="dxa"/>
                  <w:tcBorders>
                    <w:top w:val="single" w:color="auto" w:sz="12" w:space="0"/>
                    <w:left w:val="single" w:color="auto" w:sz="6" w:space="0"/>
                    <w:bottom w:val="single" w:color="auto" w:sz="6" w:space="0"/>
                    <w:right w:val="single" w:color="auto" w:sz="6" w:space="0"/>
                  </w:tcBorders>
                  <w:vAlign w:val="center"/>
                </w:tcPr>
                <w:p w14:paraId="028A67FD">
                  <w:pPr>
                    <w:pStyle w:val="90"/>
                    <w:widowControl w:val="0"/>
                    <w:spacing w:before="0" w:beforeAutospacing="0" w:after="0" w:afterAutospacing="0" w:line="360" w:lineRule="exact"/>
                    <w:ind w:left="420" w:hanging="420"/>
                    <w:textAlignment w:val="auto"/>
                    <w:rPr>
                      <w:rFonts w:ascii="Times New Roman" w:hAnsi="Times New Roman"/>
                      <w:caps/>
                      <w:kern w:val="2"/>
                      <w:sz w:val="21"/>
                      <w:szCs w:val="21"/>
                    </w:rPr>
                  </w:pPr>
                  <w:r>
                    <w:rPr>
                      <w:rFonts w:ascii="Times New Roman" w:hAnsi="Times New Roman"/>
                      <w:caps/>
                      <w:kern w:val="2"/>
                      <w:sz w:val="21"/>
                      <w:szCs w:val="21"/>
                    </w:rPr>
                    <w:t>年平均</w:t>
                  </w:r>
                </w:p>
              </w:tc>
              <w:tc>
                <w:tcPr>
                  <w:tcW w:w="1523" w:type="dxa"/>
                  <w:tcBorders>
                    <w:top w:val="single" w:color="auto" w:sz="12" w:space="0"/>
                    <w:left w:val="single" w:color="auto" w:sz="6" w:space="0"/>
                    <w:bottom w:val="single" w:color="auto" w:sz="6" w:space="0"/>
                    <w:right w:val="single" w:color="auto" w:sz="6" w:space="0"/>
                  </w:tcBorders>
                  <w:vAlign w:val="center"/>
                </w:tcPr>
                <w:p w14:paraId="12C3F5E2">
                  <w:pPr>
                    <w:pStyle w:val="90"/>
                    <w:widowControl w:val="0"/>
                    <w:spacing w:before="0" w:beforeAutospacing="0" w:after="0" w:afterAutospacing="0" w:line="360" w:lineRule="exact"/>
                    <w:ind w:left="420" w:hanging="420"/>
                    <w:rPr>
                      <w:rFonts w:ascii="Times New Roman" w:hAnsi="Times New Roman"/>
                      <w:caps/>
                      <w:kern w:val="2"/>
                      <w:sz w:val="21"/>
                      <w:szCs w:val="21"/>
                    </w:rPr>
                  </w:pPr>
                  <w:r>
                    <w:rPr>
                      <w:rFonts w:ascii="Times New Roman" w:hAnsi="Times New Roman"/>
                      <w:caps/>
                      <w:kern w:val="2"/>
                      <w:sz w:val="21"/>
                      <w:szCs w:val="21"/>
                    </w:rPr>
                    <w:t>24小时平均</w:t>
                  </w:r>
                </w:p>
              </w:tc>
              <w:tc>
                <w:tcPr>
                  <w:tcW w:w="2033" w:type="dxa"/>
                  <w:tcBorders>
                    <w:top w:val="single" w:color="auto" w:sz="12" w:space="0"/>
                    <w:left w:val="single" w:color="auto" w:sz="6" w:space="0"/>
                    <w:bottom w:val="single" w:color="auto" w:sz="6" w:space="0"/>
                    <w:right w:val="single" w:color="auto" w:sz="12" w:space="0"/>
                  </w:tcBorders>
                  <w:vAlign w:val="center"/>
                </w:tcPr>
                <w:p w14:paraId="02BC8F96">
                  <w:pPr>
                    <w:spacing w:line="360" w:lineRule="exact"/>
                    <w:jc w:val="center"/>
                    <w:rPr>
                      <w:caps/>
                      <w:szCs w:val="21"/>
                    </w:rPr>
                  </w:pPr>
                  <w:r>
                    <w:rPr>
                      <w:caps/>
                      <w:szCs w:val="21"/>
                    </w:rPr>
                    <w:t>1小时平均</w:t>
                  </w:r>
                </w:p>
              </w:tc>
            </w:tr>
            <w:tr w14:paraId="4A21FD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557" w:type="dxa"/>
                  <w:tcBorders>
                    <w:top w:val="single" w:color="auto" w:sz="6" w:space="0"/>
                    <w:left w:val="single" w:color="auto" w:sz="12" w:space="0"/>
                    <w:bottom w:val="single" w:color="auto" w:sz="6" w:space="0"/>
                    <w:right w:val="single" w:color="auto" w:sz="6" w:space="0"/>
                  </w:tcBorders>
                  <w:vAlign w:val="center"/>
                </w:tcPr>
                <w:p w14:paraId="3CF8D3C0">
                  <w:pPr>
                    <w:spacing w:line="360" w:lineRule="exact"/>
                    <w:jc w:val="center"/>
                    <w:rPr>
                      <w:szCs w:val="21"/>
                    </w:rPr>
                  </w:pPr>
                  <w:r>
                    <w:rPr>
                      <w:szCs w:val="21"/>
                    </w:rPr>
                    <w:t>SO</w:t>
                  </w:r>
                  <w:r>
                    <w:rPr>
                      <w:szCs w:val="21"/>
                      <w:vertAlign w:val="subscript"/>
                    </w:rPr>
                    <w:t>2</w:t>
                  </w:r>
                </w:p>
              </w:tc>
              <w:tc>
                <w:tcPr>
                  <w:tcW w:w="2541" w:type="dxa"/>
                  <w:tcBorders>
                    <w:top w:val="single" w:color="auto" w:sz="6" w:space="0"/>
                    <w:left w:val="single" w:color="auto" w:sz="6" w:space="0"/>
                    <w:bottom w:val="single" w:color="auto" w:sz="6" w:space="0"/>
                    <w:right w:val="single" w:color="auto" w:sz="6" w:space="0"/>
                  </w:tcBorders>
                  <w:vAlign w:val="center"/>
                </w:tcPr>
                <w:p w14:paraId="30E043D1">
                  <w:pPr>
                    <w:spacing w:line="360" w:lineRule="exact"/>
                    <w:jc w:val="center"/>
                    <w:rPr>
                      <w:szCs w:val="21"/>
                    </w:rPr>
                  </w:pPr>
                  <w:r>
                    <w:rPr>
                      <w:szCs w:val="21"/>
                    </w:rPr>
                    <w:t>60</w:t>
                  </w:r>
                </w:p>
              </w:tc>
              <w:tc>
                <w:tcPr>
                  <w:tcW w:w="1523" w:type="dxa"/>
                  <w:tcBorders>
                    <w:top w:val="single" w:color="auto" w:sz="6" w:space="0"/>
                    <w:left w:val="single" w:color="auto" w:sz="6" w:space="0"/>
                    <w:bottom w:val="single" w:color="auto" w:sz="6" w:space="0"/>
                    <w:right w:val="single" w:color="auto" w:sz="6" w:space="0"/>
                  </w:tcBorders>
                  <w:vAlign w:val="center"/>
                </w:tcPr>
                <w:p w14:paraId="26968550">
                  <w:pPr>
                    <w:spacing w:line="360" w:lineRule="exact"/>
                    <w:jc w:val="center"/>
                    <w:rPr>
                      <w:szCs w:val="21"/>
                    </w:rPr>
                  </w:pPr>
                  <w:r>
                    <w:rPr>
                      <w:szCs w:val="21"/>
                    </w:rPr>
                    <w:t>150</w:t>
                  </w:r>
                </w:p>
              </w:tc>
              <w:tc>
                <w:tcPr>
                  <w:tcW w:w="2033" w:type="dxa"/>
                  <w:tcBorders>
                    <w:top w:val="single" w:color="auto" w:sz="6" w:space="0"/>
                    <w:left w:val="single" w:color="auto" w:sz="6" w:space="0"/>
                    <w:bottom w:val="single" w:color="auto" w:sz="6" w:space="0"/>
                    <w:right w:val="single" w:color="auto" w:sz="12" w:space="0"/>
                  </w:tcBorders>
                  <w:vAlign w:val="center"/>
                </w:tcPr>
                <w:p w14:paraId="7785267A">
                  <w:pPr>
                    <w:spacing w:line="360" w:lineRule="exact"/>
                    <w:jc w:val="center"/>
                    <w:rPr>
                      <w:szCs w:val="21"/>
                    </w:rPr>
                  </w:pPr>
                  <w:r>
                    <w:rPr>
                      <w:szCs w:val="21"/>
                    </w:rPr>
                    <w:t>500</w:t>
                  </w:r>
                </w:p>
              </w:tc>
            </w:tr>
            <w:tr w14:paraId="3B5932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557" w:type="dxa"/>
                  <w:tcBorders>
                    <w:top w:val="single" w:color="auto" w:sz="6" w:space="0"/>
                    <w:left w:val="single" w:color="auto" w:sz="12" w:space="0"/>
                    <w:bottom w:val="single" w:color="auto" w:sz="6" w:space="0"/>
                    <w:right w:val="single" w:color="auto" w:sz="6" w:space="0"/>
                  </w:tcBorders>
                  <w:vAlign w:val="center"/>
                </w:tcPr>
                <w:p w14:paraId="14F59066">
                  <w:pPr>
                    <w:spacing w:line="360" w:lineRule="exact"/>
                    <w:jc w:val="center"/>
                    <w:rPr>
                      <w:szCs w:val="21"/>
                    </w:rPr>
                  </w:pPr>
                  <w:r>
                    <w:rPr>
                      <w:szCs w:val="21"/>
                    </w:rPr>
                    <w:t>NO</w:t>
                  </w:r>
                  <w:r>
                    <w:rPr>
                      <w:szCs w:val="21"/>
                      <w:vertAlign w:val="subscript"/>
                    </w:rPr>
                    <w:t>2</w:t>
                  </w:r>
                </w:p>
              </w:tc>
              <w:tc>
                <w:tcPr>
                  <w:tcW w:w="2541" w:type="dxa"/>
                  <w:tcBorders>
                    <w:top w:val="single" w:color="auto" w:sz="6" w:space="0"/>
                    <w:left w:val="single" w:color="auto" w:sz="6" w:space="0"/>
                    <w:bottom w:val="single" w:color="auto" w:sz="6" w:space="0"/>
                    <w:right w:val="single" w:color="auto" w:sz="6" w:space="0"/>
                  </w:tcBorders>
                  <w:vAlign w:val="center"/>
                </w:tcPr>
                <w:p w14:paraId="2BB16722">
                  <w:pPr>
                    <w:spacing w:line="360" w:lineRule="exact"/>
                    <w:jc w:val="center"/>
                    <w:rPr>
                      <w:szCs w:val="21"/>
                    </w:rPr>
                  </w:pPr>
                  <w:r>
                    <w:rPr>
                      <w:szCs w:val="21"/>
                    </w:rPr>
                    <w:t>40</w:t>
                  </w:r>
                </w:p>
              </w:tc>
              <w:tc>
                <w:tcPr>
                  <w:tcW w:w="1523" w:type="dxa"/>
                  <w:tcBorders>
                    <w:top w:val="single" w:color="auto" w:sz="6" w:space="0"/>
                    <w:left w:val="single" w:color="auto" w:sz="6" w:space="0"/>
                    <w:bottom w:val="single" w:color="auto" w:sz="6" w:space="0"/>
                    <w:right w:val="single" w:color="auto" w:sz="6" w:space="0"/>
                  </w:tcBorders>
                  <w:vAlign w:val="center"/>
                </w:tcPr>
                <w:p w14:paraId="4FCE412B">
                  <w:pPr>
                    <w:spacing w:line="360" w:lineRule="exact"/>
                    <w:jc w:val="center"/>
                    <w:rPr>
                      <w:szCs w:val="21"/>
                    </w:rPr>
                  </w:pPr>
                  <w:r>
                    <w:rPr>
                      <w:szCs w:val="21"/>
                    </w:rPr>
                    <w:t>80</w:t>
                  </w:r>
                </w:p>
              </w:tc>
              <w:tc>
                <w:tcPr>
                  <w:tcW w:w="2033" w:type="dxa"/>
                  <w:tcBorders>
                    <w:top w:val="single" w:color="auto" w:sz="6" w:space="0"/>
                    <w:left w:val="single" w:color="auto" w:sz="6" w:space="0"/>
                    <w:bottom w:val="single" w:color="auto" w:sz="6" w:space="0"/>
                    <w:right w:val="single" w:color="auto" w:sz="12" w:space="0"/>
                  </w:tcBorders>
                  <w:vAlign w:val="center"/>
                </w:tcPr>
                <w:p w14:paraId="36A6E2D7">
                  <w:pPr>
                    <w:spacing w:line="360" w:lineRule="exact"/>
                    <w:jc w:val="center"/>
                    <w:rPr>
                      <w:szCs w:val="21"/>
                    </w:rPr>
                  </w:pPr>
                  <w:r>
                    <w:rPr>
                      <w:szCs w:val="21"/>
                    </w:rPr>
                    <w:t>200</w:t>
                  </w:r>
                </w:p>
              </w:tc>
            </w:tr>
            <w:tr w14:paraId="5D3950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557" w:type="dxa"/>
                  <w:tcBorders>
                    <w:top w:val="single" w:color="auto" w:sz="6" w:space="0"/>
                    <w:left w:val="single" w:color="auto" w:sz="12" w:space="0"/>
                    <w:bottom w:val="single" w:color="auto" w:sz="6" w:space="0"/>
                    <w:right w:val="single" w:color="auto" w:sz="6" w:space="0"/>
                  </w:tcBorders>
                  <w:vAlign w:val="center"/>
                </w:tcPr>
                <w:p w14:paraId="67E929B8">
                  <w:pPr>
                    <w:spacing w:line="360" w:lineRule="exact"/>
                    <w:jc w:val="center"/>
                    <w:rPr>
                      <w:szCs w:val="21"/>
                    </w:rPr>
                  </w:pPr>
                  <w:r>
                    <w:rPr>
                      <w:szCs w:val="21"/>
                    </w:rPr>
                    <w:t>PM</w:t>
                  </w:r>
                  <w:r>
                    <w:rPr>
                      <w:szCs w:val="21"/>
                      <w:vertAlign w:val="subscript"/>
                    </w:rPr>
                    <w:t>10</w:t>
                  </w:r>
                </w:p>
              </w:tc>
              <w:tc>
                <w:tcPr>
                  <w:tcW w:w="2541" w:type="dxa"/>
                  <w:tcBorders>
                    <w:top w:val="single" w:color="auto" w:sz="6" w:space="0"/>
                    <w:left w:val="single" w:color="auto" w:sz="6" w:space="0"/>
                    <w:bottom w:val="single" w:color="auto" w:sz="6" w:space="0"/>
                    <w:right w:val="single" w:color="auto" w:sz="6" w:space="0"/>
                  </w:tcBorders>
                  <w:vAlign w:val="center"/>
                </w:tcPr>
                <w:p w14:paraId="76F276B2">
                  <w:pPr>
                    <w:spacing w:line="360" w:lineRule="exact"/>
                    <w:jc w:val="center"/>
                    <w:rPr>
                      <w:szCs w:val="21"/>
                    </w:rPr>
                  </w:pPr>
                  <w:r>
                    <w:rPr>
                      <w:szCs w:val="21"/>
                    </w:rPr>
                    <w:t>70</w:t>
                  </w:r>
                </w:p>
              </w:tc>
              <w:tc>
                <w:tcPr>
                  <w:tcW w:w="1523" w:type="dxa"/>
                  <w:tcBorders>
                    <w:top w:val="single" w:color="auto" w:sz="6" w:space="0"/>
                    <w:left w:val="single" w:color="auto" w:sz="6" w:space="0"/>
                    <w:bottom w:val="single" w:color="auto" w:sz="6" w:space="0"/>
                    <w:right w:val="single" w:color="auto" w:sz="6" w:space="0"/>
                  </w:tcBorders>
                  <w:vAlign w:val="center"/>
                </w:tcPr>
                <w:p w14:paraId="4EC0785C">
                  <w:pPr>
                    <w:spacing w:line="360" w:lineRule="exact"/>
                    <w:jc w:val="center"/>
                    <w:rPr>
                      <w:szCs w:val="21"/>
                    </w:rPr>
                  </w:pPr>
                  <w:r>
                    <w:rPr>
                      <w:szCs w:val="21"/>
                    </w:rPr>
                    <w:t>150</w:t>
                  </w:r>
                </w:p>
              </w:tc>
              <w:tc>
                <w:tcPr>
                  <w:tcW w:w="2033" w:type="dxa"/>
                  <w:tcBorders>
                    <w:top w:val="single" w:color="auto" w:sz="6" w:space="0"/>
                    <w:left w:val="single" w:color="auto" w:sz="6" w:space="0"/>
                    <w:bottom w:val="single" w:color="auto" w:sz="6" w:space="0"/>
                    <w:right w:val="single" w:color="auto" w:sz="12" w:space="0"/>
                  </w:tcBorders>
                  <w:vAlign w:val="center"/>
                </w:tcPr>
                <w:p w14:paraId="48D63843">
                  <w:pPr>
                    <w:spacing w:line="360" w:lineRule="exact"/>
                    <w:jc w:val="center"/>
                    <w:rPr>
                      <w:szCs w:val="21"/>
                    </w:rPr>
                  </w:pPr>
                  <w:r>
                    <w:rPr>
                      <w:szCs w:val="21"/>
                    </w:rPr>
                    <w:t>/</w:t>
                  </w:r>
                </w:p>
              </w:tc>
            </w:tr>
            <w:tr w14:paraId="4B763B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557" w:type="dxa"/>
                  <w:tcBorders>
                    <w:top w:val="single" w:color="auto" w:sz="6" w:space="0"/>
                    <w:left w:val="single" w:color="auto" w:sz="12" w:space="0"/>
                    <w:bottom w:val="single" w:color="auto" w:sz="6" w:space="0"/>
                    <w:right w:val="single" w:color="auto" w:sz="6" w:space="0"/>
                  </w:tcBorders>
                  <w:vAlign w:val="center"/>
                </w:tcPr>
                <w:p w14:paraId="7AC5FFD9">
                  <w:pPr>
                    <w:spacing w:line="360" w:lineRule="exact"/>
                    <w:jc w:val="center"/>
                    <w:rPr>
                      <w:szCs w:val="21"/>
                    </w:rPr>
                  </w:pPr>
                  <w:r>
                    <w:rPr>
                      <w:szCs w:val="21"/>
                    </w:rPr>
                    <w:t>CO</w:t>
                  </w:r>
                </w:p>
              </w:tc>
              <w:tc>
                <w:tcPr>
                  <w:tcW w:w="2541" w:type="dxa"/>
                  <w:tcBorders>
                    <w:top w:val="single" w:color="auto" w:sz="6" w:space="0"/>
                    <w:left w:val="single" w:color="auto" w:sz="6" w:space="0"/>
                    <w:bottom w:val="single" w:color="auto" w:sz="6" w:space="0"/>
                    <w:right w:val="single" w:color="auto" w:sz="6" w:space="0"/>
                  </w:tcBorders>
                  <w:vAlign w:val="center"/>
                </w:tcPr>
                <w:p w14:paraId="18F533CD">
                  <w:pPr>
                    <w:spacing w:line="360" w:lineRule="exact"/>
                    <w:jc w:val="center"/>
                    <w:rPr>
                      <w:szCs w:val="21"/>
                    </w:rPr>
                  </w:pPr>
                  <w:r>
                    <w:rPr>
                      <w:szCs w:val="21"/>
                    </w:rPr>
                    <w:t>/</w:t>
                  </w:r>
                </w:p>
              </w:tc>
              <w:tc>
                <w:tcPr>
                  <w:tcW w:w="1523" w:type="dxa"/>
                  <w:tcBorders>
                    <w:top w:val="single" w:color="auto" w:sz="6" w:space="0"/>
                    <w:left w:val="single" w:color="auto" w:sz="6" w:space="0"/>
                    <w:bottom w:val="single" w:color="auto" w:sz="6" w:space="0"/>
                    <w:right w:val="single" w:color="auto" w:sz="6" w:space="0"/>
                  </w:tcBorders>
                  <w:vAlign w:val="center"/>
                </w:tcPr>
                <w:p w14:paraId="11D0FEA4">
                  <w:pPr>
                    <w:spacing w:line="360" w:lineRule="exact"/>
                    <w:jc w:val="center"/>
                    <w:rPr>
                      <w:szCs w:val="21"/>
                    </w:rPr>
                  </w:pPr>
                  <w:r>
                    <w:rPr>
                      <w:szCs w:val="21"/>
                    </w:rPr>
                    <w:t>4000</w:t>
                  </w:r>
                </w:p>
              </w:tc>
              <w:tc>
                <w:tcPr>
                  <w:tcW w:w="2033" w:type="dxa"/>
                  <w:tcBorders>
                    <w:top w:val="single" w:color="auto" w:sz="6" w:space="0"/>
                    <w:left w:val="single" w:color="auto" w:sz="6" w:space="0"/>
                    <w:bottom w:val="single" w:color="auto" w:sz="6" w:space="0"/>
                    <w:right w:val="single" w:color="auto" w:sz="12" w:space="0"/>
                  </w:tcBorders>
                  <w:vAlign w:val="center"/>
                </w:tcPr>
                <w:p w14:paraId="19C591C7">
                  <w:pPr>
                    <w:spacing w:line="360" w:lineRule="exact"/>
                    <w:jc w:val="center"/>
                    <w:rPr>
                      <w:szCs w:val="21"/>
                    </w:rPr>
                  </w:pPr>
                  <w:r>
                    <w:rPr>
                      <w:szCs w:val="21"/>
                    </w:rPr>
                    <w:t>10000</w:t>
                  </w:r>
                </w:p>
              </w:tc>
            </w:tr>
            <w:tr w14:paraId="6D1A78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557" w:type="dxa"/>
                  <w:tcBorders>
                    <w:top w:val="single" w:color="auto" w:sz="6" w:space="0"/>
                    <w:left w:val="single" w:color="auto" w:sz="12" w:space="0"/>
                    <w:bottom w:val="single" w:color="auto" w:sz="6" w:space="0"/>
                    <w:right w:val="single" w:color="auto" w:sz="6" w:space="0"/>
                  </w:tcBorders>
                  <w:vAlign w:val="center"/>
                </w:tcPr>
                <w:p w14:paraId="11D9B1FB">
                  <w:pPr>
                    <w:spacing w:line="360" w:lineRule="exact"/>
                    <w:jc w:val="center"/>
                    <w:rPr>
                      <w:szCs w:val="21"/>
                    </w:rPr>
                  </w:pPr>
                  <w:r>
                    <w:rPr>
                      <w:szCs w:val="21"/>
                    </w:rPr>
                    <w:t>O</w:t>
                  </w:r>
                  <w:r>
                    <w:rPr>
                      <w:szCs w:val="21"/>
                      <w:vertAlign w:val="subscript"/>
                    </w:rPr>
                    <w:t>3</w:t>
                  </w:r>
                </w:p>
              </w:tc>
              <w:tc>
                <w:tcPr>
                  <w:tcW w:w="2541" w:type="dxa"/>
                  <w:tcBorders>
                    <w:top w:val="single" w:color="auto" w:sz="6" w:space="0"/>
                    <w:left w:val="single" w:color="auto" w:sz="6" w:space="0"/>
                    <w:bottom w:val="single" w:color="auto" w:sz="6" w:space="0"/>
                    <w:right w:val="single" w:color="auto" w:sz="6" w:space="0"/>
                  </w:tcBorders>
                  <w:vAlign w:val="center"/>
                </w:tcPr>
                <w:p w14:paraId="678DA9A5">
                  <w:pPr>
                    <w:spacing w:line="360" w:lineRule="exact"/>
                    <w:jc w:val="center"/>
                    <w:rPr>
                      <w:szCs w:val="21"/>
                    </w:rPr>
                  </w:pPr>
                  <w:r>
                    <w:rPr>
                      <w:szCs w:val="21"/>
                    </w:rPr>
                    <w:t>160（日最大8h平均值）</w:t>
                  </w:r>
                </w:p>
              </w:tc>
              <w:tc>
                <w:tcPr>
                  <w:tcW w:w="1523" w:type="dxa"/>
                  <w:tcBorders>
                    <w:top w:val="single" w:color="auto" w:sz="6" w:space="0"/>
                    <w:left w:val="single" w:color="auto" w:sz="6" w:space="0"/>
                    <w:bottom w:val="single" w:color="auto" w:sz="6" w:space="0"/>
                    <w:right w:val="single" w:color="auto" w:sz="6" w:space="0"/>
                  </w:tcBorders>
                  <w:vAlign w:val="center"/>
                </w:tcPr>
                <w:p w14:paraId="40B21960">
                  <w:pPr>
                    <w:spacing w:line="360" w:lineRule="exact"/>
                    <w:jc w:val="center"/>
                    <w:rPr>
                      <w:szCs w:val="21"/>
                    </w:rPr>
                  </w:pPr>
                  <w:r>
                    <w:rPr>
                      <w:szCs w:val="21"/>
                    </w:rPr>
                    <w:t>160</w:t>
                  </w:r>
                </w:p>
              </w:tc>
              <w:tc>
                <w:tcPr>
                  <w:tcW w:w="2033" w:type="dxa"/>
                  <w:tcBorders>
                    <w:top w:val="single" w:color="auto" w:sz="6" w:space="0"/>
                    <w:left w:val="single" w:color="auto" w:sz="6" w:space="0"/>
                    <w:bottom w:val="single" w:color="auto" w:sz="6" w:space="0"/>
                    <w:right w:val="single" w:color="auto" w:sz="12" w:space="0"/>
                  </w:tcBorders>
                  <w:vAlign w:val="center"/>
                </w:tcPr>
                <w:p w14:paraId="0B844A13">
                  <w:pPr>
                    <w:spacing w:line="360" w:lineRule="exact"/>
                    <w:jc w:val="center"/>
                    <w:rPr>
                      <w:szCs w:val="21"/>
                    </w:rPr>
                  </w:pPr>
                  <w:r>
                    <w:rPr>
                      <w:szCs w:val="21"/>
                    </w:rPr>
                    <w:t>200</w:t>
                  </w:r>
                </w:p>
              </w:tc>
            </w:tr>
            <w:tr w14:paraId="0F3E73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557" w:type="dxa"/>
                  <w:tcBorders>
                    <w:top w:val="single" w:color="auto" w:sz="6" w:space="0"/>
                    <w:left w:val="single" w:color="auto" w:sz="12" w:space="0"/>
                    <w:bottom w:val="single" w:color="auto" w:sz="12" w:space="0"/>
                    <w:right w:val="single" w:color="auto" w:sz="6" w:space="0"/>
                  </w:tcBorders>
                  <w:vAlign w:val="center"/>
                </w:tcPr>
                <w:p w14:paraId="2B879FB6">
                  <w:pPr>
                    <w:spacing w:line="360" w:lineRule="exact"/>
                    <w:jc w:val="center"/>
                    <w:rPr>
                      <w:szCs w:val="21"/>
                    </w:rPr>
                  </w:pPr>
                  <w:r>
                    <w:rPr>
                      <w:szCs w:val="21"/>
                    </w:rPr>
                    <w:t>PM</w:t>
                  </w:r>
                  <w:r>
                    <w:rPr>
                      <w:szCs w:val="21"/>
                      <w:vertAlign w:val="subscript"/>
                    </w:rPr>
                    <w:t>2.5</w:t>
                  </w:r>
                </w:p>
              </w:tc>
              <w:tc>
                <w:tcPr>
                  <w:tcW w:w="2541" w:type="dxa"/>
                  <w:tcBorders>
                    <w:top w:val="single" w:color="auto" w:sz="6" w:space="0"/>
                    <w:left w:val="single" w:color="auto" w:sz="6" w:space="0"/>
                    <w:bottom w:val="single" w:color="auto" w:sz="12" w:space="0"/>
                    <w:right w:val="single" w:color="auto" w:sz="6" w:space="0"/>
                  </w:tcBorders>
                  <w:vAlign w:val="center"/>
                </w:tcPr>
                <w:p w14:paraId="0D06D792">
                  <w:pPr>
                    <w:spacing w:line="360" w:lineRule="exact"/>
                    <w:jc w:val="center"/>
                    <w:rPr>
                      <w:szCs w:val="21"/>
                    </w:rPr>
                  </w:pPr>
                  <w:r>
                    <w:rPr>
                      <w:szCs w:val="21"/>
                    </w:rPr>
                    <w:t>35</w:t>
                  </w:r>
                </w:p>
              </w:tc>
              <w:tc>
                <w:tcPr>
                  <w:tcW w:w="1523" w:type="dxa"/>
                  <w:tcBorders>
                    <w:top w:val="single" w:color="auto" w:sz="6" w:space="0"/>
                    <w:left w:val="single" w:color="auto" w:sz="6" w:space="0"/>
                    <w:bottom w:val="single" w:color="auto" w:sz="12" w:space="0"/>
                    <w:right w:val="single" w:color="auto" w:sz="6" w:space="0"/>
                  </w:tcBorders>
                  <w:vAlign w:val="center"/>
                </w:tcPr>
                <w:p w14:paraId="5A88B655">
                  <w:pPr>
                    <w:spacing w:line="360" w:lineRule="exact"/>
                    <w:jc w:val="center"/>
                    <w:rPr>
                      <w:szCs w:val="21"/>
                    </w:rPr>
                  </w:pPr>
                  <w:r>
                    <w:rPr>
                      <w:szCs w:val="21"/>
                    </w:rPr>
                    <w:t>75</w:t>
                  </w:r>
                </w:p>
              </w:tc>
              <w:tc>
                <w:tcPr>
                  <w:tcW w:w="2033" w:type="dxa"/>
                  <w:tcBorders>
                    <w:top w:val="single" w:color="auto" w:sz="6" w:space="0"/>
                    <w:left w:val="single" w:color="auto" w:sz="6" w:space="0"/>
                    <w:bottom w:val="single" w:color="auto" w:sz="12" w:space="0"/>
                    <w:right w:val="single" w:color="auto" w:sz="12" w:space="0"/>
                  </w:tcBorders>
                  <w:vAlign w:val="center"/>
                </w:tcPr>
                <w:p w14:paraId="49C7C0DB">
                  <w:pPr>
                    <w:spacing w:line="360" w:lineRule="exact"/>
                    <w:jc w:val="center"/>
                    <w:rPr>
                      <w:szCs w:val="21"/>
                    </w:rPr>
                  </w:pPr>
                  <w:r>
                    <w:rPr>
                      <w:szCs w:val="21"/>
                    </w:rPr>
                    <w:t>/</w:t>
                  </w:r>
                </w:p>
              </w:tc>
            </w:tr>
          </w:tbl>
          <w:p w14:paraId="69E44BA1">
            <w:pPr>
              <w:pStyle w:val="18"/>
              <w:spacing w:line="360" w:lineRule="auto"/>
              <w:ind w:left="0" w:firstLine="0" w:firstLineChars="0"/>
              <w:rPr>
                <w:b/>
                <w:bCs/>
                <w:sz w:val="24"/>
                <w:szCs w:val="24"/>
              </w:rPr>
            </w:pPr>
            <w:r>
              <w:rPr>
                <w:rFonts w:hint="eastAsia"/>
                <w:b/>
                <w:bCs/>
                <w:sz w:val="24"/>
                <w:szCs w:val="24"/>
              </w:rPr>
              <w:t>二、地表水环境质量</w:t>
            </w:r>
            <w:r>
              <w:rPr>
                <w:b/>
                <w:bCs/>
                <w:sz w:val="24"/>
                <w:szCs w:val="24"/>
              </w:rPr>
              <w:t>:</w:t>
            </w:r>
          </w:p>
          <w:p w14:paraId="7636440A">
            <w:pPr>
              <w:pStyle w:val="18"/>
              <w:spacing w:line="360" w:lineRule="auto"/>
              <w:ind w:left="0" w:firstLine="480" w:firstLineChars="200"/>
              <w:rPr>
                <w:b/>
                <w:bCs/>
                <w:sz w:val="24"/>
                <w:szCs w:val="24"/>
              </w:rPr>
            </w:pPr>
            <w:r>
              <w:rPr>
                <w:rFonts w:hint="eastAsia"/>
                <w:bCs/>
                <w:sz w:val="24"/>
                <w:szCs w:val="24"/>
              </w:rPr>
              <w:t>大渡河</w:t>
            </w:r>
            <w:r>
              <w:rPr>
                <w:rFonts w:hint="eastAsia"/>
                <w:sz w:val="24"/>
                <w:szCs w:val="24"/>
              </w:rPr>
              <w:t>执行国家《地表水环境质量标准》（</w:t>
            </w:r>
            <w:r>
              <w:rPr>
                <w:sz w:val="24"/>
                <w:szCs w:val="24"/>
              </w:rPr>
              <w:t>GB3838-2002</w:t>
            </w:r>
            <w:r>
              <w:rPr>
                <w:rFonts w:hint="eastAsia"/>
                <w:sz w:val="24"/>
                <w:szCs w:val="24"/>
              </w:rPr>
              <w:t>）</w:t>
            </w:r>
            <w:r>
              <w:rPr>
                <w:rFonts w:hint="eastAsia" w:ascii="宋体" w:hAnsi="宋体" w:cs="宋体"/>
                <w:sz w:val="24"/>
                <w:szCs w:val="24"/>
              </w:rPr>
              <w:t>Ⅲ</w:t>
            </w:r>
            <w:r>
              <w:rPr>
                <w:rFonts w:hint="eastAsia"/>
                <w:sz w:val="24"/>
                <w:szCs w:val="24"/>
              </w:rPr>
              <w:t>类标准。标准限值见表</w:t>
            </w:r>
            <w:r>
              <w:rPr>
                <w:sz w:val="24"/>
                <w:szCs w:val="24"/>
              </w:rPr>
              <w:t>4-2</w:t>
            </w:r>
            <w:r>
              <w:rPr>
                <w:rFonts w:hint="eastAsia"/>
                <w:sz w:val="24"/>
                <w:szCs w:val="24"/>
              </w:rPr>
              <w:t>。</w:t>
            </w:r>
          </w:p>
          <w:p w14:paraId="1ADD2AB2">
            <w:pPr>
              <w:spacing w:line="360" w:lineRule="auto"/>
              <w:ind w:firstLine="200"/>
              <w:jc w:val="center"/>
              <w:rPr>
                <w:rFonts w:ascii="黑体" w:hAnsi="黑体" w:eastAsia="黑体"/>
                <w:b/>
                <w:sz w:val="24"/>
              </w:rPr>
            </w:pPr>
            <w:r>
              <w:rPr>
                <w:rFonts w:hint="eastAsia" w:ascii="黑体" w:hAnsi="黑体" w:eastAsia="黑体"/>
                <w:b/>
                <w:sz w:val="24"/>
              </w:rPr>
              <w:t>表</w:t>
            </w:r>
            <w:r>
              <w:rPr>
                <w:rFonts w:ascii="黑体" w:hAnsi="黑体" w:eastAsia="黑体"/>
                <w:b/>
                <w:sz w:val="24"/>
              </w:rPr>
              <w:t xml:space="preserve">4-2     </w:t>
            </w:r>
            <w:r>
              <w:rPr>
                <w:rFonts w:hint="eastAsia" w:ascii="黑体" w:hAnsi="黑体" w:eastAsia="黑体"/>
                <w:b/>
                <w:sz w:val="24"/>
              </w:rPr>
              <w:t>地表水环境质量标准</w:t>
            </w:r>
            <w:r>
              <w:rPr>
                <w:rFonts w:ascii="黑体" w:hAnsi="黑体" w:eastAsia="黑体"/>
                <w:b/>
                <w:sz w:val="24"/>
              </w:rPr>
              <w:t xml:space="preserve">    </w:t>
            </w:r>
            <w:r>
              <w:rPr>
                <w:rFonts w:hint="eastAsia" w:ascii="黑体" w:hAnsi="黑体" w:eastAsia="黑体"/>
                <w:b/>
                <w:sz w:val="24"/>
              </w:rPr>
              <w:t>单位：</w:t>
            </w:r>
            <w:r>
              <w:rPr>
                <w:rFonts w:ascii="黑体" w:hAnsi="黑体" w:eastAsia="黑体"/>
                <w:b/>
                <w:sz w:val="24"/>
              </w:rPr>
              <w:t>mg/L</w:t>
            </w:r>
          </w:p>
          <w:tbl>
            <w:tblPr>
              <w:tblStyle w:val="2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08"/>
              <w:gridCol w:w="900"/>
              <w:gridCol w:w="1043"/>
              <w:gridCol w:w="1047"/>
              <w:gridCol w:w="939"/>
              <w:gridCol w:w="911"/>
              <w:gridCol w:w="911"/>
              <w:gridCol w:w="796"/>
            </w:tblGrid>
            <w:tr w14:paraId="100511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24" w:type="pct"/>
                  <w:tcBorders>
                    <w:top w:val="single" w:color="auto" w:sz="12" w:space="0"/>
                    <w:left w:val="single" w:color="auto" w:sz="12" w:space="0"/>
                    <w:bottom w:val="single" w:color="auto" w:sz="6" w:space="0"/>
                    <w:right w:val="single" w:color="auto" w:sz="6" w:space="0"/>
                  </w:tcBorders>
                  <w:vAlign w:val="center"/>
                </w:tcPr>
                <w:p w14:paraId="31BBBA45">
                  <w:pPr>
                    <w:pStyle w:val="18"/>
                    <w:ind w:left="0" w:firstLine="0" w:firstLineChars="0"/>
                    <w:jc w:val="center"/>
                    <w:rPr>
                      <w:szCs w:val="21"/>
                    </w:rPr>
                  </w:pPr>
                  <w:r>
                    <w:rPr>
                      <w:rFonts w:hint="eastAsia"/>
                      <w:szCs w:val="21"/>
                    </w:rPr>
                    <w:t>项目</w:t>
                  </w:r>
                </w:p>
              </w:tc>
              <w:tc>
                <w:tcPr>
                  <w:tcW w:w="588" w:type="pct"/>
                  <w:tcBorders>
                    <w:top w:val="single" w:color="auto" w:sz="12" w:space="0"/>
                    <w:left w:val="single" w:color="auto" w:sz="6" w:space="0"/>
                    <w:bottom w:val="single" w:color="auto" w:sz="6" w:space="0"/>
                    <w:right w:val="single" w:color="auto" w:sz="6" w:space="0"/>
                  </w:tcBorders>
                  <w:vAlign w:val="center"/>
                </w:tcPr>
                <w:p w14:paraId="09E5A71C">
                  <w:pPr>
                    <w:pStyle w:val="18"/>
                    <w:ind w:left="0" w:firstLine="0" w:firstLineChars="0"/>
                    <w:jc w:val="center"/>
                    <w:rPr>
                      <w:szCs w:val="21"/>
                    </w:rPr>
                  </w:pPr>
                  <w:r>
                    <w:rPr>
                      <w:szCs w:val="21"/>
                    </w:rPr>
                    <w:t>pH</w:t>
                  </w:r>
                </w:p>
              </w:tc>
              <w:tc>
                <w:tcPr>
                  <w:tcW w:w="681" w:type="pct"/>
                  <w:tcBorders>
                    <w:top w:val="single" w:color="auto" w:sz="12" w:space="0"/>
                    <w:left w:val="single" w:color="auto" w:sz="6" w:space="0"/>
                    <w:bottom w:val="single" w:color="auto" w:sz="6" w:space="0"/>
                    <w:right w:val="single" w:color="auto" w:sz="6" w:space="0"/>
                  </w:tcBorders>
                  <w:vAlign w:val="center"/>
                </w:tcPr>
                <w:p w14:paraId="4A489FEF">
                  <w:pPr>
                    <w:pStyle w:val="18"/>
                    <w:ind w:left="0" w:firstLine="0" w:firstLineChars="0"/>
                    <w:jc w:val="center"/>
                    <w:rPr>
                      <w:szCs w:val="21"/>
                      <w:vertAlign w:val="subscript"/>
                    </w:rPr>
                  </w:pPr>
                  <w:r>
                    <w:rPr>
                      <w:szCs w:val="21"/>
                    </w:rPr>
                    <w:t>COD</w:t>
                  </w:r>
                </w:p>
              </w:tc>
              <w:tc>
                <w:tcPr>
                  <w:tcW w:w="684" w:type="pct"/>
                  <w:tcBorders>
                    <w:top w:val="single" w:color="auto" w:sz="12" w:space="0"/>
                    <w:left w:val="single" w:color="auto" w:sz="6" w:space="0"/>
                    <w:bottom w:val="single" w:color="auto" w:sz="6" w:space="0"/>
                    <w:right w:val="single" w:color="auto" w:sz="6" w:space="0"/>
                  </w:tcBorders>
                  <w:vAlign w:val="center"/>
                </w:tcPr>
                <w:p w14:paraId="5F2C6798">
                  <w:pPr>
                    <w:pStyle w:val="18"/>
                    <w:ind w:left="0" w:firstLine="0" w:firstLineChars="0"/>
                    <w:jc w:val="center"/>
                    <w:rPr>
                      <w:szCs w:val="21"/>
                      <w:vertAlign w:val="subscript"/>
                    </w:rPr>
                  </w:pPr>
                  <w:r>
                    <w:rPr>
                      <w:szCs w:val="21"/>
                    </w:rPr>
                    <w:t>BOD</w:t>
                  </w:r>
                  <w:r>
                    <w:rPr>
                      <w:szCs w:val="21"/>
                      <w:vertAlign w:val="subscript"/>
                    </w:rPr>
                    <w:t>5</w:t>
                  </w:r>
                </w:p>
              </w:tc>
              <w:tc>
                <w:tcPr>
                  <w:tcW w:w="613" w:type="pct"/>
                  <w:tcBorders>
                    <w:top w:val="single" w:color="auto" w:sz="12" w:space="0"/>
                    <w:left w:val="single" w:color="auto" w:sz="6" w:space="0"/>
                    <w:bottom w:val="single" w:color="auto" w:sz="6" w:space="0"/>
                    <w:right w:val="single" w:color="auto" w:sz="6" w:space="0"/>
                  </w:tcBorders>
                  <w:vAlign w:val="center"/>
                </w:tcPr>
                <w:p w14:paraId="458F0EE8">
                  <w:pPr>
                    <w:pStyle w:val="18"/>
                    <w:ind w:left="0" w:firstLine="0" w:firstLineChars="0"/>
                    <w:jc w:val="center"/>
                    <w:rPr>
                      <w:szCs w:val="21"/>
                    </w:rPr>
                  </w:pPr>
                  <w:r>
                    <w:rPr>
                      <w:rFonts w:hint="eastAsia"/>
                      <w:szCs w:val="21"/>
                    </w:rPr>
                    <w:t>氨氮</w:t>
                  </w:r>
                </w:p>
              </w:tc>
              <w:tc>
                <w:tcPr>
                  <w:tcW w:w="595" w:type="pct"/>
                  <w:tcBorders>
                    <w:top w:val="single" w:color="auto" w:sz="12" w:space="0"/>
                    <w:left w:val="single" w:color="auto" w:sz="6" w:space="0"/>
                    <w:bottom w:val="single" w:color="auto" w:sz="6" w:space="0"/>
                    <w:right w:val="single" w:color="auto" w:sz="6" w:space="0"/>
                  </w:tcBorders>
                  <w:vAlign w:val="center"/>
                </w:tcPr>
                <w:p w14:paraId="1C3BA836">
                  <w:pPr>
                    <w:pStyle w:val="18"/>
                    <w:ind w:left="0" w:firstLine="0" w:firstLineChars="0"/>
                    <w:jc w:val="center"/>
                    <w:rPr>
                      <w:szCs w:val="21"/>
                    </w:rPr>
                  </w:pPr>
                  <w:r>
                    <w:rPr>
                      <w:szCs w:val="21"/>
                    </w:rPr>
                    <w:t>SS</w:t>
                  </w:r>
                </w:p>
              </w:tc>
              <w:tc>
                <w:tcPr>
                  <w:tcW w:w="595" w:type="pct"/>
                  <w:tcBorders>
                    <w:top w:val="single" w:color="auto" w:sz="12" w:space="0"/>
                    <w:left w:val="single" w:color="auto" w:sz="6" w:space="0"/>
                    <w:bottom w:val="single" w:color="auto" w:sz="6" w:space="0"/>
                    <w:right w:val="single" w:color="auto" w:sz="6" w:space="0"/>
                  </w:tcBorders>
                  <w:vAlign w:val="center"/>
                </w:tcPr>
                <w:p w14:paraId="37B0CF7F">
                  <w:pPr>
                    <w:pStyle w:val="18"/>
                    <w:ind w:left="0" w:firstLine="0" w:firstLineChars="0"/>
                    <w:jc w:val="center"/>
                    <w:rPr>
                      <w:szCs w:val="21"/>
                    </w:rPr>
                  </w:pPr>
                  <w:r>
                    <w:rPr>
                      <w:rFonts w:hint="eastAsia"/>
                      <w:szCs w:val="21"/>
                    </w:rPr>
                    <w:t>总磷</w:t>
                  </w:r>
                </w:p>
              </w:tc>
              <w:tc>
                <w:tcPr>
                  <w:tcW w:w="521" w:type="pct"/>
                  <w:tcBorders>
                    <w:top w:val="single" w:color="auto" w:sz="12" w:space="0"/>
                    <w:left w:val="single" w:color="auto" w:sz="6" w:space="0"/>
                    <w:bottom w:val="single" w:color="auto" w:sz="6" w:space="0"/>
                    <w:right w:val="single" w:color="auto" w:sz="6" w:space="0"/>
                  </w:tcBorders>
                  <w:vAlign w:val="center"/>
                </w:tcPr>
                <w:p w14:paraId="1515179A">
                  <w:pPr>
                    <w:pStyle w:val="18"/>
                    <w:ind w:left="0" w:firstLine="0" w:firstLineChars="0"/>
                    <w:jc w:val="center"/>
                    <w:rPr>
                      <w:szCs w:val="21"/>
                    </w:rPr>
                  </w:pPr>
                  <w:r>
                    <w:rPr>
                      <w:rFonts w:hint="eastAsia"/>
                      <w:szCs w:val="21"/>
                    </w:rPr>
                    <w:t>总氮</w:t>
                  </w:r>
                </w:p>
              </w:tc>
            </w:tr>
            <w:tr w14:paraId="14FE12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24" w:type="pct"/>
                  <w:tcBorders>
                    <w:top w:val="single" w:color="auto" w:sz="6" w:space="0"/>
                    <w:left w:val="single" w:color="auto" w:sz="12" w:space="0"/>
                    <w:bottom w:val="single" w:color="auto" w:sz="12" w:space="0"/>
                    <w:right w:val="single" w:color="auto" w:sz="6" w:space="0"/>
                  </w:tcBorders>
                  <w:vAlign w:val="center"/>
                </w:tcPr>
                <w:p w14:paraId="2D76EB95">
                  <w:pPr>
                    <w:pStyle w:val="18"/>
                    <w:ind w:left="0" w:firstLine="0" w:firstLineChars="0"/>
                    <w:jc w:val="center"/>
                    <w:rPr>
                      <w:szCs w:val="21"/>
                    </w:rPr>
                  </w:pPr>
                  <w:r>
                    <w:rPr>
                      <w:rFonts w:hint="eastAsia"/>
                      <w:szCs w:val="21"/>
                    </w:rPr>
                    <w:t>标准值</w:t>
                  </w:r>
                </w:p>
              </w:tc>
              <w:tc>
                <w:tcPr>
                  <w:tcW w:w="588" w:type="pct"/>
                  <w:tcBorders>
                    <w:top w:val="single" w:color="auto" w:sz="6" w:space="0"/>
                    <w:left w:val="single" w:color="auto" w:sz="6" w:space="0"/>
                    <w:bottom w:val="single" w:color="auto" w:sz="12" w:space="0"/>
                    <w:right w:val="single" w:color="auto" w:sz="6" w:space="0"/>
                  </w:tcBorders>
                  <w:vAlign w:val="center"/>
                </w:tcPr>
                <w:p w14:paraId="463876B7">
                  <w:pPr>
                    <w:pStyle w:val="18"/>
                    <w:ind w:left="0" w:firstLine="0" w:firstLineChars="0"/>
                    <w:jc w:val="center"/>
                    <w:rPr>
                      <w:szCs w:val="21"/>
                    </w:rPr>
                  </w:pPr>
                  <w:r>
                    <w:rPr>
                      <w:szCs w:val="21"/>
                    </w:rPr>
                    <w:t>6</w:t>
                  </w:r>
                  <w:r>
                    <w:rPr>
                      <w:rFonts w:hint="eastAsia"/>
                      <w:szCs w:val="21"/>
                    </w:rPr>
                    <w:t>～</w:t>
                  </w:r>
                  <w:r>
                    <w:rPr>
                      <w:szCs w:val="21"/>
                    </w:rPr>
                    <w:t>9</w:t>
                  </w:r>
                </w:p>
              </w:tc>
              <w:tc>
                <w:tcPr>
                  <w:tcW w:w="681" w:type="pct"/>
                  <w:tcBorders>
                    <w:top w:val="single" w:color="auto" w:sz="6" w:space="0"/>
                    <w:left w:val="single" w:color="auto" w:sz="6" w:space="0"/>
                    <w:bottom w:val="single" w:color="auto" w:sz="12" w:space="0"/>
                    <w:right w:val="single" w:color="auto" w:sz="6" w:space="0"/>
                  </w:tcBorders>
                  <w:vAlign w:val="center"/>
                </w:tcPr>
                <w:p w14:paraId="7F2F1E2C">
                  <w:pPr>
                    <w:pStyle w:val="18"/>
                    <w:ind w:left="0" w:firstLine="0" w:firstLineChars="0"/>
                    <w:jc w:val="center"/>
                    <w:rPr>
                      <w:szCs w:val="21"/>
                    </w:rPr>
                  </w:pPr>
                  <w:r>
                    <w:rPr>
                      <w:szCs w:val="21"/>
                    </w:rPr>
                    <w:t>≤20</w:t>
                  </w:r>
                </w:p>
              </w:tc>
              <w:tc>
                <w:tcPr>
                  <w:tcW w:w="684" w:type="pct"/>
                  <w:tcBorders>
                    <w:top w:val="single" w:color="auto" w:sz="6" w:space="0"/>
                    <w:left w:val="single" w:color="auto" w:sz="6" w:space="0"/>
                    <w:bottom w:val="single" w:color="auto" w:sz="12" w:space="0"/>
                    <w:right w:val="single" w:color="auto" w:sz="6" w:space="0"/>
                  </w:tcBorders>
                  <w:vAlign w:val="center"/>
                </w:tcPr>
                <w:p w14:paraId="4DA57A11">
                  <w:pPr>
                    <w:pStyle w:val="18"/>
                    <w:ind w:left="0" w:firstLine="0" w:firstLineChars="0"/>
                    <w:jc w:val="center"/>
                    <w:rPr>
                      <w:szCs w:val="21"/>
                    </w:rPr>
                  </w:pPr>
                  <w:r>
                    <w:rPr>
                      <w:szCs w:val="21"/>
                    </w:rPr>
                    <w:t>≤4.0</w:t>
                  </w:r>
                </w:p>
              </w:tc>
              <w:tc>
                <w:tcPr>
                  <w:tcW w:w="613" w:type="pct"/>
                  <w:tcBorders>
                    <w:top w:val="single" w:color="auto" w:sz="6" w:space="0"/>
                    <w:left w:val="single" w:color="auto" w:sz="6" w:space="0"/>
                    <w:bottom w:val="single" w:color="auto" w:sz="12" w:space="0"/>
                    <w:right w:val="single" w:color="auto" w:sz="6" w:space="0"/>
                  </w:tcBorders>
                  <w:vAlign w:val="center"/>
                </w:tcPr>
                <w:p w14:paraId="6048B038">
                  <w:pPr>
                    <w:pStyle w:val="18"/>
                    <w:ind w:left="0" w:firstLine="0" w:firstLineChars="0"/>
                    <w:jc w:val="center"/>
                    <w:rPr>
                      <w:szCs w:val="21"/>
                    </w:rPr>
                  </w:pPr>
                  <w:r>
                    <w:rPr>
                      <w:szCs w:val="21"/>
                    </w:rPr>
                    <w:t>≤1.0</w:t>
                  </w:r>
                </w:p>
              </w:tc>
              <w:tc>
                <w:tcPr>
                  <w:tcW w:w="595" w:type="pct"/>
                  <w:tcBorders>
                    <w:top w:val="single" w:color="auto" w:sz="6" w:space="0"/>
                    <w:left w:val="single" w:color="auto" w:sz="6" w:space="0"/>
                    <w:bottom w:val="single" w:color="auto" w:sz="12" w:space="0"/>
                    <w:right w:val="single" w:color="auto" w:sz="6" w:space="0"/>
                  </w:tcBorders>
                  <w:vAlign w:val="center"/>
                </w:tcPr>
                <w:p w14:paraId="5F9D5093">
                  <w:pPr>
                    <w:pStyle w:val="18"/>
                    <w:ind w:left="0" w:firstLine="0" w:firstLineChars="0"/>
                    <w:jc w:val="center"/>
                    <w:rPr>
                      <w:szCs w:val="21"/>
                    </w:rPr>
                  </w:pPr>
                  <w:r>
                    <w:rPr>
                      <w:szCs w:val="21"/>
                    </w:rPr>
                    <w:t>/</w:t>
                  </w:r>
                </w:p>
              </w:tc>
              <w:tc>
                <w:tcPr>
                  <w:tcW w:w="595" w:type="pct"/>
                  <w:tcBorders>
                    <w:top w:val="single" w:color="auto" w:sz="6" w:space="0"/>
                    <w:left w:val="single" w:color="auto" w:sz="6" w:space="0"/>
                    <w:bottom w:val="single" w:color="auto" w:sz="12" w:space="0"/>
                    <w:right w:val="single" w:color="auto" w:sz="6" w:space="0"/>
                  </w:tcBorders>
                  <w:vAlign w:val="center"/>
                </w:tcPr>
                <w:p w14:paraId="3128F763">
                  <w:pPr>
                    <w:pStyle w:val="18"/>
                    <w:ind w:left="0" w:firstLine="0" w:firstLineChars="0"/>
                    <w:jc w:val="center"/>
                    <w:rPr>
                      <w:szCs w:val="21"/>
                    </w:rPr>
                  </w:pPr>
                  <w:r>
                    <w:rPr>
                      <w:szCs w:val="21"/>
                    </w:rPr>
                    <w:t>0.2</w:t>
                  </w:r>
                </w:p>
              </w:tc>
              <w:tc>
                <w:tcPr>
                  <w:tcW w:w="521" w:type="pct"/>
                  <w:tcBorders>
                    <w:top w:val="single" w:color="auto" w:sz="6" w:space="0"/>
                    <w:left w:val="single" w:color="auto" w:sz="6" w:space="0"/>
                    <w:bottom w:val="single" w:color="auto" w:sz="12" w:space="0"/>
                    <w:right w:val="single" w:color="auto" w:sz="6" w:space="0"/>
                  </w:tcBorders>
                  <w:vAlign w:val="center"/>
                </w:tcPr>
                <w:p w14:paraId="0BA75E98">
                  <w:pPr>
                    <w:pStyle w:val="18"/>
                    <w:ind w:left="0" w:firstLine="0" w:firstLineChars="0"/>
                    <w:jc w:val="center"/>
                    <w:rPr>
                      <w:szCs w:val="21"/>
                    </w:rPr>
                  </w:pPr>
                  <w:r>
                    <w:rPr>
                      <w:szCs w:val="21"/>
                    </w:rPr>
                    <w:t>1.0</w:t>
                  </w:r>
                </w:p>
              </w:tc>
            </w:tr>
          </w:tbl>
          <w:p w14:paraId="72163092">
            <w:pPr>
              <w:pStyle w:val="18"/>
              <w:spacing w:line="360" w:lineRule="auto"/>
              <w:ind w:left="0" w:firstLine="0" w:firstLineChars="0"/>
              <w:rPr>
                <w:b/>
                <w:bCs/>
                <w:sz w:val="24"/>
                <w:szCs w:val="24"/>
              </w:rPr>
            </w:pPr>
            <w:r>
              <w:rPr>
                <w:rFonts w:hint="eastAsia"/>
                <w:b/>
                <w:bCs/>
                <w:sz w:val="24"/>
                <w:szCs w:val="24"/>
              </w:rPr>
              <w:t>三、噪声环境质量：</w:t>
            </w:r>
          </w:p>
          <w:p w14:paraId="585241BB">
            <w:pPr>
              <w:pStyle w:val="18"/>
              <w:spacing w:line="360" w:lineRule="auto"/>
              <w:ind w:left="0" w:firstLine="480" w:firstLineChars="200"/>
              <w:rPr>
                <w:bCs/>
                <w:sz w:val="24"/>
                <w:szCs w:val="24"/>
              </w:rPr>
            </w:pPr>
            <w:r>
              <w:rPr>
                <w:rFonts w:hint="eastAsia"/>
                <w:sz w:val="24"/>
                <w:szCs w:val="24"/>
              </w:rPr>
              <w:t>执行国家《声环境质量标准》（</w:t>
            </w:r>
            <w:r>
              <w:rPr>
                <w:sz w:val="24"/>
                <w:szCs w:val="24"/>
              </w:rPr>
              <w:t>GB3096-2008</w:t>
            </w:r>
            <w:r>
              <w:rPr>
                <w:rFonts w:hint="eastAsia"/>
                <w:sz w:val="24"/>
                <w:szCs w:val="24"/>
              </w:rPr>
              <w:t>）中</w:t>
            </w:r>
            <w:r>
              <w:rPr>
                <w:sz w:val="24"/>
                <w:szCs w:val="24"/>
              </w:rPr>
              <w:t>2</w:t>
            </w:r>
            <w:r>
              <w:rPr>
                <w:rFonts w:hint="eastAsia"/>
                <w:sz w:val="24"/>
                <w:szCs w:val="24"/>
              </w:rPr>
              <w:t>类标准</w:t>
            </w:r>
            <w:r>
              <w:rPr>
                <w:rFonts w:hint="eastAsia"/>
                <w:bCs/>
                <w:sz w:val="24"/>
                <w:szCs w:val="24"/>
              </w:rPr>
              <w:t>。标准限值见表</w:t>
            </w:r>
            <w:r>
              <w:rPr>
                <w:bCs/>
                <w:sz w:val="24"/>
                <w:szCs w:val="24"/>
              </w:rPr>
              <w:t>4-3</w:t>
            </w:r>
            <w:r>
              <w:rPr>
                <w:rFonts w:hint="eastAsia"/>
                <w:bCs/>
                <w:sz w:val="24"/>
                <w:szCs w:val="24"/>
              </w:rPr>
              <w:t>。</w:t>
            </w:r>
          </w:p>
          <w:p w14:paraId="66B083F7">
            <w:pPr>
              <w:pStyle w:val="18"/>
              <w:spacing w:line="360" w:lineRule="auto"/>
              <w:ind w:left="0" w:hanging="198" w:firstLineChars="0"/>
              <w:jc w:val="center"/>
              <w:rPr>
                <w:rFonts w:ascii="黑体" w:hAnsi="黑体" w:eastAsia="黑体"/>
                <w:b/>
                <w:bCs/>
                <w:sz w:val="24"/>
                <w:szCs w:val="24"/>
              </w:rPr>
            </w:pPr>
            <w:r>
              <w:rPr>
                <w:rFonts w:hint="eastAsia" w:ascii="黑体" w:hAnsi="黑体" w:eastAsia="黑体"/>
                <w:b/>
                <w:bCs/>
                <w:sz w:val="24"/>
                <w:szCs w:val="24"/>
              </w:rPr>
              <w:t>表</w:t>
            </w:r>
            <w:r>
              <w:rPr>
                <w:rFonts w:ascii="黑体" w:hAnsi="黑体" w:eastAsia="黑体"/>
                <w:b/>
                <w:bCs/>
                <w:sz w:val="24"/>
                <w:szCs w:val="24"/>
              </w:rPr>
              <w:t xml:space="preserve">4-3    </w:t>
            </w:r>
            <w:r>
              <w:rPr>
                <w:rFonts w:hint="eastAsia" w:ascii="黑体" w:hAnsi="黑体" w:eastAsia="黑体"/>
                <w:b/>
                <w:bCs/>
                <w:sz w:val="24"/>
                <w:szCs w:val="24"/>
              </w:rPr>
              <w:t>环境噪声标准值表</w:t>
            </w:r>
            <w:r>
              <w:rPr>
                <w:rFonts w:ascii="黑体" w:hAnsi="黑体" w:eastAsia="黑体"/>
                <w:b/>
                <w:bCs/>
                <w:sz w:val="24"/>
                <w:szCs w:val="24"/>
              </w:rPr>
              <w:t xml:space="preserve">     </w:t>
            </w:r>
            <w:r>
              <w:rPr>
                <w:rFonts w:hint="eastAsia" w:ascii="黑体" w:hAnsi="黑体" w:eastAsia="黑体"/>
                <w:b/>
                <w:bCs/>
                <w:sz w:val="24"/>
                <w:szCs w:val="24"/>
              </w:rPr>
              <w:t>单位：</w:t>
            </w:r>
            <w:r>
              <w:rPr>
                <w:rFonts w:ascii="黑体" w:hAnsi="黑体" w:eastAsia="黑体"/>
                <w:b/>
                <w:bCs/>
                <w:sz w:val="24"/>
                <w:szCs w:val="24"/>
              </w:rPr>
              <w:t>dB(A)</w:t>
            </w:r>
          </w:p>
          <w:tbl>
            <w:tblPr>
              <w:tblStyle w:val="25"/>
              <w:tblW w:w="765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368"/>
              <w:gridCol w:w="2860"/>
              <w:gridCol w:w="2427"/>
            </w:tblGrid>
            <w:tr w14:paraId="00AE99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368" w:type="dxa"/>
                  <w:tcBorders>
                    <w:top w:val="single" w:color="auto" w:sz="12" w:space="0"/>
                    <w:left w:val="single" w:color="auto" w:sz="12" w:space="0"/>
                    <w:bottom w:val="single" w:color="auto" w:sz="4" w:space="0"/>
                    <w:right w:val="single" w:color="auto" w:sz="6" w:space="0"/>
                  </w:tcBorders>
                </w:tcPr>
                <w:p w14:paraId="1CC37D30">
                  <w:pPr>
                    <w:jc w:val="center"/>
                    <w:rPr>
                      <w:caps/>
                      <w:szCs w:val="21"/>
                    </w:rPr>
                  </w:pPr>
                  <w:r>
                    <w:rPr>
                      <w:rFonts w:hint="eastAsia"/>
                      <w:caps/>
                      <w:szCs w:val="21"/>
                    </w:rPr>
                    <w:t>标准</w:t>
                  </w:r>
                </w:p>
              </w:tc>
              <w:tc>
                <w:tcPr>
                  <w:tcW w:w="2860" w:type="dxa"/>
                  <w:tcBorders>
                    <w:top w:val="single" w:color="auto" w:sz="12" w:space="0"/>
                    <w:left w:val="single" w:color="auto" w:sz="6" w:space="0"/>
                    <w:bottom w:val="single" w:color="auto" w:sz="4" w:space="0"/>
                    <w:right w:val="single" w:color="auto" w:sz="6" w:space="0"/>
                  </w:tcBorders>
                </w:tcPr>
                <w:p w14:paraId="12A667D7">
                  <w:pPr>
                    <w:jc w:val="center"/>
                    <w:rPr>
                      <w:caps/>
                      <w:szCs w:val="21"/>
                    </w:rPr>
                  </w:pPr>
                  <w:r>
                    <w:rPr>
                      <w:rFonts w:hint="eastAsia"/>
                      <w:caps/>
                      <w:szCs w:val="21"/>
                    </w:rPr>
                    <w:t>昼间</w:t>
                  </w:r>
                </w:p>
              </w:tc>
              <w:tc>
                <w:tcPr>
                  <w:tcW w:w="2427" w:type="dxa"/>
                  <w:tcBorders>
                    <w:top w:val="single" w:color="auto" w:sz="12" w:space="0"/>
                    <w:left w:val="single" w:color="auto" w:sz="6" w:space="0"/>
                    <w:bottom w:val="single" w:color="auto" w:sz="4" w:space="0"/>
                    <w:right w:val="single" w:color="auto" w:sz="12" w:space="0"/>
                  </w:tcBorders>
                </w:tcPr>
                <w:p w14:paraId="14EA6EF0">
                  <w:pPr>
                    <w:jc w:val="center"/>
                    <w:rPr>
                      <w:caps/>
                      <w:szCs w:val="21"/>
                    </w:rPr>
                  </w:pPr>
                  <w:r>
                    <w:rPr>
                      <w:rFonts w:hint="eastAsia"/>
                      <w:caps/>
                      <w:szCs w:val="21"/>
                    </w:rPr>
                    <w:t>夜间</w:t>
                  </w:r>
                </w:p>
              </w:tc>
            </w:tr>
            <w:tr w14:paraId="6BB445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368" w:type="dxa"/>
                  <w:tcBorders>
                    <w:top w:val="single" w:color="auto" w:sz="4" w:space="0"/>
                    <w:left w:val="single" w:color="auto" w:sz="12" w:space="0"/>
                    <w:bottom w:val="single" w:color="auto" w:sz="12" w:space="0"/>
                    <w:right w:val="single" w:color="auto" w:sz="6" w:space="0"/>
                  </w:tcBorders>
                </w:tcPr>
                <w:p w14:paraId="454DF754">
                  <w:pPr>
                    <w:jc w:val="center"/>
                    <w:rPr>
                      <w:caps/>
                      <w:szCs w:val="21"/>
                    </w:rPr>
                  </w:pPr>
                  <w:r>
                    <w:rPr>
                      <w:caps/>
                      <w:szCs w:val="21"/>
                    </w:rPr>
                    <w:t>2</w:t>
                  </w:r>
                  <w:r>
                    <w:rPr>
                      <w:rFonts w:hint="eastAsia"/>
                      <w:caps/>
                      <w:szCs w:val="21"/>
                    </w:rPr>
                    <w:t>类标准</w:t>
                  </w:r>
                </w:p>
              </w:tc>
              <w:tc>
                <w:tcPr>
                  <w:tcW w:w="2860" w:type="dxa"/>
                  <w:tcBorders>
                    <w:top w:val="single" w:color="auto" w:sz="4" w:space="0"/>
                    <w:left w:val="single" w:color="auto" w:sz="6" w:space="0"/>
                    <w:bottom w:val="single" w:color="auto" w:sz="12" w:space="0"/>
                    <w:right w:val="single" w:color="auto" w:sz="6" w:space="0"/>
                  </w:tcBorders>
                </w:tcPr>
                <w:p w14:paraId="5B162669">
                  <w:pPr>
                    <w:jc w:val="center"/>
                    <w:rPr>
                      <w:caps/>
                      <w:szCs w:val="21"/>
                    </w:rPr>
                  </w:pPr>
                  <w:r>
                    <w:rPr>
                      <w:rFonts w:hint="eastAsia"/>
                      <w:caps/>
                      <w:szCs w:val="21"/>
                    </w:rPr>
                    <w:t>6</w:t>
                  </w:r>
                  <w:r>
                    <w:rPr>
                      <w:caps/>
                      <w:szCs w:val="21"/>
                    </w:rPr>
                    <w:t>0</w:t>
                  </w:r>
                </w:p>
              </w:tc>
              <w:tc>
                <w:tcPr>
                  <w:tcW w:w="2427" w:type="dxa"/>
                  <w:tcBorders>
                    <w:top w:val="single" w:color="auto" w:sz="4" w:space="0"/>
                    <w:left w:val="single" w:color="auto" w:sz="6" w:space="0"/>
                    <w:bottom w:val="single" w:color="auto" w:sz="12" w:space="0"/>
                    <w:right w:val="single" w:color="auto" w:sz="12" w:space="0"/>
                  </w:tcBorders>
                </w:tcPr>
                <w:p w14:paraId="7BCC67BA">
                  <w:pPr>
                    <w:jc w:val="center"/>
                    <w:rPr>
                      <w:caps/>
                      <w:szCs w:val="21"/>
                    </w:rPr>
                  </w:pPr>
                  <w:r>
                    <w:rPr>
                      <w:rFonts w:hint="eastAsia"/>
                      <w:caps/>
                      <w:szCs w:val="21"/>
                    </w:rPr>
                    <w:t>5</w:t>
                  </w:r>
                  <w:r>
                    <w:rPr>
                      <w:caps/>
                      <w:szCs w:val="21"/>
                    </w:rPr>
                    <w:t>0</w:t>
                  </w:r>
                </w:p>
              </w:tc>
            </w:tr>
          </w:tbl>
          <w:p w14:paraId="1191CDAD">
            <w:pPr>
              <w:pStyle w:val="18"/>
              <w:spacing w:line="360" w:lineRule="auto"/>
              <w:ind w:left="0" w:firstLine="480" w:firstLineChars="200"/>
              <w:rPr>
                <w:sz w:val="24"/>
                <w:szCs w:val="24"/>
              </w:rPr>
            </w:pPr>
          </w:p>
        </w:tc>
      </w:tr>
      <w:tr w14:paraId="3E6EB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15BA4214">
            <w:pPr>
              <w:spacing w:line="360" w:lineRule="auto"/>
              <w:rPr>
                <w:b/>
                <w:sz w:val="28"/>
                <w:szCs w:val="28"/>
              </w:rPr>
            </w:pPr>
            <w:r>
              <w:rPr>
                <w:rFonts w:hint="eastAsia"/>
                <w:b/>
                <w:sz w:val="28"/>
                <w:szCs w:val="28"/>
              </w:rPr>
              <w:t>污</w:t>
            </w:r>
          </w:p>
          <w:p w14:paraId="2585B98E">
            <w:pPr>
              <w:spacing w:line="360" w:lineRule="auto"/>
              <w:rPr>
                <w:b/>
                <w:sz w:val="28"/>
                <w:szCs w:val="28"/>
              </w:rPr>
            </w:pPr>
            <w:r>
              <w:rPr>
                <w:rFonts w:hint="eastAsia"/>
                <w:b/>
                <w:sz w:val="28"/>
                <w:szCs w:val="28"/>
              </w:rPr>
              <w:t>染</w:t>
            </w:r>
          </w:p>
          <w:p w14:paraId="162C5095">
            <w:pPr>
              <w:spacing w:line="360" w:lineRule="auto"/>
              <w:rPr>
                <w:b/>
                <w:sz w:val="28"/>
                <w:szCs w:val="28"/>
              </w:rPr>
            </w:pPr>
            <w:r>
              <w:rPr>
                <w:rFonts w:hint="eastAsia"/>
                <w:b/>
                <w:sz w:val="28"/>
                <w:szCs w:val="28"/>
              </w:rPr>
              <w:t>物</w:t>
            </w:r>
          </w:p>
          <w:p w14:paraId="3D1C2F5B">
            <w:pPr>
              <w:spacing w:line="360" w:lineRule="auto"/>
              <w:rPr>
                <w:b/>
                <w:sz w:val="28"/>
                <w:szCs w:val="28"/>
              </w:rPr>
            </w:pPr>
            <w:r>
              <w:rPr>
                <w:rFonts w:hint="eastAsia"/>
                <w:b/>
                <w:sz w:val="28"/>
                <w:szCs w:val="28"/>
              </w:rPr>
              <w:t>排</w:t>
            </w:r>
          </w:p>
          <w:p w14:paraId="7D519DFB">
            <w:pPr>
              <w:spacing w:line="360" w:lineRule="auto"/>
              <w:rPr>
                <w:b/>
                <w:sz w:val="28"/>
                <w:szCs w:val="28"/>
              </w:rPr>
            </w:pPr>
            <w:r>
              <w:rPr>
                <w:rFonts w:hint="eastAsia"/>
                <w:b/>
                <w:sz w:val="28"/>
                <w:szCs w:val="28"/>
              </w:rPr>
              <w:t>放</w:t>
            </w:r>
          </w:p>
          <w:p w14:paraId="3F26A3EA">
            <w:pPr>
              <w:spacing w:line="360" w:lineRule="auto"/>
              <w:rPr>
                <w:b/>
                <w:sz w:val="28"/>
                <w:szCs w:val="28"/>
              </w:rPr>
            </w:pPr>
            <w:r>
              <w:rPr>
                <w:rFonts w:hint="eastAsia"/>
                <w:b/>
                <w:sz w:val="28"/>
                <w:szCs w:val="28"/>
              </w:rPr>
              <w:t>标</w:t>
            </w:r>
          </w:p>
          <w:p w14:paraId="486B1A0E">
            <w:pPr>
              <w:spacing w:line="360" w:lineRule="auto"/>
              <w:rPr>
                <w:b/>
                <w:sz w:val="28"/>
                <w:szCs w:val="28"/>
              </w:rPr>
            </w:pPr>
            <w:r>
              <w:rPr>
                <w:rFonts w:hint="eastAsia"/>
                <w:b/>
                <w:sz w:val="28"/>
                <w:szCs w:val="28"/>
              </w:rPr>
              <w:t>准</w:t>
            </w:r>
          </w:p>
          <w:p w14:paraId="4FD360F4">
            <w:pPr>
              <w:spacing w:line="360" w:lineRule="exact"/>
              <w:ind w:left="482" w:firstLine="482"/>
              <w:rPr>
                <w:b/>
                <w:sz w:val="24"/>
              </w:rPr>
            </w:pPr>
          </w:p>
        </w:tc>
        <w:tc>
          <w:tcPr>
            <w:tcW w:w="4632" w:type="pct"/>
          </w:tcPr>
          <w:p w14:paraId="7B3B509F">
            <w:pPr>
              <w:spacing w:line="360" w:lineRule="auto"/>
              <w:rPr>
                <w:b/>
                <w:bCs/>
                <w:sz w:val="24"/>
              </w:rPr>
            </w:pPr>
            <w:r>
              <w:rPr>
                <w:rFonts w:hint="eastAsia"/>
                <w:b/>
                <w:bCs/>
                <w:sz w:val="24"/>
              </w:rPr>
              <w:t>一、噪声执行标准</w:t>
            </w:r>
          </w:p>
          <w:p w14:paraId="2D90D7C1">
            <w:pPr>
              <w:spacing w:line="360" w:lineRule="auto"/>
              <w:ind w:firstLine="480" w:firstLineChars="200"/>
              <w:rPr>
                <w:sz w:val="24"/>
              </w:rPr>
            </w:pPr>
            <w:r>
              <w:rPr>
                <w:rFonts w:hint="eastAsia"/>
                <w:sz w:val="24"/>
              </w:rPr>
              <w:t>施工期：执行《建筑施工场界环境噪声排放标准》</w:t>
            </w:r>
            <w:r>
              <w:rPr>
                <w:sz w:val="24"/>
              </w:rPr>
              <w:t>(GB12523-2011</w:t>
            </w:r>
            <w:r>
              <w:rPr>
                <w:rFonts w:hint="eastAsia"/>
                <w:sz w:val="24"/>
                <w:lang w:eastAsia="zh-CN"/>
              </w:rPr>
              <w:t>）</w:t>
            </w:r>
            <w:r>
              <w:rPr>
                <w:rFonts w:hint="eastAsia"/>
                <w:sz w:val="24"/>
              </w:rPr>
              <w:t>中相关标准；营运期：执行国家《工业企业厂界环境噪声排放标准》</w:t>
            </w:r>
            <w:r>
              <w:rPr>
                <w:sz w:val="24"/>
              </w:rPr>
              <w:t>(GB12348-2008</w:t>
            </w:r>
            <w:r>
              <w:rPr>
                <w:rFonts w:hint="eastAsia"/>
                <w:sz w:val="24"/>
                <w:lang w:eastAsia="zh-CN"/>
              </w:rPr>
              <w:t>）</w:t>
            </w:r>
            <w:r>
              <w:rPr>
                <w:rFonts w:hint="eastAsia"/>
                <w:sz w:val="24"/>
              </w:rPr>
              <w:t>中的</w:t>
            </w:r>
            <w:r>
              <w:rPr>
                <w:sz w:val="24"/>
              </w:rPr>
              <w:t>2</w:t>
            </w:r>
            <w:r>
              <w:rPr>
                <w:rFonts w:hint="eastAsia"/>
                <w:sz w:val="24"/>
              </w:rPr>
              <w:t>类标准；</w:t>
            </w:r>
            <w:r>
              <w:rPr>
                <w:rFonts w:hint="eastAsia"/>
                <w:bCs/>
                <w:sz w:val="24"/>
              </w:rPr>
              <w:t>标准限值见表</w:t>
            </w:r>
            <w:r>
              <w:rPr>
                <w:bCs/>
                <w:sz w:val="24"/>
              </w:rPr>
              <w:t>4-4</w:t>
            </w:r>
            <w:r>
              <w:rPr>
                <w:rFonts w:hint="eastAsia"/>
                <w:bCs/>
                <w:sz w:val="24"/>
              </w:rPr>
              <w:t>。</w:t>
            </w:r>
          </w:p>
          <w:p w14:paraId="28B1C17C">
            <w:pPr>
              <w:spacing w:line="360" w:lineRule="auto"/>
              <w:jc w:val="center"/>
              <w:rPr>
                <w:rFonts w:ascii="黑体" w:hAnsi="黑体" w:eastAsia="黑体"/>
                <w:b/>
                <w:bCs/>
                <w:sz w:val="24"/>
              </w:rPr>
            </w:pPr>
            <w:r>
              <w:rPr>
                <w:rFonts w:hint="eastAsia" w:ascii="黑体" w:hAnsi="黑体" w:eastAsia="黑体"/>
                <w:b/>
                <w:bCs/>
                <w:sz w:val="24"/>
              </w:rPr>
              <w:t>表</w:t>
            </w:r>
            <w:r>
              <w:rPr>
                <w:rFonts w:ascii="黑体" w:hAnsi="黑体" w:eastAsia="黑体"/>
                <w:b/>
                <w:bCs/>
                <w:sz w:val="24"/>
              </w:rPr>
              <w:t xml:space="preserve">4-4 </w:t>
            </w:r>
            <w:r>
              <w:rPr>
                <w:rFonts w:hint="eastAsia" w:ascii="黑体" w:hAnsi="黑体" w:eastAsia="黑体"/>
                <w:b/>
                <w:bCs/>
                <w:sz w:val="24"/>
              </w:rPr>
              <w:t>项目噪声执行标准</w:t>
            </w:r>
            <w:r>
              <w:rPr>
                <w:rFonts w:ascii="黑体" w:hAnsi="黑体" w:eastAsia="黑体"/>
                <w:b/>
                <w:bCs/>
                <w:sz w:val="24"/>
              </w:rPr>
              <w:t xml:space="preserve">    </w:t>
            </w:r>
            <w:r>
              <w:rPr>
                <w:rFonts w:hint="eastAsia" w:ascii="黑体" w:hAnsi="黑体" w:eastAsia="黑体"/>
                <w:b/>
                <w:bCs/>
                <w:sz w:val="24"/>
              </w:rPr>
              <w:t>单位：</w:t>
            </w:r>
            <w:r>
              <w:rPr>
                <w:rFonts w:ascii="黑体" w:hAnsi="黑体" w:eastAsia="黑体"/>
                <w:b/>
                <w:sz w:val="24"/>
              </w:rPr>
              <w:t>dB(A)</w:t>
            </w:r>
          </w:p>
          <w:tbl>
            <w:tblPr>
              <w:tblStyle w:val="25"/>
              <w:tblW w:w="765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095"/>
              <w:gridCol w:w="2008"/>
              <w:gridCol w:w="2552"/>
            </w:tblGrid>
            <w:tr w14:paraId="03ADCA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3095" w:type="dxa"/>
                  <w:tcBorders>
                    <w:top w:val="single" w:color="auto" w:sz="12" w:space="0"/>
                    <w:left w:val="single" w:color="auto" w:sz="12" w:space="0"/>
                    <w:bottom w:val="single" w:color="auto" w:sz="6" w:space="0"/>
                    <w:right w:val="single" w:color="auto" w:sz="6" w:space="0"/>
                  </w:tcBorders>
                </w:tcPr>
                <w:p w14:paraId="465878A1">
                  <w:pPr>
                    <w:ind w:left="-59"/>
                    <w:jc w:val="center"/>
                    <w:rPr>
                      <w:caps/>
                      <w:szCs w:val="21"/>
                    </w:rPr>
                  </w:pPr>
                  <w:r>
                    <w:rPr>
                      <w:rFonts w:hint="eastAsia"/>
                      <w:caps/>
                      <w:szCs w:val="21"/>
                    </w:rPr>
                    <w:t>类别</w:t>
                  </w:r>
                </w:p>
              </w:tc>
              <w:tc>
                <w:tcPr>
                  <w:tcW w:w="2008" w:type="dxa"/>
                  <w:tcBorders>
                    <w:top w:val="single" w:color="auto" w:sz="12" w:space="0"/>
                    <w:left w:val="single" w:color="auto" w:sz="6" w:space="0"/>
                    <w:bottom w:val="single" w:color="auto" w:sz="6" w:space="0"/>
                    <w:right w:val="single" w:color="auto" w:sz="6" w:space="0"/>
                  </w:tcBorders>
                </w:tcPr>
                <w:p w14:paraId="4B189660">
                  <w:pPr>
                    <w:ind w:left="43"/>
                    <w:jc w:val="center"/>
                    <w:rPr>
                      <w:caps/>
                      <w:szCs w:val="21"/>
                    </w:rPr>
                  </w:pPr>
                  <w:r>
                    <w:rPr>
                      <w:rFonts w:hint="eastAsia"/>
                      <w:caps/>
                      <w:szCs w:val="21"/>
                    </w:rPr>
                    <w:t>昼</w:t>
                  </w:r>
                  <w:r>
                    <w:rPr>
                      <w:caps/>
                      <w:szCs w:val="21"/>
                    </w:rPr>
                    <w:t xml:space="preserve">  </w:t>
                  </w:r>
                  <w:r>
                    <w:rPr>
                      <w:rFonts w:hint="eastAsia"/>
                      <w:caps/>
                      <w:szCs w:val="21"/>
                    </w:rPr>
                    <w:t>间</w:t>
                  </w:r>
                </w:p>
              </w:tc>
              <w:tc>
                <w:tcPr>
                  <w:tcW w:w="2552" w:type="dxa"/>
                  <w:tcBorders>
                    <w:top w:val="single" w:color="auto" w:sz="12" w:space="0"/>
                    <w:left w:val="single" w:color="auto" w:sz="6" w:space="0"/>
                    <w:bottom w:val="single" w:color="auto" w:sz="6" w:space="0"/>
                    <w:right w:val="single" w:color="auto" w:sz="12" w:space="0"/>
                  </w:tcBorders>
                </w:tcPr>
                <w:p w14:paraId="094DAB35">
                  <w:pPr>
                    <w:jc w:val="center"/>
                    <w:rPr>
                      <w:caps/>
                      <w:szCs w:val="21"/>
                    </w:rPr>
                  </w:pPr>
                  <w:r>
                    <w:rPr>
                      <w:rFonts w:hint="eastAsia"/>
                      <w:caps/>
                      <w:szCs w:val="21"/>
                    </w:rPr>
                    <w:t>夜</w:t>
                  </w:r>
                  <w:r>
                    <w:rPr>
                      <w:caps/>
                      <w:szCs w:val="21"/>
                    </w:rPr>
                    <w:t xml:space="preserve">  </w:t>
                  </w:r>
                  <w:r>
                    <w:rPr>
                      <w:rFonts w:hint="eastAsia"/>
                      <w:caps/>
                      <w:szCs w:val="21"/>
                    </w:rPr>
                    <w:t>间</w:t>
                  </w:r>
                </w:p>
              </w:tc>
            </w:tr>
            <w:tr w14:paraId="329E21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3095" w:type="dxa"/>
                  <w:tcBorders>
                    <w:top w:val="single" w:color="auto" w:sz="6" w:space="0"/>
                    <w:left w:val="single" w:color="auto" w:sz="12" w:space="0"/>
                    <w:bottom w:val="single" w:color="auto" w:sz="6" w:space="0"/>
                    <w:right w:val="single" w:color="auto" w:sz="6" w:space="0"/>
                  </w:tcBorders>
                </w:tcPr>
                <w:p w14:paraId="0B6A9439">
                  <w:pPr>
                    <w:ind w:left="-59"/>
                    <w:jc w:val="center"/>
                    <w:rPr>
                      <w:caps/>
                      <w:szCs w:val="21"/>
                    </w:rPr>
                  </w:pPr>
                  <w:r>
                    <w:rPr>
                      <w:caps/>
                      <w:szCs w:val="21"/>
                    </w:rPr>
                    <w:t>2</w:t>
                  </w:r>
                  <w:r>
                    <w:rPr>
                      <w:rFonts w:hint="eastAsia"/>
                      <w:caps/>
                      <w:szCs w:val="21"/>
                    </w:rPr>
                    <w:t>类标准</w:t>
                  </w:r>
                </w:p>
              </w:tc>
              <w:tc>
                <w:tcPr>
                  <w:tcW w:w="2008" w:type="dxa"/>
                  <w:tcBorders>
                    <w:top w:val="single" w:color="auto" w:sz="6" w:space="0"/>
                    <w:left w:val="single" w:color="auto" w:sz="6" w:space="0"/>
                    <w:bottom w:val="single" w:color="auto" w:sz="6" w:space="0"/>
                    <w:right w:val="single" w:color="auto" w:sz="6" w:space="0"/>
                  </w:tcBorders>
                </w:tcPr>
                <w:p w14:paraId="12C50435">
                  <w:pPr>
                    <w:ind w:left="43"/>
                    <w:jc w:val="center"/>
                    <w:rPr>
                      <w:caps/>
                      <w:szCs w:val="21"/>
                    </w:rPr>
                  </w:pPr>
                  <w:r>
                    <w:rPr>
                      <w:caps/>
                      <w:szCs w:val="21"/>
                    </w:rPr>
                    <w:t>60</w:t>
                  </w:r>
                </w:p>
              </w:tc>
              <w:tc>
                <w:tcPr>
                  <w:tcW w:w="2552" w:type="dxa"/>
                  <w:tcBorders>
                    <w:top w:val="single" w:color="auto" w:sz="6" w:space="0"/>
                    <w:left w:val="single" w:color="auto" w:sz="6" w:space="0"/>
                    <w:bottom w:val="single" w:color="auto" w:sz="6" w:space="0"/>
                    <w:right w:val="single" w:color="auto" w:sz="12" w:space="0"/>
                  </w:tcBorders>
                </w:tcPr>
                <w:p w14:paraId="2B3F3341">
                  <w:pPr>
                    <w:jc w:val="center"/>
                    <w:rPr>
                      <w:caps/>
                      <w:szCs w:val="21"/>
                    </w:rPr>
                  </w:pPr>
                  <w:r>
                    <w:rPr>
                      <w:caps/>
                      <w:szCs w:val="21"/>
                    </w:rPr>
                    <w:t>50</w:t>
                  </w:r>
                </w:p>
              </w:tc>
            </w:tr>
            <w:tr w14:paraId="247772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3095" w:type="dxa"/>
                  <w:tcBorders>
                    <w:top w:val="single" w:color="auto" w:sz="6" w:space="0"/>
                    <w:left w:val="single" w:color="auto" w:sz="12" w:space="0"/>
                    <w:bottom w:val="single" w:color="auto" w:sz="12" w:space="0"/>
                    <w:right w:val="single" w:color="auto" w:sz="6" w:space="0"/>
                  </w:tcBorders>
                  <w:vAlign w:val="center"/>
                </w:tcPr>
                <w:p w14:paraId="778473FD">
                  <w:pPr>
                    <w:ind w:left="-59"/>
                    <w:jc w:val="center"/>
                    <w:rPr>
                      <w:caps/>
                      <w:szCs w:val="21"/>
                    </w:rPr>
                  </w:pPr>
                  <w:r>
                    <w:rPr>
                      <w:rFonts w:hint="eastAsia"/>
                      <w:szCs w:val="21"/>
                    </w:rPr>
                    <w:t>建筑施工场界环境噪声限值</w:t>
                  </w:r>
                </w:p>
              </w:tc>
              <w:tc>
                <w:tcPr>
                  <w:tcW w:w="2008" w:type="dxa"/>
                  <w:tcBorders>
                    <w:top w:val="single" w:color="auto" w:sz="6" w:space="0"/>
                    <w:left w:val="single" w:color="auto" w:sz="6" w:space="0"/>
                    <w:bottom w:val="single" w:color="auto" w:sz="12" w:space="0"/>
                    <w:right w:val="single" w:color="auto" w:sz="6" w:space="0"/>
                  </w:tcBorders>
                  <w:vAlign w:val="center"/>
                </w:tcPr>
                <w:p w14:paraId="2F62B708">
                  <w:pPr>
                    <w:ind w:left="43"/>
                    <w:jc w:val="center"/>
                    <w:rPr>
                      <w:caps/>
                      <w:szCs w:val="21"/>
                    </w:rPr>
                  </w:pPr>
                  <w:r>
                    <w:rPr>
                      <w:caps/>
                      <w:szCs w:val="21"/>
                    </w:rPr>
                    <w:t>70</w:t>
                  </w:r>
                </w:p>
              </w:tc>
              <w:tc>
                <w:tcPr>
                  <w:tcW w:w="2552" w:type="dxa"/>
                  <w:tcBorders>
                    <w:top w:val="single" w:color="auto" w:sz="6" w:space="0"/>
                    <w:left w:val="single" w:color="auto" w:sz="6" w:space="0"/>
                    <w:bottom w:val="single" w:color="auto" w:sz="12" w:space="0"/>
                    <w:right w:val="single" w:color="auto" w:sz="12" w:space="0"/>
                  </w:tcBorders>
                  <w:vAlign w:val="center"/>
                </w:tcPr>
                <w:p w14:paraId="79148D23">
                  <w:pPr>
                    <w:jc w:val="center"/>
                    <w:rPr>
                      <w:caps/>
                      <w:szCs w:val="21"/>
                    </w:rPr>
                  </w:pPr>
                  <w:r>
                    <w:rPr>
                      <w:caps/>
                      <w:szCs w:val="21"/>
                    </w:rPr>
                    <w:t>55</w:t>
                  </w:r>
                </w:p>
              </w:tc>
            </w:tr>
          </w:tbl>
          <w:p w14:paraId="1579ED1F">
            <w:pPr>
              <w:spacing w:line="360" w:lineRule="auto"/>
              <w:rPr>
                <w:b/>
                <w:sz w:val="24"/>
              </w:rPr>
            </w:pPr>
            <w:r>
              <w:rPr>
                <w:rFonts w:hint="eastAsia"/>
                <w:b/>
                <w:sz w:val="24"/>
              </w:rPr>
              <w:t>二、大气污染物排放标准</w:t>
            </w:r>
          </w:p>
          <w:p w14:paraId="018A68AD">
            <w:pPr>
              <w:spacing w:line="360" w:lineRule="auto"/>
              <w:ind w:firstLine="480" w:firstLineChars="200"/>
              <w:rPr>
                <w:bCs/>
                <w:sz w:val="24"/>
              </w:rPr>
            </w:pPr>
            <w:r>
              <w:rPr>
                <w:rFonts w:hint="eastAsia"/>
                <w:sz w:val="24"/>
              </w:rPr>
              <w:t>执行《大气污染物综合排放标准》（</w:t>
            </w:r>
            <w:r>
              <w:rPr>
                <w:sz w:val="24"/>
              </w:rPr>
              <w:t>GB16297-1996</w:t>
            </w:r>
            <w:r>
              <w:rPr>
                <w:rFonts w:hint="eastAsia"/>
                <w:sz w:val="24"/>
              </w:rPr>
              <w:t>）中无组织排放监控浓度限值。</w:t>
            </w:r>
            <w:r>
              <w:rPr>
                <w:rFonts w:hint="eastAsia"/>
                <w:bCs/>
                <w:sz w:val="24"/>
              </w:rPr>
              <w:t>标准限值见表</w:t>
            </w:r>
            <w:r>
              <w:rPr>
                <w:bCs/>
                <w:sz w:val="24"/>
              </w:rPr>
              <w:t>4-5</w:t>
            </w:r>
            <w:r>
              <w:rPr>
                <w:rFonts w:hint="eastAsia"/>
                <w:bCs/>
                <w:sz w:val="24"/>
              </w:rPr>
              <w:t>。</w:t>
            </w:r>
          </w:p>
          <w:p w14:paraId="12723F39">
            <w:pPr>
              <w:spacing w:line="360" w:lineRule="auto"/>
              <w:ind w:firstLine="480" w:firstLineChars="200"/>
              <w:jc w:val="center"/>
              <w:rPr>
                <w:rFonts w:ascii="黑体" w:hAnsi="黑体" w:eastAsia="黑体"/>
                <w:b/>
                <w:sz w:val="24"/>
              </w:rPr>
            </w:pPr>
            <w:r>
              <w:rPr>
                <w:rFonts w:hint="eastAsia" w:ascii="黑体" w:hAnsi="黑体" w:eastAsia="黑体"/>
                <w:b/>
                <w:sz w:val="24"/>
              </w:rPr>
              <w:t>表</w:t>
            </w:r>
            <w:r>
              <w:rPr>
                <w:rFonts w:ascii="黑体" w:hAnsi="黑体" w:eastAsia="黑体"/>
                <w:b/>
                <w:sz w:val="24"/>
              </w:rPr>
              <w:t>4-5</w:t>
            </w:r>
            <w:r>
              <w:rPr>
                <w:rFonts w:hint="eastAsia" w:ascii="黑体" w:hAnsi="黑体" w:eastAsia="黑体"/>
                <w:b/>
                <w:sz w:val="24"/>
              </w:rPr>
              <w:t>大气污染物排放标准</w:t>
            </w:r>
            <w:r>
              <w:rPr>
                <w:rFonts w:ascii="黑体" w:hAnsi="黑体" w:eastAsia="黑体"/>
                <w:b/>
                <w:sz w:val="24"/>
              </w:rPr>
              <w:t xml:space="preserve">     </w:t>
            </w:r>
            <w:r>
              <w:rPr>
                <w:rFonts w:hint="eastAsia" w:ascii="黑体" w:hAnsi="黑体" w:eastAsia="黑体"/>
                <w:b/>
                <w:sz w:val="24"/>
              </w:rPr>
              <w:t>单位：</w:t>
            </w:r>
            <w:r>
              <w:rPr>
                <w:rFonts w:ascii="黑体" w:hAnsi="黑体" w:eastAsia="黑体"/>
                <w:b/>
                <w:sz w:val="24"/>
              </w:rPr>
              <w:t>mg/m</w:t>
            </w:r>
            <w:r>
              <w:rPr>
                <w:rFonts w:ascii="黑体" w:hAnsi="黑体" w:eastAsia="黑体"/>
                <w:b/>
                <w:sz w:val="24"/>
                <w:vertAlign w:val="superscript"/>
              </w:rPr>
              <w:t>3</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5"/>
              <w:gridCol w:w="1572"/>
              <w:gridCol w:w="2134"/>
              <w:gridCol w:w="2594"/>
            </w:tblGrid>
            <w:tr w14:paraId="6CA8F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pct"/>
                  <w:vMerge w:val="restart"/>
                  <w:tcBorders>
                    <w:top w:val="single" w:color="auto" w:sz="12" w:space="0"/>
                    <w:left w:val="single" w:color="auto" w:sz="4" w:space="0"/>
                    <w:bottom w:val="single" w:color="auto" w:sz="4" w:space="0"/>
                    <w:right w:val="single" w:color="auto" w:sz="4" w:space="0"/>
                  </w:tcBorders>
                  <w:vAlign w:val="center"/>
                </w:tcPr>
                <w:p w14:paraId="43F03590">
                  <w:pPr>
                    <w:jc w:val="center"/>
                    <w:rPr>
                      <w:szCs w:val="21"/>
                    </w:rPr>
                  </w:pPr>
                  <w:r>
                    <w:rPr>
                      <w:rFonts w:hint="eastAsia"/>
                      <w:szCs w:val="21"/>
                    </w:rPr>
                    <w:t>序号</w:t>
                  </w:r>
                </w:p>
              </w:tc>
              <w:tc>
                <w:tcPr>
                  <w:tcW w:w="1024" w:type="pct"/>
                  <w:vMerge w:val="restart"/>
                  <w:tcBorders>
                    <w:top w:val="single" w:color="auto" w:sz="12" w:space="0"/>
                    <w:left w:val="single" w:color="auto" w:sz="4" w:space="0"/>
                    <w:bottom w:val="single" w:color="auto" w:sz="4" w:space="0"/>
                    <w:right w:val="single" w:color="auto" w:sz="4" w:space="0"/>
                  </w:tcBorders>
                  <w:vAlign w:val="center"/>
                </w:tcPr>
                <w:p w14:paraId="7143B691">
                  <w:pPr>
                    <w:jc w:val="center"/>
                    <w:rPr>
                      <w:szCs w:val="21"/>
                    </w:rPr>
                  </w:pPr>
                  <w:r>
                    <w:rPr>
                      <w:rFonts w:hint="eastAsia"/>
                      <w:szCs w:val="21"/>
                    </w:rPr>
                    <w:t>污染物</w:t>
                  </w:r>
                </w:p>
              </w:tc>
              <w:tc>
                <w:tcPr>
                  <w:tcW w:w="3080" w:type="pct"/>
                  <w:gridSpan w:val="2"/>
                  <w:tcBorders>
                    <w:top w:val="single" w:color="auto" w:sz="12" w:space="0"/>
                    <w:left w:val="single" w:color="auto" w:sz="4" w:space="0"/>
                    <w:bottom w:val="single" w:color="auto" w:sz="4" w:space="0"/>
                    <w:right w:val="single" w:color="auto" w:sz="4" w:space="0"/>
                  </w:tcBorders>
                  <w:vAlign w:val="center"/>
                </w:tcPr>
                <w:p w14:paraId="63FFF00C">
                  <w:pPr>
                    <w:jc w:val="center"/>
                    <w:rPr>
                      <w:szCs w:val="21"/>
                    </w:rPr>
                  </w:pPr>
                  <w:r>
                    <w:rPr>
                      <w:rFonts w:hint="eastAsia"/>
                      <w:szCs w:val="21"/>
                    </w:rPr>
                    <w:t>无组织排放监控浓度限值</w:t>
                  </w:r>
                </w:p>
              </w:tc>
            </w:tr>
            <w:tr w14:paraId="23E09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pct"/>
                  <w:vMerge w:val="continue"/>
                  <w:tcBorders>
                    <w:top w:val="single" w:color="auto" w:sz="4" w:space="0"/>
                    <w:left w:val="single" w:color="auto" w:sz="4" w:space="0"/>
                    <w:bottom w:val="single" w:color="auto" w:sz="4" w:space="0"/>
                    <w:right w:val="single" w:color="auto" w:sz="4" w:space="0"/>
                  </w:tcBorders>
                  <w:vAlign w:val="center"/>
                </w:tcPr>
                <w:p w14:paraId="298676A4">
                  <w:pPr>
                    <w:jc w:val="center"/>
                    <w:rPr>
                      <w:szCs w:val="21"/>
                    </w:rPr>
                  </w:pPr>
                </w:p>
              </w:tc>
              <w:tc>
                <w:tcPr>
                  <w:tcW w:w="1024" w:type="pct"/>
                  <w:vMerge w:val="continue"/>
                  <w:tcBorders>
                    <w:top w:val="single" w:color="auto" w:sz="4" w:space="0"/>
                    <w:left w:val="single" w:color="auto" w:sz="4" w:space="0"/>
                    <w:bottom w:val="single" w:color="auto" w:sz="4" w:space="0"/>
                    <w:right w:val="single" w:color="auto" w:sz="4" w:space="0"/>
                  </w:tcBorders>
                  <w:vAlign w:val="center"/>
                </w:tcPr>
                <w:p w14:paraId="26824606">
                  <w:pPr>
                    <w:jc w:val="center"/>
                    <w:rPr>
                      <w:szCs w:val="21"/>
                    </w:rPr>
                  </w:pPr>
                </w:p>
              </w:tc>
              <w:tc>
                <w:tcPr>
                  <w:tcW w:w="1390" w:type="pct"/>
                  <w:tcBorders>
                    <w:top w:val="single" w:color="auto" w:sz="4" w:space="0"/>
                    <w:left w:val="single" w:color="auto" w:sz="4" w:space="0"/>
                    <w:bottom w:val="single" w:color="auto" w:sz="4" w:space="0"/>
                    <w:right w:val="single" w:color="auto" w:sz="4" w:space="0"/>
                  </w:tcBorders>
                  <w:vAlign w:val="center"/>
                </w:tcPr>
                <w:p w14:paraId="4AB23B5B">
                  <w:pPr>
                    <w:jc w:val="center"/>
                    <w:rPr>
                      <w:szCs w:val="21"/>
                    </w:rPr>
                  </w:pPr>
                  <w:r>
                    <w:rPr>
                      <w:rFonts w:hint="eastAsia"/>
                      <w:szCs w:val="21"/>
                    </w:rPr>
                    <w:t>监控点</w:t>
                  </w:r>
                </w:p>
              </w:tc>
              <w:tc>
                <w:tcPr>
                  <w:tcW w:w="1690" w:type="pct"/>
                  <w:tcBorders>
                    <w:top w:val="single" w:color="auto" w:sz="4" w:space="0"/>
                    <w:left w:val="single" w:color="auto" w:sz="4" w:space="0"/>
                    <w:bottom w:val="single" w:color="auto" w:sz="4" w:space="0"/>
                    <w:right w:val="single" w:color="auto" w:sz="4" w:space="0"/>
                  </w:tcBorders>
                  <w:vAlign w:val="center"/>
                </w:tcPr>
                <w:p w14:paraId="329BF3B1">
                  <w:pPr>
                    <w:jc w:val="center"/>
                    <w:rPr>
                      <w:szCs w:val="21"/>
                    </w:rPr>
                  </w:pPr>
                  <w:r>
                    <w:rPr>
                      <w:rFonts w:hint="eastAsia"/>
                      <w:szCs w:val="21"/>
                    </w:rPr>
                    <w:t>浓度（</w:t>
                  </w:r>
                  <w:r>
                    <w:rPr>
                      <w:szCs w:val="21"/>
                    </w:rPr>
                    <w:t>mg/m</w:t>
                  </w:r>
                  <w:r>
                    <w:rPr>
                      <w:szCs w:val="21"/>
                      <w:vertAlign w:val="superscript"/>
                    </w:rPr>
                    <w:t>3</w:t>
                  </w:r>
                  <w:r>
                    <w:rPr>
                      <w:rFonts w:hint="eastAsia"/>
                      <w:szCs w:val="21"/>
                    </w:rPr>
                    <w:t>）</w:t>
                  </w:r>
                </w:p>
              </w:tc>
            </w:tr>
            <w:tr w14:paraId="06EE8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pct"/>
                  <w:tcBorders>
                    <w:top w:val="single" w:color="auto" w:sz="4" w:space="0"/>
                    <w:left w:val="single" w:color="auto" w:sz="4" w:space="0"/>
                    <w:bottom w:val="single" w:color="auto" w:sz="12" w:space="0"/>
                    <w:right w:val="single" w:color="auto" w:sz="4" w:space="0"/>
                  </w:tcBorders>
                  <w:vAlign w:val="center"/>
                </w:tcPr>
                <w:p w14:paraId="7A9E9716">
                  <w:pPr>
                    <w:jc w:val="center"/>
                    <w:rPr>
                      <w:szCs w:val="21"/>
                    </w:rPr>
                  </w:pPr>
                  <w:r>
                    <w:rPr>
                      <w:szCs w:val="21"/>
                    </w:rPr>
                    <w:t>1</w:t>
                  </w:r>
                </w:p>
              </w:tc>
              <w:tc>
                <w:tcPr>
                  <w:tcW w:w="1024" w:type="pct"/>
                  <w:tcBorders>
                    <w:top w:val="single" w:color="auto" w:sz="4" w:space="0"/>
                    <w:left w:val="single" w:color="auto" w:sz="4" w:space="0"/>
                    <w:bottom w:val="single" w:color="auto" w:sz="12" w:space="0"/>
                    <w:right w:val="single" w:color="auto" w:sz="4" w:space="0"/>
                  </w:tcBorders>
                  <w:vAlign w:val="center"/>
                </w:tcPr>
                <w:p w14:paraId="31171C2E">
                  <w:pPr>
                    <w:jc w:val="center"/>
                    <w:rPr>
                      <w:szCs w:val="21"/>
                    </w:rPr>
                  </w:pPr>
                  <w:r>
                    <w:rPr>
                      <w:rFonts w:hint="eastAsia"/>
                      <w:szCs w:val="21"/>
                    </w:rPr>
                    <w:t>颗粒物</w:t>
                  </w:r>
                </w:p>
              </w:tc>
              <w:tc>
                <w:tcPr>
                  <w:tcW w:w="1390" w:type="pct"/>
                  <w:tcBorders>
                    <w:top w:val="single" w:color="auto" w:sz="4" w:space="0"/>
                    <w:left w:val="single" w:color="auto" w:sz="4" w:space="0"/>
                    <w:bottom w:val="single" w:color="auto" w:sz="12" w:space="0"/>
                    <w:right w:val="single" w:color="auto" w:sz="4" w:space="0"/>
                  </w:tcBorders>
                  <w:vAlign w:val="center"/>
                </w:tcPr>
                <w:p w14:paraId="13D78B0D">
                  <w:pPr>
                    <w:jc w:val="center"/>
                    <w:rPr>
                      <w:szCs w:val="21"/>
                    </w:rPr>
                  </w:pPr>
                  <w:r>
                    <w:rPr>
                      <w:rFonts w:hint="eastAsia"/>
                      <w:szCs w:val="21"/>
                    </w:rPr>
                    <w:t>周界外浓度最高点</w:t>
                  </w:r>
                </w:p>
              </w:tc>
              <w:tc>
                <w:tcPr>
                  <w:tcW w:w="1690" w:type="pct"/>
                  <w:tcBorders>
                    <w:top w:val="single" w:color="auto" w:sz="4" w:space="0"/>
                    <w:left w:val="single" w:color="auto" w:sz="4" w:space="0"/>
                    <w:bottom w:val="single" w:color="auto" w:sz="12" w:space="0"/>
                    <w:right w:val="single" w:color="auto" w:sz="4" w:space="0"/>
                  </w:tcBorders>
                  <w:vAlign w:val="center"/>
                </w:tcPr>
                <w:p w14:paraId="4EFE256C">
                  <w:pPr>
                    <w:jc w:val="center"/>
                    <w:rPr>
                      <w:szCs w:val="21"/>
                    </w:rPr>
                  </w:pPr>
                  <w:r>
                    <w:rPr>
                      <w:szCs w:val="21"/>
                    </w:rPr>
                    <w:t>1.0</w:t>
                  </w:r>
                </w:p>
              </w:tc>
            </w:tr>
          </w:tbl>
          <w:p w14:paraId="66621D40">
            <w:pPr>
              <w:spacing w:line="360" w:lineRule="auto"/>
              <w:rPr>
                <w:b/>
                <w:sz w:val="24"/>
              </w:rPr>
            </w:pPr>
            <w:r>
              <w:rPr>
                <w:rFonts w:hint="eastAsia"/>
                <w:b/>
                <w:sz w:val="24"/>
              </w:rPr>
              <w:t>三、固体废弃物排放标准</w:t>
            </w:r>
          </w:p>
          <w:p w14:paraId="5D09076D">
            <w:pPr>
              <w:spacing w:line="360" w:lineRule="auto"/>
              <w:ind w:firstLine="480" w:firstLineChars="200"/>
              <w:rPr>
                <w:sz w:val="24"/>
              </w:rPr>
            </w:pPr>
            <w:r>
              <w:rPr>
                <w:rFonts w:hint="eastAsia"/>
                <w:sz w:val="24"/>
              </w:rPr>
              <w:t>执行《一般工业固体废弃物储存、处置场污染控制标准》（</w:t>
            </w:r>
            <w:r>
              <w:rPr>
                <w:sz w:val="24"/>
              </w:rPr>
              <w:t>GB18599-2001</w:t>
            </w:r>
            <w:r>
              <w:rPr>
                <w:rFonts w:hint="eastAsia"/>
                <w:sz w:val="24"/>
              </w:rPr>
              <w:t>）；</w:t>
            </w:r>
            <w:r>
              <w:rPr>
                <w:sz w:val="24"/>
              </w:rPr>
              <w:t xml:space="preserve"> </w:t>
            </w:r>
          </w:p>
        </w:tc>
      </w:tr>
      <w:tr w14:paraId="4E0F4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39A28479">
            <w:pPr>
              <w:spacing w:line="400" w:lineRule="exact"/>
              <w:rPr>
                <w:b/>
                <w:sz w:val="28"/>
                <w:szCs w:val="28"/>
              </w:rPr>
            </w:pPr>
            <w:r>
              <w:rPr>
                <w:rFonts w:hint="eastAsia"/>
                <w:b/>
                <w:sz w:val="28"/>
                <w:szCs w:val="28"/>
              </w:rPr>
              <w:t>总</w:t>
            </w:r>
          </w:p>
          <w:p w14:paraId="2AC0DA25">
            <w:pPr>
              <w:spacing w:line="400" w:lineRule="exact"/>
              <w:rPr>
                <w:b/>
                <w:sz w:val="28"/>
                <w:szCs w:val="28"/>
              </w:rPr>
            </w:pPr>
            <w:r>
              <w:rPr>
                <w:rFonts w:hint="eastAsia"/>
                <w:b/>
                <w:sz w:val="28"/>
                <w:szCs w:val="28"/>
              </w:rPr>
              <w:t>量</w:t>
            </w:r>
          </w:p>
          <w:p w14:paraId="437D7C28">
            <w:pPr>
              <w:spacing w:line="400" w:lineRule="exact"/>
              <w:rPr>
                <w:b/>
                <w:sz w:val="28"/>
                <w:szCs w:val="28"/>
              </w:rPr>
            </w:pPr>
            <w:r>
              <w:rPr>
                <w:rFonts w:hint="eastAsia"/>
                <w:b/>
                <w:sz w:val="28"/>
                <w:szCs w:val="28"/>
              </w:rPr>
              <w:t>控</w:t>
            </w:r>
          </w:p>
          <w:p w14:paraId="4010E5A5">
            <w:pPr>
              <w:spacing w:line="400" w:lineRule="exact"/>
              <w:rPr>
                <w:b/>
                <w:sz w:val="28"/>
                <w:szCs w:val="28"/>
              </w:rPr>
            </w:pPr>
            <w:r>
              <w:rPr>
                <w:rFonts w:hint="eastAsia"/>
                <w:b/>
                <w:sz w:val="28"/>
                <w:szCs w:val="28"/>
              </w:rPr>
              <w:t>制</w:t>
            </w:r>
          </w:p>
          <w:p w14:paraId="6346BFFC">
            <w:pPr>
              <w:spacing w:line="400" w:lineRule="exact"/>
              <w:rPr>
                <w:b/>
                <w:sz w:val="28"/>
                <w:szCs w:val="28"/>
              </w:rPr>
            </w:pPr>
            <w:r>
              <w:rPr>
                <w:rFonts w:hint="eastAsia"/>
                <w:b/>
                <w:sz w:val="28"/>
                <w:szCs w:val="28"/>
              </w:rPr>
              <w:t>指</w:t>
            </w:r>
          </w:p>
          <w:p w14:paraId="2C40069B">
            <w:pPr>
              <w:spacing w:line="400" w:lineRule="exact"/>
              <w:rPr>
                <w:sz w:val="24"/>
              </w:rPr>
            </w:pPr>
            <w:r>
              <w:rPr>
                <w:rFonts w:hint="eastAsia"/>
                <w:b/>
                <w:sz w:val="28"/>
                <w:szCs w:val="28"/>
              </w:rPr>
              <w:t>标</w:t>
            </w:r>
          </w:p>
        </w:tc>
        <w:tc>
          <w:tcPr>
            <w:tcW w:w="4632" w:type="pct"/>
          </w:tcPr>
          <w:p w14:paraId="4887E58B">
            <w:pPr>
              <w:spacing w:line="480" w:lineRule="exact"/>
              <w:ind w:firstLine="480" w:firstLineChars="200"/>
              <w:rPr>
                <w:bCs/>
                <w:sz w:val="24"/>
              </w:rPr>
            </w:pPr>
            <w:r>
              <w:rPr>
                <w:rFonts w:hint="eastAsia"/>
                <w:bCs/>
                <w:sz w:val="24"/>
              </w:rPr>
              <w:t>根据本项目的具体情况，结合国家污染物排放总量控制原则，项目生活污水依托现有办公及生活用房已建污水预处理池处理后回用农肥，不直接外排，无生产废水外排；废气仅运输车辆和机械设备运行时产生少量无组织废气，以及锯末粉尘，不涉及废气总量排放指标。</w:t>
            </w:r>
            <w:r>
              <w:rPr>
                <w:sz w:val="24"/>
              </w:rPr>
              <w:t>同时，</w:t>
            </w:r>
            <w:r>
              <w:rPr>
                <w:b/>
                <w:sz w:val="24"/>
              </w:rPr>
              <w:t>根据《固定污染源排污许可分类管理名录（2019年版）》，本项目属于“十五、木材加工和木、竹、藤、棕、草制品业  木材加工201  其他”为登记管理类项目，不核发总量</w:t>
            </w:r>
            <w:r>
              <w:rPr>
                <w:bCs/>
                <w:sz w:val="24"/>
              </w:rPr>
              <w:t>。</w:t>
            </w:r>
          </w:p>
          <w:p w14:paraId="207DDEAA">
            <w:pPr>
              <w:spacing w:line="480" w:lineRule="exact"/>
              <w:ind w:firstLine="480" w:firstLineChars="200"/>
              <w:rPr>
                <w:bCs/>
                <w:sz w:val="24"/>
              </w:rPr>
            </w:pPr>
            <w:r>
              <w:rPr>
                <w:bCs/>
                <w:sz w:val="24"/>
              </w:rPr>
              <w:t>上述指标仅供环保管理部门在制定区域总量控制计划时参考。</w:t>
            </w:r>
          </w:p>
          <w:p w14:paraId="0B463090">
            <w:pPr>
              <w:spacing w:line="360" w:lineRule="auto"/>
              <w:ind w:firstLine="480" w:firstLineChars="200"/>
              <w:rPr>
                <w:bCs/>
                <w:sz w:val="24"/>
              </w:rPr>
            </w:pPr>
          </w:p>
          <w:p w14:paraId="01B23A1E">
            <w:pPr>
              <w:spacing w:line="360" w:lineRule="auto"/>
              <w:ind w:firstLine="480" w:firstLineChars="200"/>
              <w:rPr>
                <w:bCs/>
                <w:sz w:val="24"/>
              </w:rPr>
            </w:pPr>
          </w:p>
          <w:p w14:paraId="2AADC966">
            <w:pPr>
              <w:spacing w:line="360" w:lineRule="auto"/>
              <w:ind w:firstLine="480" w:firstLineChars="200"/>
              <w:rPr>
                <w:bCs/>
                <w:sz w:val="24"/>
              </w:rPr>
            </w:pPr>
          </w:p>
          <w:p w14:paraId="67907644">
            <w:pPr>
              <w:spacing w:line="360" w:lineRule="auto"/>
              <w:ind w:firstLine="480" w:firstLineChars="200"/>
              <w:rPr>
                <w:bCs/>
                <w:sz w:val="24"/>
              </w:rPr>
            </w:pPr>
          </w:p>
          <w:p w14:paraId="686D437E">
            <w:pPr>
              <w:spacing w:line="360" w:lineRule="auto"/>
              <w:ind w:firstLine="480" w:firstLineChars="200"/>
              <w:rPr>
                <w:bCs/>
                <w:sz w:val="24"/>
              </w:rPr>
            </w:pPr>
          </w:p>
          <w:p w14:paraId="5752EDB6">
            <w:pPr>
              <w:spacing w:line="360" w:lineRule="auto"/>
              <w:ind w:firstLine="480" w:firstLineChars="200"/>
              <w:rPr>
                <w:bCs/>
                <w:sz w:val="24"/>
              </w:rPr>
            </w:pPr>
          </w:p>
          <w:p w14:paraId="097C804B">
            <w:pPr>
              <w:spacing w:line="360" w:lineRule="auto"/>
              <w:ind w:firstLine="480" w:firstLineChars="200"/>
              <w:rPr>
                <w:bCs/>
                <w:sz w:val="24"/>
              </w:rPr>
            </w:pPr>
          </w:p>
          <w:p w14:paraId="01BF7ABF">
            <w:pPr>
              <w:spacing w:line="360" w:lineRule="auto"/>
              <w:ind w:firstLine="480" w:firstLineChars="200"/>
              <w:rPr>
                <w:bCs/>
                <w:sz w:val="24"/>
              </w:rPr>
            </w:pPr>
          </w:p>
          <w:p w14:paraId="5E3E3E87">
            <w:pPr>
              <w:spacing w:line="360" w:lineRule="auto"/>
              <w:ind w:firstLine="480" w:firstLineChars="200"/>
              <w:rPr>
                <w:bCs/>
                <w:sz w:val="24"/>
              </w:rPr>
            </w:pPr>
          </w:p>
          <w:p w14:paraId="54233AE0">
            <w:pPr>
              <w:spacing w:line="360" w:lineRule="auto"/>
              <w:ind w:firstLine="480" w:firstLineChars="200"/>
              <w:rPr>
                <w:bCs/>
                <w:sz w:val="24"/>
              </w:rPr>
            </w:pPr>
          </w:p>
          <w:p w14:paraId="2F4A3CE7">
            <w:pPr>
              <w:spacing w:line="360" w:lineRule="auto"/>
              <w:ind w:firstLine="480" w:firstLineChars="200"/>
              <w:rPr>
                <w:bCs/>
                <w:sz w:val="24"/>
              </w:rPr>
            </w:pPr>
          </w:p>
        </w:tc>
      </w:tr>
    </w:tbl>
    <w:p w14:paraId="3B11965D">
      <w:pPr>
        <w:spacing w:line="360" w:lineRule="auto"/>
        <w:outlineLvl w:val="0"/>
        <w:rPr>
          <w:b/>
          <w:sz w:val="30"/>
          <w:szCs w:val="30"/>
        </w:rPr>
      </w:pPr>
      <w:r>
        <w:rPr>
          <w:b/>
          <w:sz w:val="30"/>
          <w:szCs w:val="30"/>
        </w:rPr>
        <w:br w:type="page"/>
      </w:r>
      <w:r>
        <w:rPr>
          <w:rFonts w:hint="eastAsia"/>
          <w:b/>
          <w:sz w:val="30"/>
          <w:szCs w:val="30"/>
        </w:rPr>
        <w:t>建设项目工程分析</w:t>
      </w:r>
      <w:r>
        <w:rPr>
          <w:b/>
          <w:sz w:val="30"/>
          <w:szCs w:val="30"/>
        </w:rPr>
        <w:t xml:space="preserve">                                </w:t>
      </w:r>
      <w:r>
        <w:rPr>
          <w:rFonts w:hint="eastAsia"/>
          <w:b/>
          <w:sz w:val="30"/>
          <w:szCs w:val="30"/>
          <w:lang w:eastAsia="zh-CN"/>
        </w:rPr>
        <w:t>（</w:t>
      </w:r>
      <w:r>
        <w:rPr>
          <w:rFonts w:hint="eastAsia"/>
          <w:b/>
          <w:sz w:val="30"/>
          <w:szCs w:val="30"/>
        </w:rPr>
        <w:t>表五</w:t>
      </w:r>
      <w:r>
        <w:rPr>
          <w:rFonts w:hint="eastAsia"/>
          <w:b/>
          <w:sz w:val="30"/>
          <w:szCs w:val="30"/>
          <w:lang w:eastAsia="zh-CN"/>
        </w:rPr>
        <w:t>）</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1B406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tcPr>
          <w:p w14:paraId="2CC24826">
            <w:pPr>
              <w:spacing w:line="360" w:lineRule="auto"/>
              <w:rPr>
                <w:b/>
                <w:sz w:val="28"/>
                <w:szCs w:val="28"/>
              </w:rPr>
            </w:pPr>
            <w:r>
              <w:rPr>
                <w:rFonts w:hint="eastAsia"/>
                <w:b/>
                <w:sz w:val="28"/>
                <w:szCs w:val="28"/>
              </w:rPr>
              <w:t>一、施工期工程分析</w:t>
            </w:r>
          </w:p>
          <w:p w14:paraId="3735B59B">
            <w:pPr>
              <w:spacing w:line="360" w:lineRule="auto"/>
              <w:ind w:firstLine="480" w:firstLineChars="200"/>
              <w:rPr>
                <w:b/>
                <w:sz w:val="24"/>
              </w:rPr>
            </w:pPr>
            <w:r>
              <w:rPr>
                <w:b/>
                <w:sz w:val="24"/>
              </w:rPr>
              <w:t>（一）施工期</w:t>
            </w:r>
          </w:p>
          <w:p w14:paraId="2284CAF6">
            <w:pPr>
              <w:spacing w:line="276" w:lineRule="auto"/>
              <w:ind w:firstLine="480" w:firstLineChars="200"/>
              <w:rPr>
                <w:sz w:val="24"/>
              </w:rPr>
            </w:pPr>
            <w:r>
              <w:rPr>
                <w:sz w:val="24"/>
              </w:rPr>
              <w:t>本项目利用现有厂房进行生产。施工期主要为生产设备的安装、废气处理设施的上马，不涉及大规模建筑施工过程。由于施工期较短（约30天），对周边环境影响较小。项目施工基本工艺流程及产污情况详见图5-1。</w:t>
            </w:r>
          </w:p>
          <w:p w14:paraId="5B6AF610">
            <w:pPr>
              <w:spacing w:line="360" w:lineRule="auto"/>
              <w:ind w:firstLine="420" w:firstLineChars="200"/>
              <w:jc w:val="center"/>
              <w:rPr>
                <w:sz w:val="24"/>
              </w:rPr>
            </w:pPr>
            <w:r>
              <w:object>
                <v:shape id="_x0000_i1025" o:spt="75" type="#_x0000_t75" style="height:124.7pt;width:318.4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14:paraId="316EB495">
            <w:pPr>
              <w:spacing w:line="360" w:lineRule="auto"/>
              <w:ind w:left="12" w:leftChars="-40" w:hanging="96" w:hangingChars="40"/>
              <w:jc w:val="center"/>
              <w:rPr>
                <w:rFonts w:eastAsia="华文仿宋"/>
                <w:b/>
                <w:sz w:val="24"/>
              </w:rPr>
            </w:pPr>
            <w:r>
              <w:rPr>
                <w:rFonts w:eastAsia="华文仿宋"/>
                <w:sz w:val="24"/>
              </w:rPr>
              <w:t>图5-1 项目施工期产污流程及产污位置示意图</w:t>
            </w:r>
          </w:p>
          <w:p w14:paraId="19B583D3">
            <w:pPr>
              <w:spacing w:line="360" w:lineRule="auto"/>
              <w:ind w:firstLine="480" w:firstLineChars="200"/>
              <w:rPr>
                <w:b/>
                <w:sz w:val="24"/>
              </w:rPr>
            </w:pPr>
            <w:r>
              <w:rPr>
                <w:b/>
                <w:sz w:val="24"/>
              </w:rPr>
              <w:t>（二）运营期</w:t>
            </w:r>
          </w:p>
          <w:p w14:paraId="48280BFB">
            <w:pPr>
              <w:spacing w:line="360" w:lineRule="auto"/>
              <w:ind w:firstLine="422" w:firstLineChars="176"/>
              <w:rPr>
                <w:sz w:val="24"/>
              </w:rPr>
            </w:pPr>
            <w:r>
              <w:rPr>
                <w:rFonts w:hint="eastAsia"/>
                <w:sz w:val="24"/>
              </w:rPr>
              <w:t>本项目为锯材加工项目，项目产品为锯材，</w:t>
            </w:r>
            <w:r>
              <w:rPr>
                <w:rFonts w:hint="eastAsia"/>
                <w:b/>
                <w:bCs/>
                <w:sz w:val="24"/>
              </w:rPr>
              <w:t>不涉及喷涂、刷胶等工序</w:t>
            </w:r>
            <w:r>
              <w:rPr>
                <w:rFonts w:hint="eastAsia"/>
                <w:sz w:val="24"/>
              </w:rPr>
              <w:t>。项目运营期工艺流程及产污位置见下图。</w:t>
            </w:r>
          </w:p>
          <w:p w14:paraId="31464153">
            <w:pPr>
              <w:spacing w:line="360" w:lineRule="auto"/>
              <w:jc w:val="center"/>
            </w:pPr>
            <w:r>
              <w:object>
                <v:shape id="_x0000_i1026" o:spt="75" type="#_x0000_t75" style="height:292.45pt;width:250.1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14:paraId="0F0DFD62">
            <w:pPr>
              <w:spacing w:line="360" w:lineRule="auto"/>
              <w:ind w:firstLine="422" w:firstLineChars="176"/>
              <w:jc w:val="center"/>
              <w:rPr>
                <w:sz w:val="24"/>
              </w:rPr>
            </w:pPr>
            <w:r>
              <w:rPr>
                <w:rFonts w:hint="eastAsia"/>
                <w:sz w:val="24"/>
              </w:rPr>
              <w:t>图</w:t>
            </w:r>
            <w:r>
              <w:rPr>
                <w:sz w:val="24"/>
              </w:rPr>
              <w:t xml:space="preserve">5-2 </w:t>
            </w:r>
            <w:r>
              <w:rPr>
                <w:rFonts w:hint="eastAsia"/>
                <w:sz w:val="24"/>
              </w:rPr>
              <w:t>运营期工艺流程及产污节点图</w:t>
            </w:r>
          </w:p>
          <w:p w14:paraId="708D0980">
            <w:pPr>
              <w:spacing w:line="360" w:lineRule="auto"/>
              <w:ind w:firstLine="422" w:firstLineChars="176"/>
              <w:jc w:val="left"/>
              <w:rPr>
                <w:b/>
                <w:bCs/>
                <w:sz w:val="24"/>
              </w:rPr>
            </w:pPr>
            <w:r>
              <w:rPr>
                <w:rFonts w:hint="eastAsia"/>
                <w:b/>
                <w:bCs/>
                <w:sz w:val="24"/>
              </w:rPr>
              <w:t>工艺流程简述：</w:t>
            </w:r>
          </w:p>
          <w:p w14:paraId="6DB2629E">
            <w:pPr>
              <w:spacing w:line="360" w:lineRule="auto"/>
              <w:ind w:firstLine="422" w:firstLineChars="176"/>
              <w:jc w:val="left"/>
              <w:rPr>
                <w:sz w:val="24"/>
              </w:rPr>
            </w:pPr>
            <w:r>
              <w:rPr>
                <w:rFonts w:hint="eastAsia"/>
                <w:sz w:val="24"/>
              </w:rPr>
              <w:t>（</w:t>
            </w:r>
            <w:r>
              <w:rPr>
                <w:sz w:val="24"/>
              </w:rPr>
              <w:t>1</w:t>
            </w:r>
            <w:r>
              <w:rPr>
                <w:rFonts w:hint="eastAsia"/>
                <w:sz w:val="24"/>
              </w:rPr>
              <w:t>）外购原木：项目采购人员根据生产需求于当地木材市场收购原木，项目不进行采伐。</w:t>
            </w:r>
          </w:p>
          <w:p w14:paraId="6F7E2F9F">
            <w:pPr>
              <w:spacing w:line="480" w:lineRule="exact"/>
              <w:ind w:firstLine="480" w:firstLineChars="200"/>
              <w:jc w:val="left"/>
              <w:outlineLvl w:val="0"/>
              <w:rPr>
                <w:sz w:val="24"/>
              </w:rPr>
            </w:pPr>
            <w:r>
              <w:rPr>
                <w:rFonts w:hint="eastAsia"/>
                <w:sz w:val="24"/>
              </w:rPr>
              <w:t>（</w:t>
            </w:r>
            <w:r>
              <w:rPr>
                <w:sz w:val="24"/>
              </w:rPr>
              <w:t>2</w:t>
            </w:r>
            <w:r>
              <w:rPr>
                <w:rFonts w:hint="eastAsia"/>
                <w:sz w:val="24"/>
              </w:rPr>
              <w:t>）去皮：使用边皮锯对原木进行去树皮处理。</w:t>
            </w:r>
          </w:p>
          <w:p w14:paraId="56F5DA13">
            <w:pPr>
              <w:spacing w:line="480" w:lineRule="exact"/>
              <w:ind w:firstLine="480" w:firstLineChars="200"/>
              <w:jc w:val="left"/>
              <w:outlineLvl w:val="0"/>
              <w:rPr>
                <w:sz w:val="24"/>
              </w:rPr>
            </w:pPr>
            <w:r>
              <w:rPr>
                <w:rFonts w:hint="eastAsia"/>
                <w:sz w:val="24"/>
              </w:rPr>
              <w:t>（</w:t>
            </w:r>
            <w:r>
              <w:rPr>
                <w:sz w:val="24"/>
              </w:rPr>
              <w:t>3</w:t>
            </w:r>
            <w:r>
              <w:rPr>
                <w:rFonts w:hint="eastAsia"/>
                <w:sz w:val="24"/>
              </w:rPr>
              <w:t>）断料：使用圆盘锯对原木按产品标准进行断筒。</w:t>
            </w:r>
          </w:p>
          <w:p w14:paraId="209EDC17">
            <w:pPr>
              <w:spacing w:line="480" w:lineRule="exact"/>
              <w:ind w:firstLine="480" w:firstLineChars="200"/>
              <w:jc w:val="left"/>
              <w:outlineLvl w:val="0"/>
              <w:rPr>
                <w:sz w:val="24"/>
              </w:rPr>
            </w:pPr>
            <w:r>
              <w:rPr>
                <w:rFonts w:hint="eastAsia"/>
                <w:sz w:val="24"/>
              </w:rPr>
              <w:t>（</w:t>
            </w:r>
            <w:r>
              <w:rPr>
                <w:sz w:val="24"/>
              </w:rPr>
              <w:t>4</w:t>
            </w:r>
            <w:r>
              <w:rPr>
                <w:rFonts w:hint="eastAsia"/>
                <w:sz w:val="24"/>
              </w:rPr>
              <w:t>）锯料：使用圆木机、多片锯、带锯对原木进行锯料加工。</w:t>
            </w:r>
          </w:p>
          <w:p w14:paraId="096E0F23">
            <w:pPr>
              <w:spacing w:line="480" w:lineRule="exact"/>
              <w:ind w:firstLine="480" w:firstLineChars="200"/>
              <w:jc w:val="left"/>
              <w:outlineLvl w:val="0"/>
              <w:rPr>
                <w:sz w:val="24"/>
              </w:rPr>
            </w:pPr>
            <w:r>
              <w:rPr>
                <w:rFonts w:hint="eastAsia"/>
                <w:sz w:val="24"/>
              </w:rPr>
              <w:t>（</w:t>
            </w:r>
            <w:r>
              <w:rPr>
                <w:sz w:val="24"/>
              </w:rPr>
              <w:t>5</w:t>
            </w:r>
            <w:r>
              <w:rPr>
                <w:rFonts w:hint="eastAsia"/>
                <w:sz w:val="24"/>
              </w:rPr>
              <w:t>）修边：对锯料成型的木料使用修边锯对其进行边角修整处理加工。</w:t>
            </w:r>
          </w:p>
          <w:p w14:paraId="4C6EAF30">
            <w:pPr>
              <w:spacing w:line="480" w:lineRule="exact"/>
              <w:ind w:firstLine="480" w:firstLineChars="200"/>
              <w:jc w:val="left"/>
              <w:outlineLvl w:val="0"/>
              <w:rPr>
                <w:sz w:val="24"/>
              </w:rPr>
            </w:pPr>
            <w:r>
              <w:rPr>
                <w:rFonts w:hint="eastAsia"/>
                <w:sz w:val="24"/>
              </w:rPr>
              <w:t>（6）削片：使用削片机将断料、锯料等过程中产生的边角料削片加工，打成木屑外售。</w:t>
            </w:r>
          </w:p>
          <w:p w14:paraId="5B4D526F">
            <w:pPr>
              <w:spacing w:line="480" w:lineRule="exact"/>
              <w:ind w:firstLine="480" w:firstLineChars="200"/>
              <w:jc w:val="left"/>
              <w:outlineLvl w:val="0"/>
              <w:rPr>
                <w:sz w:val="24"/>
              </w:rPr>
            </w:pPr>
            <w:r>
              <w:rPr>
                <w:rFonts w:hint="eastAsia"/>
                <w:sz w:val="24"/>
              </w:rPr>
              <w:t>（7）打捆：采用人工整理并打捆。</w:t>
            </w:r>
          </w:p>
          <w:p w14:paraId="1D4C94D0">
            <w:pPr>
              <w:spacing w:line="480" w:lineRule="exact"/>
              <w:ind w:firstLine="480" w:firstLineChars="200"/>
              <w:jc w:val="left"/>
              <w:outlineLvl w:val="0"/>
              <w:rPr>
                <w:sz w:val="24"/>
              </w:rPr>
            </w:pPr>
            <w:r>
              <w:rPr>
                <w:rFonts w:hint="eastAsia"/>
                <w:sz w:val="24"/>
              </w:rPr>
              <w:t>（8）仓储外售：将符合标准的锯材，打捆后堆存于成品库房，外售给加工企业外运进一步加工。</w:t>
            </w:r>
          </w:p>
          <w:p w14:paraId="3F166E4E">
            <w:pPr>
              <w:spacing w:line="360" w:lineRule="auto"/>
              <w:rPr>
                <w:b/>
                <w:sz w:val="28"/>
                <w:szCs w:val="28"/>
              </w:rPr>
            </w:pPr>
            <w:r>
              <w:rPr>
                <w:b/>
                <w:sz w:val="28"/>
                <w:szCs w:val="28"/>
              </w:rPr>
              <w:t>二、主要污染工序</w:t>
            </w:r>
          </w:p>
          <w:p w14:paraId="5A9274C9">
            <w:pPr>
              <w:spacing w:line="360" w:lineRule="auto"/>
              <w:ind w:firstLine="480" w:firstLineChars="200"/>
              <w:rPr>
                <w:sz w:val="24"/>
              </w:rPr>
            </w:pPr>
            <w:r>
              <w:rPr>
                <w:sz w:val="24"/>
              </w:rPr>
              <w:t>本工程建设施工期和营运期主要产污工序分述如下：</w:t>
            </w:r>
          </w:p>
          <w:p w14:paraId="3F9723AD">
            <w:pPr>
              <w:spacing w:line="360" w:lineRule="auto"/>
              <w:ind w:firstLine="480" w:firstLineChars="200"/>
              <w:rPr>
                <w:b/>
                <w:bCs/>
                <w:sz w:val="24"/>
              </w:rPr>
            </w:pPr>
            <w:r>
              <w:rPr>
                <w:b/>
                <w:bCs/>
                <w:sz w:val="24"/>
              </w:rPr>
              <w:t>（一）施工期</w:t>
            </w:r>
          </w:p>
          <w:p w14:paraId="244089D4">
            <w:pPr>
              <w:spacing w:line="360" w:lineRule="auto"/>
              <w:ind w:firstLine="480" w:firstLineChars="200"/>
              <w:rPr>
                <w:sz w:val="24"/>
              </w:rPr>
            </w:pPr>
            <w:r>
              <w:rPr>
                <w:sz w:val="24"/>
              </w:rPr>
              <w:t>项目现有厂房，进行简单改造，不涉及大规模土建，施工量较小。施工期污染工序主要为扬尘、施工机械废气、噪声、开挖土方等。施工期主要包括装修工程、设备安装、工程验收等，施工期产生的污染物主要为：</w:t>
            </w:r>
          </w:p>
          <w:p w14:paraId="5AF445A8">
            <w:pPr>
              <w:spacing w:line="360" w:lineRule="auto"/>
              <w:ind w:firstLine="480" w:firstLineChars="200"/>
              <w:rPr>
                <w:sz w:val="24"/>
              </w:rPr>
            </w:pPr>
            <w:r>
              <w:rPr>
                <w:b/>
                <w:bCs/>
                <w:sz w:val="24"/>
              </w:rPr>
              <w:t>施工废水：</w:t>
            </w:r>
            <w:r>
              <w:rPr>
                <w:sz w:val="24"/>
              </w:rPr>
              <w:t>主要为施工人员生活污水（施工人员不在项目区食宿，故生活污水仅为施工人员入厕和洗手废水）。</w:t>
            </w:r>
          </w:p>
          <w:p w14:paraId="68212E59">
            <w:pPr>
              <w:spacing w:line="360" w:lineRule="auto"/>
              <w:ind w:firstLine="480" w:firstLineChars="200"/>
              <w:rPr>
                <w:sz w:val="24"/>
              </w:rPr>
            </w:pPr>
            <w:r>
              <w:rPr>
                <w:b/>
                <w:bCs/>
                <w:sz w:val="24"/>
              </w:rPr>
              <w:t>施工废气：</w:t>
            </w:r>
            <w:r>
              <w:rPr>
                <w:sz w:val="24"/>
              </w:rPr>
              <w:t>主要有汽车尾气、设备尾气等。</w:t>
            </w:r>
          </w:p>
          <w:p w14:paraId="5BFBF0E2">
            <w:pPr>
              <w:spacing w:line="360" w:lineRule="auto"/>
              <w:ind w:firstLine="480" w:firstLineChars="200"/>
              <w:rPr>
                <w:sz w:val="24"/>
              </w:rPr>
            </w:pPr>
            <w:r>
              <w:rPr>
                <w:b/>
                <w:bCs/>
                <w:sz w:val="24"/>
              </w:rPr>
              <w:t>施工噪声：</w:t>
            </w:r>
            <w:r>
              <w:rPr>
                <w:sz w:val="24"/>
              </w:rPr>
              <w:t>主要来源于施工现场各类机械设备和物料运输车辆的噪声。</w:t>
            </w:r>
          </w:p>
          <w:p w14:paraId="6B550529">
            <w:pPr>
              <w:spacing w:line="360" w:lineRule="auto"/>
              <w:ind w:firstLine="480" w:firstLineChars="200"/>
              <w:rPr>
                <w:sz w:val="24"/>
              </w:rPr>
            </w:pPr>
            <w:r>
              <w:rPr>
                <w:b/>
                <w:bCs/>
                <w:sz w:val="24"/>
              </w:rPr>
              <w:t>施工固废：</w:t>
            </w:r>
            <w:r>
              <w:rPr>
                <w:sz w:val="24"/>
              </w:rPr>
              <w:t>施工固废主要为装修垃圾、生活垃圾等。</w:t>
            </w:r>
          </w:p>
          <w:p w14:paraId="472D2E3B">
            <w:pPr>
              <w:spacing w:line="360" w:lineRule="auto"/>
              <w:rPr>
                <w:b/>
                <w:sz w:val="24"/>
              </w:rPr>
            </w:pPr>
            <w:r>
              <w:rPr>
                <w:rFonts w:hint="eastAsia"/>
                <w:b/>
                <w:sz w:val="24"/>
              </w:rPr>
              <w:t>（二）营运期主要污染工序及治理</w:t>
            </w:r>
          </w:p>
          <w:p w14:paraId="2B5360AE">
            <w:pPr>
              <w:spacing w:line="480" w:lineRule="exact"/>
              <w:ind w:firstLine="480" w:firstLineChars="200"/>
              <w:rPr>
                <w:sz w:val="24"/>
              </w:rPr>
            </w:pPr>
            <w:r>
              <w:rPr>
                <w:rFonts w:hint="eastAsia"/>
                <w:sz w:val="24"/>
              </w:rPr>
              <w:t>项目运行产生的污染主要为废气、废水、噪声和固体废弃物。</w:t>
            </w:r>
          </w:p>
          <w:p w14:paraId="7AE79679">
            <w:pPr>
              <w:spacing w:line="360" w:lineRule="auto"/>
              <w:ind w:firstLine="480" w:firstLineChars="200"/>
              <w:rPr>
                <w:sz w:val="24"/>
              </w:rPr>
            </w:pPr>
            <w:r>
              <w:rPr>
                <w:rFonts w:hint="eastAsia"/>
                <w:b/>
                <w:sz w:val="24"/>
              </w:rPr>
              <w:t>废气：</w:t>
            </w:r>
            <w:r>
              <w:rPr>
                <w:rFonts w:hint="eastAsia"/>
                <w:sz w:val="24"/>
              </w:rPr>
              <w:t>项目运营期废气主要为断料、锯料、削片、修边等工序产生的逸散锯末粉尘，车辆尾气，主要污染物为木质纤维，呈颗粒物形式无组织排放。</w:t>
            </w:r>
          </w:p>
          <w:p w14:paraId="7515B843">
            <w:pPr>
              <w:spacing w:line="360" w:lineRule="auto"/>
              <w:ind w:firstLine="480" w:firstLineChars="200"/>
              <w:rPr>
                <w:sz w:val="24"/>
              </w:rPr>
            </w:pPr>
            <w:r>
              <w:rPr>
                <w:rFonts w:hint="eastAsia"/>
                <w:b/>
                <w:sz w:val="24"/>
              </w:rPr>
              <w:t>废水：</w:t>
            </w:r>
            <w:r>
              <w:rPr>
                <w:rFonts w:hint="eastAsia"/>
                <w:sz w:val="24"/>
              </w:rPr>
              <w:t>项目为锯材加工，为无水生产工艺，项目无生产废水产生；项目废水主要为员工生活污水。</w:t>
            </w:r>
          </w:p>
          <w:p w14:paraId="1D7459B9">
            <w:pPr>
              <w:spacing w:line="360" w:lineRule="auto"/>
              <w:ind w:firstLine="480" w:firstLineChars="200"/>
              <w:rPr>
                <w:sz w:val="24"/>
              </w:rPr>
            </w:pPr>
            <w:r>
              <w:rPr>
                <w:rFonts w:hint="eastAsia"/>
                <w:b/>
                <w:sz w:val="24"/>
              </w:rPr>
              <w:t>噪声：</w:t>
            </w:r>
            <w:r>
              <w:rPr>
                <w:rFonts w:hint="eastAsia"/>
                <w:sz w:val="24"/>
              </w:rPr>
              <w:t>噪声主要来源于生产过程各设备运行噪声，主要有生产设备、运货车辆等设备噪声。</w:t>
            </w:r>
          </w:p>
          <w:p w14:paraId="00F1BE35">
            <w:pPr>
              <w:spacing w:line="360" w:lineRule="auto"/>
              <w:ind w:firstLine="480" w:firstLineChars="200"/>
              <w:rPr>
                <w:sz w:val="24"/>
              </w:rPr>
            </w:pPr>
            <w:r>
              <w:rPr>
                <w:rFonts w:hint="eastAsia"/>
                <w:b/>
                <w:sz w:val="24"/>
              </w:rPr>
              <w:t>固体废物：</w:t>
            </w:r>
            <w:r>
              <w:rPr>
                <w:rFonts w:hint="eastAsia"/>
                <w:sz w:val="24"/>
              </w:rPr>
              <w:t>主要来源于员工产生的生活垃圾和生产过程中产生的树皮、木材边角料、锯末颗粒、废木屑、损坏设备零件等。</w:t>
            </w:r>
          </w:p>
          <w:p w14:paraId="4113CA55">
            <w:pPr>
              <w:spacing w:line="480" w:lineRule="exact"/>
              <w:ind w:firstLine="352" w:firstLineChars="147"/>
              <w:jc w:val="left"/>
              <w:rPr>
                <w:b/>
                <w:bCs/>
                <w:sz w:val="24"/>
              </w:rPr>
            </w:pPr>
            <w:r>
              <w:rPr>
                <w:rFonts w:hint="eastAsia"/>
                <w:b/>
                <w:bCs/>
                <w:sz w:val="24"/>
              </w:rPr>
              <w:t>（三）物料平衡：</w:t>
            </w:r>
          </w:p>
          <w:p w14:paraId="2F45F247">
            <w:pPr>
              <w:spacing w:line="480" w:lineRule="exact"/>
              <w:ind w:firstLine="352" w:firstLineChars="147"/>
              <w:jc w:val="left"/>
              <w:rPr>
                <w:rFonts w:ascii="宋体"/>
                <w:sz w:val="24"/>
              </w:rPr>
            </w:pPr>
            <w:r>
              <w:rPr>
                <w:rFonts w:hint="eastAsia"/>
                <w:sz w:val="24"/>
              </w:rPr>
              <w:t>项目为锯材加工项目，主要产品为锯材。项目物料平衡详见下表所示。</w:t>
            </w:r>
          </w:p>
          <w:p w14:paraId="296C47A4">
            <w:pPr>
              <w:widowControl/>
              <w:adjustRightInd w:val="0"/>
              <w:snapToGrid w:val="0"/>
              <w:spacing w:line="480" w:lineRule="exact"/>
              <w:ind w:left="63" w:leftChars="30" w:right="92" w:rightChars="44" w:firstLine="480" w:firstLineChars="200"/>
              <w:jc w:val="center"/>
              <w:rPr>
                <w:rFonts w:ascii="黑体" w:hAnsi="黑体" w:eastAsia="黑体"/>
                <w:snapToGrid w:val="0"/>
                <w:kern w:val="0"/>
                <w:sz w:val="24"/>
              </w:rPr>
            </w:pPr>
            <w:r>
              <w:rPr>
                <w:rFonts w:hint="eastAsia" w:ascii="黑体" w:hAnsi="黑体" w:eastAsia="黑体"/>
                <w:snapToGrid w:val="0"/>
                <w:kern w:val="0"/>
                <w:sz w:val="24"/>
              </w:rPr>
              <w:t>表</w:t>
            </w:r>
            <w:r>
              <w:rPr>
                <w:rFonts w:ascii="黑体" w:hAnsi="黑体" w:eastAsia="黑体"/>
                <w:snapToGrid w:val="0"/>
                <w:kern w:val="0"/>
                <w:sz w:val="24"/>
              </w:rPr>
              <w:t xml:space="preserve">5-1  </w:t>
            </w:r>
            <w:r>
              <w:rPr>
                <w:rFonts w:hint="eastAsia" w:ascii="黑体" w:hAnsi="黑体" w:eastAsia="黑体"/>
                <w:snapToGrid w:val="0"/>
                <w:kern w:val="0"/>
                <w:sz w:val="24"/>
              </w:rPr>
              <w:t>项目物料平衡表</w:t>
            </w:r>
          </w:p>
          <w:tbl>
            <w:tblPr>
              <w:tblStyle w:val="25"/>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904"/>
              <w:gridCol w:w="1052"/>
              <w:gridCol w:w="1575"/>
              <w:gridCol w:w="2454"/>
              <w:gridCol w:w="2312"/>
            </w:tblGrid>
            <w:tr w14:paraId="767FDD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545" w:type="pct"/>
                  <w:vMerge w:val="restart"/>
                  <w:tcBorders>
                    <w:top w:val="single" w:color="auto" w:sz="12" w:space="0"/>
                    <w:left w:val="single" w:color="auto" w:sz="12" w:space="0"/>
                    <w:bottom w:val="single" w:color="auto" w:sz="6" w:space="0"/>
                    <w:right w:val="single" w:color="auto" w:sz="6" w:space="0"/>
                  </w:tcBorders>
                  <w:vAlign w:val="center"/>
                </w:tcPr>
                <w:p w14:paraId="3A051ABF">
                  <w:pPr>
                    <w:spacing w:line="360" w:lineRule="exact"/>
                    <w:jc w:val="center"/>
                    <w:rPr>
                      <w:szCs w:val="21"/>
                    </w:rPr>
                  </w:pPr>
                  <w:r>
                    <w:rPr>
                      <w:rFonts w:hint="eastAsia"/>
                      <w:szCs w:val="21"/>
                    </w:rPr>
                    <w:t>序号</w:t>
                  </w:r>
                </w:p>
              </w:tc>
              <w:tc>
                <w:tcPr>
                  <w:tcW w:w="1583" w:type="pct"/>
                  <w:gridSpan w:val="2"/>
                  <w:tcBorders>
                    <w:top w:val="single" w:color="auto" w:sz="12" w:space="0"/>
                    <w:left w:val="single" w:color="auto" w:sz="6" w:space="0"/>
                    <w:bottom w:val="single" w:color="auto" w:sz="6" w:space="0"/>
                    <w:right w:val="single" w:color="auto" w:sz="6" w:space="0"/>
                  </w:tcBorders>
                  <w:vAlign w:val="center"/>
                </w:tcPr>
                <w:p w14:paraId="70DFE5C1">
                  <w:pPr>
                    <w:spacing w:line="360" w:lineRule="exact"/>
                    <w:jc w:val="center"/>
                    <w:rPr>
                      <w:szCs w:val="21"/>
                    </w:rPr>
                  </w:pPr>
                  <w:r>
                    <w:rPr>
                      <w:rFonts w:hint="eastAsia"/>
                      <w:szCs w:val="21"/>
                    </w:rPr>
                    <w:t>输入</w:t>
                  </w:r>
                </w:p>
              </w:tc>
              <w:tc>
                <w:tcPr>
                  <w:tcW w:w="2872" w:type="pct"/>
                  <w:gridSpan w:val="2"/>
                  <w:tcBorders>
                    <w:top w:val="single" w:color="auto" w:sz="12" w:space="0"/>
                    <w:left w:val="single" w:color="auto" w:sz="6" w:space="0"/>
                    <w:bottom w:val="single" w:color="auto" w:sz="6" w:space="0"/>
                    <w:right w:val="single" w:color="auto" w:sz="12" w:space="0"/>
                  </w:tcBorders>
                  <w:vAlign w:val="center"/>
                </w:tcPr>
                <w:p w14:paraId="587E0B2F">
                  <w:pPr>
                    <w:spacing w:line="360" w:lineRule="exact"/>
                    <w:jc w:val="center"/>
                    <w:rPr>
                      <w:szCs w:val="21"/>
                    </w:rPr>
                  </w:pPr>
                  <w:r>
                    <w:rPr>
                      <w:rFonts w:hint="eastAsia"/>
                      <w:szCs w:val="21"/>
                    </w:rPr>
                    <w:t>输出</w:t>
                  </w:r>
                </w:p>
              </w:tc>
            </w:tr>
            <w:tr w14:paraId="2F17DC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545" w:type="pct"/>
                  <w:vMerge w:val="continue"/>
                  <w:tcBorders>
                    <w:top w:val="single" w:color="auto" w:sz="6" w:space="0"/>
                    <w:left w:val="single" w:color="auto" w:sz="12" w:space="0"/>
                    <w:bottom w:val="single" w:color="auto" w:sz="12" w:space="0"/>
                    <w:right w:val="single" w:color="auto" w:sz="6" w:space="0"/>
                  </w:tcBorders>
                  <w:vAlign w:val="center"/>
                </w:tcPr>
                <w:p w14:paraId="226024CE">
                  <w:pPr>
                    <w:spacing w:line="360" w:lineRule="exact"/>
                    <w:jc w:val="center"/>
                    <w:rPr>
                      <w:szCs w:val="21"/>
                    </w:rPr>
                  </w:pPr>
                </w:p>
              </w:tc>
              <w:tc>
                <w:tcPr>
                  <w:tcW w:w="634" w:type="pct"/>
                  <w:tcBorders>
                    <w:top w:val="single" w:color="auto" w:sz="6" w:space="0"/>
                    <w:left w:val="single" w:color="auto" w:sz="6" w:space="0"/>
                    <w:bottom w:val="single" w:color="auto" w:sz="12" w:space="0"/>
                    <w:right w:val="single" w:color="auto" w:sz="6" w:space="0"/>
                  </w:tcBorders>
                  <w:vAlign w:val="center"/>
                </w:tcPr>
                <w:p w14:paraId="5D70AF00">
                  <w:pPr>
                    <w:spacing w:line="360" w:lineRule="exact"/>
                    <w:jc w:val="center"/>
                    <w:rPr>
                      <w:szCs w:val="21"/>
                    </w:rPr>
                  </w:pPr>
                  <w:r>
                    <w:rPr>
                      <w:rFonts w:hint="eastAsia"/>
                      <w:szCs w:val="21"/>
                    </w:rPr>
                    <w:t>原料</w:t>
                  </w:r>
                </w:p>
              </w:tc>
              <w:tc>
                <w:tcPr>
                  <w:tcW w:w="949" w:type="pct"/>
                  <w:tcBorders>
                    <w:top w:val="single" w:color="auto" w:sz="6" w:space="0"/>
                    <w:left w:val="single" w:color="auto" w:sz="6" w:space="0"/>
                    <w:bottom w:val="single" w:color="auto" w:sz="12" w:space="0"/>
                    <w:right w:val="single" w:color="auto" w:sz="6" w:space="0"/>
                  </w:tcBorders>
                  <w:vAlign w:val="center"/>
                </w:tcPr>
                <w:p w14:paraId="46F68DBC">
                  <w:pPr>
                    <w:spacing w:line="360" w:lineRule="exact"/>
                    <w:jc w:val="center"/>
                    <w:rPr>
                      <w:szCs w:val="21"/>
                    </w:rPr>
                  </w:pPr>
                  <w:r>
                    <w:rPr>
                      <w:rFonts w:hint="eastAsia"/>
                      <w:szCs w:val="21"/>
                    </w:rPr>
                    <w:t>投入量（</w:t>
                  </w:r>
                  <w:r>
                    <w:rPr>
                      <w:szCs w:val="21"/>
                    </w:rPr>
                    <w:t>m</w:t>
                  </w:r>
                  <w:r>
                    <w:rPr>
                      <w:szCs w:val="21"/>
                      <w:vertAlign w:val="superscript"/>
                    </w:rPr>
                    <w:t>3</w:t>
                  </w:r>
                  <w:r>
                    <w:rPr>
                      <w:szCs w:val="21"/>
                    </w:rPr>
                    <w:t>/a</w:t>
                  </w:r>
                  <w:r>
                    <w:rPr>
                      <w:rFonts w:hint="eastAsia"/>
                      <w:szCs w:val="21"/>
                    </w:rPr>
                    <w:t>）</w:t>
                  </w:r>
                </w:p>
              </w:tc>
              <w:tc>
                <w:tcPr>
                  <w:tcW w:w="1479" w:type="pct"/>
                  <w:tcBorders>
                    <w:top w:val="single" w:color="auto" w:sz="6" w:space="0"/>
                    <w:left w:val="single" w:color="auto" w:sz="6" w:space="0"/>
                    <w:bottom w:val="single" w:color="auto" w:sz="12" w:space="0"/>
                    <w:right w:val="single" w:color="auto" w:sz="6" w:space="0"/>
                  </w:tcBorders>
                  <w:vAlign w:val="center"/>
                </w:tcPr>
                <w:p w14:paraId="7BA82D00">
                  <w:pPr>
                    <w:spacing w:line="360" w:lineRule="exact"/>
                    <w:jc w:val="center"/>
                    <w:rPr>
                      <w:szCs w:val="21"/>
                    </w:rPr>
                  </w:pPr>
                  <w:r>
                    <w:rPr>
                      <w:rFonts w:hint="eastAsia"/>
                      <w:szCs w:val="21"/>
                    </w:rPr>
                    <w:t>产物</w:t>
                  </w:r>
                </w:p>
              </w:tc>
              <w:tc>
                <w:tcPr>
                  <w:tcW w:w="1393" w:type="pct"/>
                  <w:tcBorders>
                    <w:top w:val="single" w:color="auto" w:sz="6" w:space="0"/>
                    <w:left w:val="single" w:color="auto" w:sz="6" w:space="0"/>
                    <w:bottom w:val="single" w:color="auto" w:sz="12" w:space="0"/>
                    <w:right w:val="single" w:color="auto" w:sz="12" w:space="0"/>
                  </w:tcBorders>
                  <w:vAlign w:val="center"/>
                </w:tcPr>
                <w:p w14:paraId="7DD352AE">
                  <w:pPr>
                    <w:spacing w:line="360" w:lineRule="exact"/>
                    <w:jc w:val="center"/>
                    <w:rPr>
                      <w:szCs w:val="21"/>
                    </w:rPr>
                  </w:pPr>
                  <w:r>
                    <w:rPr>
                      <w:rFonts w:hint="eastAsia"/>
                      <w:szCs w:val="21"/>
                    </w:rPr>
                    <w:t>产出量（</w:t>
                  </w:r>
                  <w:r>
                    <w:rPr>
                      <w:szCs w:val="21"/>
                    </w:rPr>
                    <w:t>m</w:t>
                  </w:r>
                  <w:r>
                    <w:rPr>
                      <w:szCs w:val="21"/>
                      <w:vertAlign w:val="superscript"/>
                    </w:rPr>
                    <w:t>3</w:t>
                  </w:r>
                  <w:r>
                    <w:rPr>
                      <w:szCs w:val="21"/>
                    </w:rPr>
                    <w:t>/a</w:t>
                  </w:r>
                  <w:r>
                    <w:rPr>
                      <w:rFonts w:hint="eastAsia"/>
                      <w:szCs w:val="21"/>
                    </w:rPr>
                    <w:t>）</w:t>
                  </w:r>
                </w:p>
              </w:tc>
            </w:tr>
            <w:tr w14:paraId="18E009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31" w:hRule="atLeast"/>
                <w:jc w:val="center"/>
              </w:trPr>
              <w:tc>
                <w:tcPr>
                  <w:tcW w:w="545" w:type="pct"/>
                  <w:tcBorders>
                    <w:top w:val="single" w:color="auto" w:sz="12" w:space="0"/>
                    <w:left w:val="single" w:color="auto" w:sz="12" w:space="0"/>
                    <w:bottom w:val="single" w:color="auto" w:sz="6" w:space="0"/>
                    <w:right w:val="single" w:color="auto" w:sz="6" w:space="0"/>
                  </w:tcBorders>
                  <w:vAlign w:val="center"/>
                </w:tcPr>
                <w:p w14:paraId="417EFE4A">
                  <w:pPr>
                    <w:spacing w:line="360" w:lineRule="exact"/>
                    <w:jc w:val="center"/>
                    <w:rPr>
                      <w:szCs w:val="21"/>
                    </w:rPr>
                  </w:pPr>
                  <w:bookmarkStart w:id="3" w:name="_Hlk335813130"/>
                  <w:r>
                    <w:rPr>
                      <w:szCs w:val="21"/>
                    </w:rPr>
                    <w:t>1</w:t>
                  </w:r>
                </w:p>
              </w:tc>
              <w:tc>
                <w:tcPr>
                  <w:tcW w:w="634" w:type="pct"/>
                  <w:vMerge w:val="restart"/>
                  <w:tcBorders>
                    <w:top w:val="single" w:color="auto" w:sz="12" w:space="0"/>
                    <w:left w:val="single" w:color="auto" w:sz="6" w:space="0"/>
                    <w:right w:val="single" w:color="auto" w:sz="6" w:space="0"/>
                  </w:tcBorders>
                  <w:vAlign w:val="center"/>
                </w:tcPr>
                <w:p w14:paraId="3FEE37D9">
                  <w:pPr>
                    <w:spacing w:line="360" w:lineRule="exact"/>
                    <w:jc w:val="center"/>
                    <w:rPr>
                      <w:szCs w:val="21"/>
                    </w:rPr>
                  </w:pPr>
                  <w:r>
                    <w:rPr>
                      <w:rFonts w:hint="eastAsia"/>
                      <w:kern w:val="0"/>
                      <w:szCs w:val="21"/>
                    </w:rPr>
                    <w:t>原</w:t>
                  </w:r>
                  <w:r>
                    <w:rPr>
                      <w:kern w:val="0"/>
                      <w:szCs w:val="21"/>
                    </w:rPr>
                    <w:t xml:space="preserve"> </w:t>
                  </w:r>
                  <w:r>
                    <w:rPr>
                      <w:rFonts w:hint="eastAsia"/>
                      <w:kern w:val="0"/>
                      <w:szCs w:val="21"/>
                    </w:rPr>
                    <w:t>木</w:t>
                  </w:r>
                </w:p>
              </w:tc>
              <w:tc>
                <w:tcPr>
                  <w:tcW w:w="949" w:type="pct"/>
                  <w:vMerge w:val="restart"/>
                  <w:tcBorders>
                    <w:top w:val="single" w:color="auto" w:sz="12" w:space="0"/>
                    <w:left w:val="single" w:color="auto" w:sz="6" w:space="0"/>
                    <w:right w:val="single" w:color="auto" w:sz="6" w:space="0"/>
                  </w:tcBorders>
                  <w:vAlign w:val="center"/>
                </w:tcPr>
                <w:p w14:paraId="30E146F1">
                  <w:pPr>
                    <w:spacing w:line="360" w:lineRule="exact"/>
                    <w:jc w:val="center"/>
                    <w:rPr>
                      <w:szCs w:val="21"/>
                    </w:rPr>
                  </w:pPr>
                  <w:r>
                    <w:rPr>
                      <w:szCs w:val="21"/>
                    </w:rPr>
                    <w:t>16290.76</w:t>
                  </w:r>
                </w:p>
              </w:tc>
              <w:tc>
                <w:tcPr>
                  <w:tcW w:w="1479" w:type="pct"/>
                  <w:tcBorders>
                    <w:top w:val="single" w:color="auto" w:sz="12" w:space="0"/>
                    <w:left w:val="single" w:color="auto" w:sz="6" w:space="0"/>
                    <w:bottom w:val="single" w:color="auto" w:sz="6" w:space="0"/>
                    <w:right w:val="single" w:color="auto" w:sz="6" w:space="0"/>
                  </w:tcBorders>
                  <w:vAlign w:val="center"/>
                </w:tcPr>
                <w:p w14:paraId="4D6B4D7D">
                  <w:pPr>
                    <w:spacing w:line="360" w:lineRule="exact"/>
                    <w:jc w:val="center"/>
                    <w:rPr>
                      <w:szCs w:val="21"/>
                    </w:rPr>
                  </w:pPr>
                  <w:r>
                    <w:rPr>
                      <w:rFonts w:hint="eastAsia"/>
                      <w:szCs w:val="21"/>
                    </w:rPr>
                    <w:t>锯材</w:t>
                  </w:r>
                </w:p>
              </w:tc>
              <w:tc>
                <w:tcPr>
                  <w:tcW w:w="1393" w:type="pct"/>
                  <w:tcBorders>
                    <w:top w:val="single" w:color="auto" w:sz="12" w:space="0"/>
                    <w:left w:val="single" w:color="auto" w:sz="6" w:space="0"/>
                    <w:bottom w:val="single" w:color="auto" w:sz="6" w:space="0"/>
                    <w:right w:val="single" w:color="auto" w:sz="12" w:space="0"/>
                  </w:tcBorders>
                  <w:vAlign w:val="center"/>
                </w:tcPr>
                <w:p w14:paraId="28888842">
                  <w:pPr>
                    <w:spacing w:line="360" w:lineRule="exact"/>
                    <w:jc w:val="center"/>
                    <w:rPr>
                      <w:szCs w:val="21"/>
                    </w:rPr>
                  </w:pPr>
                  <w:r>
                    <w:rPr>
                      <w:szCs w:val="21"/>
                    </w:rPr>
                    <w:t>15000</w:t>
                  </w:r>
                </w:p>
              </w:tc>
            </w:tr>
            <w:tr w14:paraId="3C294E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545" w:type="pct"/>
                  <w:tcBorders>
                    <w:top w:val="single" w:color="auto" w:sz="6" w:space="0"/>
                    <w:left w:val="single" w:color="auto" w:sz="12" w:space="0"/>
                    <w:bottom w:val="single" w:color="auto" w:sz="6" w:space="0"/>
                    <w:right w:val="single" w:color="auto" w:sz="6" w:space="0"/>
                  </w:tcBorders>
                  <w:vAlign w:val="center"/>
                </w:tcPr>
                <w:p w14:paraId="65D065DE">
                  <w:pPr>
                    <w:spacing w:line="360" w:lineRule="exact"/>
                    <w:jc w:val="center"/>
                    <w:rPr>
                      <w:szCs w:val="21"/>
                    </w:rPr>
                  </w:pPr>
                  <w:r>
                    <w:rPr>
                      <w:szCs w:val="21"/>
                    </w:rPr>
                    <w:t>2</w:t>
                  </w:r>
                </w:p>
              </w:tc>
              <w:tc>
                <w:tcPr>
                  <w:tcW w:w="634" w:type="pct"/>
                  <w:vMerge w:val="continue"/>
                  <w:tcBorders>
                    <w:left w:val="single" w:color="auto" w:sz="6" w:space="0"/>
                    <w:right w:val="single" w:color="auto" w:sz="6" w:space="0"/>
                  </w:tcBorders>
                  <w:vAlign w:val="center"/>
                </w:tcPr>
                <w:p w14:paraId="06E0F2A2">
                  <w:pPr>
                    <w:spacing w:line="360" w:lineRule="exact"/>
                    <w:jc w:val="center"/>
                    <w:rPr>
                      <w:szCs w:val="21"/>
                    </w:rPr>
                  </w:pPr>
                </w:p>
              </w:tc>
              <w:tc>
                <w:tcPr>
                  <w:tcW w:w="949" w:type="pct"/>
                  <w:vMerge w:val="continue"/>
                  <w:tcBorders>
                    <w:left w:val="single" w:color="auto" w:sz="6" w:space="0"/>
                    <w:right w:val="single" w:color="auto" w:sz="6" w:space="0"/>
                  </w:tcBorders>
                  <w:vAlign w:val="center"/>
                </w:tcPr>
                <w:p w14:paraId="7EC8E36D">
                  <w:pPr>
                    <w:spacing w:line="360" w:lineRule="exact"/>
                    <w:jc w:val="center"/>
                    <w:rPr>
                      <w:szCs w:val="21"/>
                    </w:rPr>
                  </w:pPr>
                </w:p>
              </w:tc>
              <w:tc>
                <w:tcPr>
                  <w:tcW w:w="1479" w:type="pct"/>
                  <w:tcBorders>
                    <w:top w:val="single" w:color="auto" w:sz="6" w:space="0"/>
                    <w:left w:val="single" w:color="auto" w:sz="6" w:space="0"/>
                    <w:bottom w:val="single" w:color="auto" w:sz="6" w:space="0"/>
                    <w:right w:val="single" w:color="auto" w:sz="6" w:space="0"/>
                  </w:tcBorders>
                  <w:vAlign w:val="center"/>
                </w:tcPr>
                <w:p w14:paraId="7BC9BDBC">
                  <w:pPr>
                    <w:spacing w:line="360" w:lineRule="exact"/>
                    <w:jc w:val="center"/>
                    <w:rPr>
                      <w:szCs w:val="21"/>
                    </w:rPr>
                  </w:pPr>
                  <w:r>
                    <w:rPr>
                      <w:rFonts w:hint="eastAsia"/>
                      <w:szCs w:val="21"/>
                    </w:rPr>
                    <w:t>树皮及木材边角料</w:t>
                  </w:r>
                </w:p>
              </w:tc>
              <w:tc>
                <w:tcPr>
                  <w:tcW w:w="1393" w:type="pct"/>
                  <w:tcBorders>
                    <w:top w:val="single" w:color="auto" w:sz="6" w:space="0"/>
                    <w:left w:val="single" w:color="auto" w:sz="6" w:space="0"/>
                    <w:bottom w:val="single" w:color="auto" w:sz="6" w:space="0"/>
                    <w:right w:val="single" w:color="auto" w:sz="12" w:space="0"/>
                  </w:tcBorders>
                  <w:vAlign w:val="center"/>
                </w:tcPr>
                <w:p w14:paraId="0580E04B">
                  <w:pPr>
                    <w:spacing w:line="360" w:lineRule="exact"/>
                    <w:jc w:val="center"/>
                    <w:rPr>
                      <w:szCs w:val="21"/>
                    </w:rPr>
                  </w:pPr>
                  <w:r>
                    <w:rPr>
                      <w:rFonts w:hint="eastAsia"/>
                      <w:szCs w:val="21"/>
                    </w:rPr>
                    <w:t>682.29（约300t/a）</w:t>
                  </w:r>
                </w:p>
              </w:tc>
            </w:tr>
            <w:tr w14:paraId="034A36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545" w:type="pct"/>
                  <w:tcBorders>
                    <w:top w:val="single" w:color="auto" w:sz="6" w:space="0"/>
                    <w:left w:val="single" w:color="auto" w:sz="12" w:space="0"/>
                    <w:bottom w:val="single" w:color="auto" w:sz="6" w:space="0"/>
                    <w:right w:val="single" w:color="auto" w:sz="6" w:space="0"/>
                  </w:tcBorders>
                  <w:vAlign w:val="center"/>
                </w:tcPr>
                <w:p w14:paraId="17BA1E81">
                  <w:pPr>
                    <w:spacing w:line="360" w:lineRule="exact"/>
                    <w:jc w:val="center"/>
                    <w:rPr>
                      <w:szCs w:val="21"/>
                    </w:rPr>
                  </w:pPr>
                  <w:r>
                    <w:rPr>
                      <w:kern w:val="0"/>
                      <w:szCs w:val="21"/>
                    </w:rPr>
                    <w:t>3</w:t>
                  </w:r>
                </w:p>
              </w:tc>
              <w:tc>
                <w:tcPr>
                  <w:tcW w:w="634" w:type="pct"/>
                  <w:vMerge w:val="continue"/>
                  <w:tcBorders>
                    <w:left w:val="single" w:color="auto" w:sz="6" w:space="0"/>
                    <w:right w:val="single" w:color="auto" w:sz="6" w:space="0"/>
                  </w:tcBorders>
                  <w:vAlign w:val="center"/>
                </w:tcPr>
                <w:p w14:paraId="5A30EE30">
                  <w:pPr>
                    <w:spacing w:line="360" w:lineRule="exact"/>
                    <w:jc w:val="center"/>
                    <w:rPr>
                      <w:szCs w:val="21"/>
                    </w:rPr>
                  </w:pPr>
                </w:p>
              </w:tc>
              <w:tc>
                <w:tcPr>
                  <w:tcW w:w="949" w:type="pct"/>
                  <w:vMerge w:val="continue"/>
                  <w:tcBorders>
                    <w:left w:val="single" w:color="auto" w:sz="6" w:space="0"/>
                    <w:right w:val="single" w:color="auto" w:sz="6" w:space="0"/>
                  </w:tcBorders>
                  <w:vAlign w:val="center"/>
                </w:tcPr>
                <w:p w14:paraId="222E918A">
                  <w:pPr>
                    <w:spacing w:line="360" w:lineRule="exact"/>
                    <w:jc w:val="center"/>
                    <w:rPr>
                      <w:szCs w:val="21"/>
                    </w:rPr>
                  </w:pPr>
                </w:p>
              </w:tc>
              <w:tc>
                <w:tcPr>
                  <w:tcW w:w="1479" w:type="pct"/>
                  <w:tcBorders>
                    <w:top w:val="single" w:color="auto" w:sz="6" w:space="0"/>
                    <w:left w:val="single" w:color="auto" w:sz="6" w:space="0"/>
                    <w:bottom w:val="single" w:color="auto" w:sz="6" w:space="0"/>
                    <w:right w:val="single" w:color="auto" w:sz="6" w:space="0"/>
                  </w:tcBorders>
                  <w:vAlign w:val="center"/>
                </w:tcPr>
                <w:p w14:paraId="6F921666">
                  <w:pPr>
                    <w:spacing w:line="360" w:lineRule="exact"/>
                    <w:jc w:val="center"/>
                    <w:rPr>
                      <w:szCs w:val="21"/>
                    </w:rPr>
                  </w:pPr>
                  <w:r>
                    <w:rPr>
                      <w:rFonts w:hint="eastAsia"/>
                      <w:szCs w:val="21"/>
                    </w:rPr>
                    <w:t>锯末颗粒</w:t>
                  </w:r>
                </w:p>
              </w:tc>
              <w:tc>
                <w:tcPr>
                  <w:tcW w:w="1393" w:type="pct"/>
                  <w:tcBorders>
                    <w:top w:val="single" w:color="auto" w:sz="6" w:space="0"/>
                    <w:left w:val="single" w:color="auto" w:sz="6" w:space="0"/>
                    <w:bottom w:val="single" w:color="auto" w:sz="6" w:space="0"/>
                    <w:right w:val="single" w:color="auto" w:sz="12" w:space="0"/>
                  </w:tcBorders>
                  <w:vAlign w:val="center"/>
                </w:tcPr>
                <w:p w14:paraId="52723AE5">
                  <w:pPr>
                    <w:spacing w:line="360" w:lineRule="exact"/>
                    <w:jc w:val="center"/>
                    <w:rPr>
                      <w:szCs w:val="21"/>
                    </w:rPr>
                  </w:pPr>
                  <w:r>
                    <w:rPr>
                      <w:szCs w:val="21"/>
                    </w:rPr>
                    <w:t>8.30</w:t>
                  </w:r>
                  <w:r>
                    <w:rPr>
                      <w:rFonts w:hint="eastAsia"/>
                      <w:szCs w:val="21"/>
                    </w:rPr>
                    <w:t>（约</w:t>
                  </w:r>
                  <w:r>
                    <w:rPr>
                      <w:szCs w:val="21"/>
                    </w:rPr>
                    <w:t>3.65t</w:t>
                  </w:r>
                  <w:r>
                    <w:rPr>
                      <w:rFonts w:hint="eastAsia"/>
                      <w:szCs w:val="21"/>
                    </w:rPr>
                    <w:t>）</w:t>
                  </w:r>
                </w:p>
              </w:tc>
            </w:tr>
            <w:tr w14:paraId="1DE09E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545" w:type="pct"/>
                  <w:tcBorders>
                    <w:top w:val="single" w:color="auto" w:sz="6" w:space="0"/>
                    <w:left w:val="single" w:color="auto" w:sz="12" w:space="0"/>
                    <w:bottom w:val="single" w:color="auto" w:sz="6" w:space="0"/>
                    <w:right w:val="single" w:color="auto" w:sz="6" w:space="0"/>
                  </w:tcBorders>
                  <w:vAlign w:val="center"/>
                </w:tcPr>
                <w:p w14:paraId="510BB97A">
                  <w:pPr>
                    <w:widowControl/>
                    <w:spacing w:line="360" w:lineRule="exact"/>
                    <w:jc w:val="center"/>
                    <w:rPr>
                      <w:kern w:val="0"/>
                      <w:szCs w:val="21"/>
                    </w:rPr>
                  </w:pPr>
                  <w:r>
                    <w:rPr>
                      <w:kern w:val="0"/>
                      <w:szCs w:val="21"/>
                    </w:rPr>
                    <w:t>4</w:t>
                  </w:r>
                </w:p>
              </w:tc>
              <w:tc>
                <w:tcPr>
                  <w:tcW w:w="634" w:type="pct"/>
                  <w:vMerge w:val="continue"/>
                  <w:tcBorders>
                    <w:left w:val="single" w:color="auto" w:sz="6" w:space="0"/>
                    <w:right w:val="single" w:color="auto" w:sz="6" w:space="0"/>
                  </w:tcBorders>
                  <w:vAlign w:val="center"/>
                </w:tcPr>
                <w:p w14:paraId="49D75237">
                  <w:pPr>
                    <w:spacing w:line="360" w:lineRule="exact"/>
                    <w:jc w:val="center"/>
                    <w:rPr>
                      <w:szCs w:val="21"/>
                    </w:rPr>
                  </w:pPr>
                </w:p>
              </w:tc>
              <w:tc>
                <w:tcPr>
                  <w:tcW w:w="949" w:type="pct"/>
                  <w:vMerge w:val="continue"/>
                  <w:tcBorders>
                    <w:left w:val="single" w:color="auto" w:sz="6" w:space="0"/>
                    <w:right w:val="single" w:color="auto" w:sz="6" w:space="0"/>
                  </w:tcBorders>
                  <w:vAlign w:val="center"/>
                </w:tcPr>
                <w:p w14:paraId="6479F11A">
                  <w:pPr>
                    <w:spacing w:line="360" w:lineRule="exact"/>
                    <w:jc w:val="center"/>
                    <w:rPr>
                      <w:szCs w:val="21"/>
                    </w:rPr>
                  </w:pPr>
                </w:p>
              </w:tc>
              <w:tc>
                <w:tcPr>
                  <w:tcW w:w="1479" w:type="pct"/>
                  <w:tcBorders>
                    <w:top w:val="single" w:color="auto" w:sz="6" w:space="0"/>
                    <w:left w:val="single" w:color="auto" w:sz="6" w:space="0"/>
                    <w:bottom w:val="single" w:color="auto" w:sz="6" w:space="0"/>
                    <w:right w:val="single" w:color="auto" w:sz="6" w:space="0"/>
                  </w:tcBorders>
                  <w:vAlign w:val="center"/>
                </w:tcPr>
                <w:p w14:paraId="35236C94">
                  <w:pPr>
                    <w:spacing w:line="360" w:lineRule="exact"/>
                    <w:jc w:val="center"/>
                    <w:rPr>
                      <w:szCs w:val="21"/>
                    </w:rPr>
                  </w:pPr>
                  <w:r>
                    <w:rPr>
                      <w:rFonts w:hint="eastAsia"/>
                      <w:szCs w:val="21"/>
                    </w:rPr>
                    <w:t>锯末粉尘（无组织）</w:t>
                  </w:r>
                </w:p>
              </w:tc>
              <w:tc>
                <w:tcPr>
                  <w:tcW w:w="1393" w:type="pct"/>
                  <w:tcBorders>
                    <w:top w:val="single" w:color="auto" w:sz="6" w:space="0"/>
                    <w:left w:val="single" w:color="auto" w:sz="6" w:space="0"/>
                    <w:bottom w:val="single" w:color="auto" w:sz="6" w:space="0"/>
                    <w:right w:val="single" w:color="auto" w:sz="12" w:space="0"/>
                  </w:tcBorders>
                  <w:vAlign w:val="center"/>
                </w:tcPr>
                <w:p w14:paraId="2B094674">
                  <w:pPr>
                    <w:spacing w:line="360" w:lineRule="exact"/>
                    <w:jc w:val="center"/>
                    <w:rPr>
                      <w:szCs w:val="21"/>
                    </w:rPr>
                  </w:pPr>
                  <w:r>
                    <w:rPr>
                      <w:szCs w:val="21"/>
                    </w:rPr>
                    <w:t>0.17</w:t>
                  </w:r>
                  <w:r>
                    <w:rPr>
                      <w:rFonts w:hint="eastAsia"/>
                      <w:szCs w:val="21"/>
                    </w:rPr>
                    <w:t>（约</w:t>
                  </w:r>
                  <w:r>
                    <w:rPr>
                      <w:szCs w:val="21"/>
                    </w:rPr>
                    <w:t>0.07t</w:t>
                  </w:r>
                  <w:r>
                    <w:rPr>
                      <w:rFonts w:hint="eastAsia"/>
                      <w:szCs w:val="21"/>
                    </w:rPr>
                    <w:t>）</w:t>
                  </w:r>
                </w:p>
              </w:tc>
            </w:tr>
            <w:tr w14:paraId="026339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545" w:type="pct"/>
                  <w:tcBorders>
                    <w:top w:val="single" w:color="auto" w:sz="6" w:space="0"/>
                    <w:left w:val="single" w:color="auto" w:sz="12" w:space="0"/>
                    <w:bottom w:val="single" w:color="auto" w:sz="6" w:space="0"/>
                    <w:right w:val="single" w:color="auto" w:sz="6" w:space="0"/>
                  </w:tcBorders>
                  <w:vAlign w:val="center"/>
                </w:tcPr>
                <w:p w14:paraId="4D1CC86B">
                  <w:pPr>
                    <w:widowControl/>
                    <w:spacing w:line="360" w:lineRule="exact"/>
                    <w:jc w:val="center"/>
                    <w:rPr>
                      <w:kern w:val="0"/>
                      <w:szCs w:val="21"/>
                    </w:rPr>
                  </w:pPr>
                  <w:r>
                    <w:rPr>
                      <w:rFonts w:hint="eastAsia"/>
                      <w:kern w:val="0"/>
                      <w:szCs w:val="21"/>
                    </w:rPr>
                    <w:t>5</w:t>
                  </w:r>
                </w:p>
              </w:tc>
              <w:tc>
                <w:tcPr>
                  <w:tcW w:w="634" w:type="pct"/>
                  <w:vMerge w:val="continue"/>
                  <w:tcBorders>
                    <w:left w:val="single" w:color="auto" w:sz="6" w:space="0"/>
                    <w:bottom w:val="single" w:color="auto" w:sz="6" w:space="0"/>
                    <w:right w:val="single" w:color="auto" w:sz="6" w:space="0"/>
                  </w:tcBorders>
                  <w:vAlign w:val="center"/>
                </w:tcPr>
                <w:p w14:paraId="64418D55">
                  <w:pPr>
                    <w:spacing w:line="360" w:lineRule="exact"/>
                    <w:jc w:val="center"/>
                    <w:rPr>
                      <w:szCs w:val="21"/>
                    </w:rPr>
                  </w:pPr>
                </w:p>
              </w:tc>
              <w:tc>
                <w:tcPr>
                  <w:tcW w:w="949" w:type="pct"/>
                  <w:vMerge w:val="continue"/>
                  <w:tcBorders>
                    <w:left w:val="single" w:color="auto" w:sz="6" w:space="0"/>
                    <w:bottom w:val="single" w:color="auto" w:sz="6" w:space="0"/>
                    <w:right w:val="single" w:color="auto" w:sz="6" w:space="0"/>
                  </w:tcBorders>
                  <w:vAlign w:val="center"/>
                </w:tcPr>
                <w:p w14:paraId="41D7D543">
                  <w:pPr>
                    <w:spacing w:line="360" w:lineRule="exact"/>
                    <w:jc w:val="center"/>
                    <w:rPr>
                      <w:szCs w:val="21"/>
                    </w:rPr>
                  </w:pPr>
                </w:p>
              </w:tc>
              <w:tc>
                <w:tcPr>
                  <w:tcW w:w="1479" w:type="pct"/>
                  <w:tcBorders>
                    <w:top w:val="single" w:color="auto" w:sz="6" w:space="0"/>
                    <w:left w:val="single" w:color="auto" w:sz="6" w:space="0"/>
                    <w:bottom w:val="single" w:color="auto" w:sz="6" w:space="0"/>
                    <w:right w:val="single" w:color="auto" w:sz="6" w:space="0"/>
                  </w:tcBorders>
                  <w:vAlign w:val="center"/>
                </w:tcPr>
                <w:p w14:paraId="101D4DF3">
                  <w:pPr>
                    <w:spacing w:line="360" w:lineRule="exact"/>
                    <w:jc w:val="center"/>
                    <w:rPr>
                      <w:szCs w:val="21"/>
                    </w:rPr>
                  </w:pPr>
                  <w:r>
                    <w:rPr>
                      <w:rFonts w:hint="eastAsia"/>
                      <w:szCs w:val="21"/>
                    </w:rPr>
                    <w:t>废木屑</w:t>
                  </w:r>
                </w:p>
              </w:tc>
              <w:tc>
                <w:tcPr>
                  <w:tcW w:w="1393" w:type="pct"/>
                  <w:tcBorders>
                    <w:top w:val="single" w:color="auto" w:sz="6" w:space="0"/>
                    <w:left w:val="single" w:color="auto" w:sz="6" w:space="0"/>
                    <w:bottom w:val="single" w:color="auto" w:sz="6" w:space="0"/>
                    <w:right w:val="single" w:color="auto" w:sz="12" w:space="0"/>
                  </w:tcBorders>
                  <w:vAlign w:val="center"/>
                </w:tcPr>
                <w:p w14:paraId="4F441840">
                  <w:pPr>
                    <w:spacing w:line="360" w:lineRule="exact"/>
                    <w:jc w:val="center"/>
                    <w:rPr>
                      <w:szCs w:val="21"/>
                    </w:rPr>
                  </w:pPr>
                  <w:r>
                    <w:rPr>
                      <w:rFonts w:hint="eastAsia"/>
                      <w:szCs w:val="21"/>
                    </w:rPr>
                    <w:t>600（约263.82t/a）</w:t>
                  </w:r>
                </w:p>
              </w:tc>
            </w:tr>
            <w:tr w14:paraId="364B10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 w:hRule="atLeast"/>
                <w:jc w:val="center"/>
              </w:trPr>
              <w:tc>
                <w:tcPr>
                  <w:tcW w:w="1179" w:type="pct"/>
                  <w:gridSpan w:val="2"/>
                  <w:tcBorders>
                    <w:top w:val="single" w:color="auto" w:sz="6" w:space="0"/>
                    <w:left w:val="single" w:color="auto" w:sz="12" w:space="0"/>
                    <w:bottom w:val="single" w:color="auto" w:sz="6" w:space="0"/>
                    <w:right w:val="single" w:color="auto" w:sz="6" w:space="0"/>
                  </w:tcBorders>
                  <w:vAlign w:val="center"/>
                </w:tcPr>
                <w:p w14:paraId="33962D39">
                  <w:pPr>
                    <w:spacing w:line="360" w:lineRule="exact"/>
                    <w:jc w:val="center"/>
                    <w:rPr>
                      <w:szCs w:val="21"/>
                    </w:rPr>
                  </w:pPr>
                  <w:r>
                    <w:rPr>
                      <w:rFonts w:hint="eastAsia"/>
                      <w:szCs w:val="21"/>
                    </w:rPr>
                    <w:t>小计</w:t>
                  </w:r>
                </w:p>
              </w:tc>
              <w:tc>
                <w:tcPr>
                  <w:tcW w:w="949" w:type="pct"/>
                  <w:tcBorders>
                    <w:top w:val="single" w:color="auto" w:sz="6" w:space="0"/>
                    <w:left w:val="single" w:color="auto" w:sz="6" w:space="0"/>
                    <w:bottom w:val="single" w:color="auto" w:sz="6" w:space="0"/>
                    <w:right w:val="single" w:color="auto" w:sz="6" w:space="0"/>
                  </w:tcBorders>
                  <w:vAlign w:val="center"/>
                </w:tcPr>
                <w:p w14:paraId="2351B96E">
                  <w:pPr>
                    <w:spacing w:line="360" w:lineRule="exact"/>
                    <w:jc w:val="center"/>
                    <w:rPr>
                      <w:szCs w:val="21"/>
                    </w:rPr>
                  </w:pPr>
                  <w:r>
                    <w:rPr>
                      <w:szCs w:val="21"/>
                    </w:rPr>
                    <w:t>16290.76</w:t>
                  </w:r>
                </w:p>
              </w:tc>
              <w:tc>
                <w:tcPr>
                  <w:tcW w:w="1479" w:type="pct"/>
                  <w:tcBorders>
                    <w:top w:val="single" w:color="auto" w:sz="6" w:space="0"/>
                    <w:left w:val="single" w:color="auto" w:sz="6" w:space="0"/>
                    <w:bottom w:val="single" w:color="auto" w:sz="6" w:space="0"/>
                    <w:right w:val="single" w:color="auto" w:sz="6" w:space="0"/>
                  </w:tcBorders>
                  <w:vAlign w:val="center"/>
                </w:tcPr>
                <w:p w14:paraId="114373A6">
                  <w:pPr>
                    <w:spacing w:line="360" w:lineRule="exact"/>
                    <w:jc w:val="center"/>
                    <w:rPr>
                      <w:szCs w:val="21"/>
                    </w:rPr>
                  </w:pPr>
                  <w:r>
                    <w:rPr>
                      <w:szCs w:val="21"/>
                    </w:rPr>
                    <w:t>/</w:t>
                  </w:r>
                </w:p>
              </w:tc>
              <w:tc>
                <w:tcPr>
                  <w:tcW w:w="1393" w:type="pct"/>
                  <w:tcBorders>
                    <w:top w:val="single" w:color="auto" w:sz="6" w:space="0"/>
                    <w:left w:val="single" w:color="auto" w:sz="6" w:space="0"/>
                    <w:bottom w:val="single" w:color="auto" w:sz="6" w:space="0"/>
                    <w:right w:val="single" w:color="auto" w:sz="12" w:space="0"/>
                  </w:tcBorders>
                  <w:vAlign w:val="center"/>
                </w:tcPr>
                <w:p w14:paraId="63B8741B">
                  <w:pPr>
                    <w:spacing w:line="360" w:lineRule="exact"/>
                    <w:jc w:val="center"/>
                    <w:rPr>
                      <w:szCs w:val="21"/>
                    </w:rPr>
                  </w:pPr>
                  <w:r>
                    <w:rPr>
                      <w:szCs w:val="21"/>
                    </w:rPr>
                    <w:t>16290.76</w:t>
                  </w:r>
                </w:p>
              </w:tc>
            </w:tr>
            <w:tr w14:paraId="1A70ED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1179" w:type="pct"/>
                  <w:gridSpan w:val="2"/>
                  <w:tcBorders>
                    <w:top w:val="single" w:color="auto" w:sz="6" w:space="0"/>
                    <w:left w:val="single" w:color="auto" w:sz="12" w:space="0"/>
                    <w:bottom w:val="single" w:color="auto" w:sz="12" w:space="0"/>
                    <w:right w:val="single" w:color="auto" w:sz="6" w:space="0"/>
                  </w:tcBorders>
                  <w:vAlign w:val="center"/>
                </w:tcPr>
                <w:p w14:paraId="78C94AF2">
                  <w:pPr>
                    <w:spacing w:line="360" w:lineRule="exact"/>
                    <w:jc w:val="center"/>
                    <w:rPr>
                      <w:szCs w:val="21"/>
                    </w:rPr>
                  </w:pPr>
                  <w:r>
                    <w:rPr>
                      <w:rFonts w:hint="eastAsia"/>
                      <w:szCs w:val="21"/>
                    </w:rPr>
                    <w:t>总计</w:t>
                  </w:r>
                </w:p>
              </w:tc>
              <w:tc>
                <w:tcPr>
                  <w:tcW w:w="949" w:type="pct"/>
                  <w:tcBorders>
                    <w:top w:val="single" w:color="auto" w:sz="6" w:space="0"/>
                    <w:left w:val="single" w:color="auto" w:sz="6" w:space="0"/>
                    <w:bottom w:val="single" w:color="auto" w:sz="12" w:space="0"/>
                    <w:right w:val="single" w:color="auto" w:sz="6" w:space="0"/>
                  </w:tcBorders>
                  <w:vAlign w:val="center"/>
                </w:tcPr>
                <w:p w14:paraId="5D4D260A">
                  <w:pPr>
                    <w:spacing w:line="360" w:lineRule="exact"/>
                    <w:jc w:val="center"/>
                    <w:rPr>
                      <w:szCs w:val="21"/>
                    </w:rPr>
                  </w:pPr>
                  <w:r>
                    <w:rPr>
                      <w:szCs w:val="21"/>
                    </w:rPr>
                    <w:t>16290.76</w:t>
                  </w:r>
                </w:p>
              </w:tc>
              <w:tc>
                <w:tcPr>
                  <w:tcW w:w="1479" w:type="pct"/>
                  <w:tcBorders>
                    <w:top w:val="single" w:color="auto" w:sz="6" w:space="0"/>
                    <w:left w:val="single" w:color="auto" w:sz="6" w:space="0"/>
                    <w:bottom w:val="single" w:color="auto" w:sz="12" w:space="0"/>
                    <w:right w:val="single" w:color="auto" w:sz="6" w:space="0"/>
                  </w:tcBorders>
                  <w:vAlign w:val="center"/>
                </w:tcPr>
                <w:p w14:paraId="73B93ED9">
                  <w:pPr>
                    <w:spacing w:line="360" w:lineRule="exact"/>
                    <w:jc w:val="center"/>
                    <w:rPr>
                      <w:szCs w:val="21"/>
                    </w:rPr>
                  </w:pPr>
                  <w:r>
                    <w:rPr>
                      <w:szCs w:val="21"/>
                    </w:rPr>
                    <w:t>/</w:t>
                  </w:r>
                </w:p>
              </w:tc>
              <w:tc>
                <w:tcPr>
                  <w:tcW w:w="1393" w:type="pct"/>
                  <w:tcBorders>
                    <w:top w:val="single" w:color="auto" w:sz="6" w:space="0"/>
                    <w:left w:val="single" w:color="auto" w:sz="6" w:space="0"/>
                    <w:bottom w:val="single" w:color="auto" w:sz="12" w:space="0"/>
                    <w:right w:val="single" w:color="auto" w:sz="12" w:space="0"/>
                  </w:tcBorders>
                  <w:vAlign w:val="center"/>
                </w:tcPr>
                <w:p w14:paraId="24ACF648">
                  <w:pPr>
                    <w:spacing w:line="360" w:lineRule="exact"/>
                    <w:jc w:val="center"/>
                    <w:rPr>
                      <w:szCs w:val="21"/>
                    </w:rPr>
                  </w:pPr>
                  <w:r>
                    <w:rPr>
                      <w:szCs w:val="21"/>
                    </w:rPr>
                    <w:t>16290.76</w:t>
                  </w:r>
                </w:p>
              </w:tc>
            </w:tr>
            <w:bookmarkEnd w:id="3"/>
          </w:tbl>
          <w:p w14:paraId="796407F7">
            <w:pPr>
              <w:spacing w:line="480" w:lineRule="exact"/>
              <w:ind w:firstLine="420" w:firstLineChars="200"/>
              <w:rPr>
                <w:rFonts w:eastAsia="黑体"/>
                <w:szCs w:val="21"/>
              </w:rPr>
            </w:pPr>
            <w:r>
              <w:rPr>
                <w:rFonts w:hint="eastAsia" w:eastAsia="黑体"/>
                <w:szCs w:val="21"/>
              </w:rPr>
              <w:t>备注：本项目原材料主要为原木，其基本密度的变化范围约为</w:t>
            </w:r>
            <w:r>
              <w:rPr>
                <w:rFonts w:eastAsia="黑体"/>
                <w:szCs w:val="21"/>
              </w:rPr>
              <w:t>0.39~0.49</w:t>
            </w:r>
            <w:r>
              <w:rPr>
                <w:rFonts w:hint="eastAsia" w:eastAsia="黑体"/>
                <w:szCs w:val="21"/>
              </w:rPr>
              <w:t>。本次评价以巨桉的基本密度计算，取平均值为</w:t>
            </w:r>
            <w:r>
              <w:rPr>
                <w:rFonts w:eastAsia="黑体"/>
                <w:szCs w:val="21"/>
              </w:rPr>
              <w:t>0.44</w:t>
            </w:r>
            <w:r>
              <w:rPr>
                <w:rFonts w:hint="eastAsia" w:eastAsia="黑体"/>
                <w:szCs w:val="21"/>
              </w:rPr>
              <w:t>（由业主提供）。</w:t>
            </w:r>
          </w:p>
          <w:p w14:paraId="4298DEF5">
            <w:pPr>
              <w:spacing w:line="360" w:lineRule="auto"/>
              <w:rPr>
                <w:sz w:val="24"/>
              </w:rPr>
            </w:pPr>
            <w:r>
              <w:rPr>
                <w:b/>
                <w:sz w:val="28"/>
                <w:szCs w:val="28"/>
              </w:rPr>
              <w:t>三、污染物的排放及治理</w:t>
            </w:r>
          </w:p>
          <w:p w14:paraId="7DAE46CD">
            <w:pPr>
              <w:spacing w:line="360" w:lineRule="auto"/>
              <w:ind w:firstLine="480" w:firstLineChars="200"/>
              <w:rPr>
                <w:sz w:val="24"/>
              </w:rPr>
            </w:pPr>
            <w:r>
              <w:rPr>
                <w:sz w:val="24"/>
              </w:rPr>
              <w:t>项目于现有厂房，进行简单改造，不涉及大规模土建，施工量较小。</w:t>
            </w:r>
          </w:p>
          <w:p w14:paraId="560A70FF">
            <w:pPr>
              <w:spacing w:line="360" w:lineRule="auto"/>
              <w:ind w:firstLine="480" w:firstLineChars="200"/>
              <w:rPr>
                <w:b/>
                <w:sz w:val="24"/>
              </w:rPr>
            </w:pPr>
            <w:r>
              <w:rPr>
                <w:b/>
                <w:sz w:val="24"/>
              </w:rPr>
              <w:t>（一）施工期污染物排放及治理</w:t>
            </w:r>
          </w:p>
          <w:p w14:paraId="699DCFFC">
            <w:pPr>
              <w:spacing w:line="360" w:lineRule="auto"/>
              <w:ind w:firstLine="480" w:firstLineChars="200"/>
              <w:rPr>
                <w:b/>
                <w:sz w:val="24"/>
              </w:rPr>
            </w:pPr>
            <w:r>
              <w:rPr>
                <w:b/>
                <w:sz w:val="24"/>
              </w:rPr>
              <w:t>1、施工废气</w:t>
            </w:r>
          </w:p>
          <w:p w14:paraId="6640DF38">
            <w:pPr>
              <w:spacing w:line="360" w:lineRule="auto"/>
              <w:ind w:firstLine="480" w:firstLineChars="200"/>
              <w:rPr>
                <w:sz w:val="24"/>
              </w:rPr>
            </w:pPr>
            <w:r>
              <w:rPr>
                <w:sz w:val="24"/>
              </w:rPr>
              <w:t>施工阶段大气污染物主要有施工扬尘、汽车尾气以及室内装修工程产生的有机废气等。</w:t>
            </w:r>
          </w:p>
          <w:p w14:paraId="61C05E07">
            <w:pPr>
              <w:spacing w:line="360" w:lineRule="auto"/>
              <w:ind w:firstLine="480" w:firstLineChars="200"/>
              <w:rPr>
                <w:sz w:val="24"/>
              </w:rPr>
            </w:pPr>
            <w:r>
              <w:rPr>
                <w:sz w:val="24"/>
              </w:rPr>
              <w:t>（1）施工扬尘</w:t>
            </w:r>
          </w:p>
          <w:p w14:paraId="2BE427F5">
            <w:pPr>
              <w:spacing w:line="360" w:lineRule="auto"/>
              <w:ind w:firstLine="480" w:firstLineChars="200"/>
              <w:rPr>
                <w:sz w:val="24"/>
              </w:rPr>
            </w:pPr>
            <w:r>
              <w:rPr>
                <w:sz w:val="24"/>
              </w:rPr>
              <w:t>由于本项目施工期不涉及基础工程，因此产尘量很小，且施工范围在现有车间内，扬尘扩散范围很有限，主要采取的措施包括：</w:t>
            </w:r>
          </w:p>
          <w:p w14:paraId="6ADDADAE">
            <w:pPr>
              <w:spacing w:line="360" w:lineRule="auto"/>
              <w:ind w:firstLine="480" w:firstLineChars="200"/>
              <w:rPr>
                <w:sz w:val="24"/>
              </w:rPr>
            </w:pPr>
            <w:r>
              <w:rPr>
                <w:sz w:val="24"/>
              </w:rPr>
              <w:fldChar w:fldCharType="begin"/>
            </w:r>
            <w:r>
              <w:rPr>
                <w:sz w:val="24"/>
              </w:rPr>
              <w:instrText xml:space="preserve"> = 1 \* GB3 </w:instrText>
            </w:r>
            <w:r>
              <w:rPr>
                <w:sz w:val="24"/>
              </w:rPr>
              <w:fldChar w:fldCharType="separate"/>
            </w:r>
            <w:r>
              <w:rPr>
                <w:rFonts w:hint="eastAsia"/>
                <w:sz w:val="24"/>
              </w:rPr>
              <w:t>①</w:t>
            </w:r>
            <w:r>
              <w:rPr>
                <w:sz w:val="24"/>
              </w:rPr>
              <w:fldChar w:fldCharType="end"/>
            </w:r>
            <w:r>
              <w:rPr>
                <w:sz w:val="24"/>
              </w:rPr>
              <w:t>施工区域临时封闭；</w:t>
            </w:r>
          </w:p>
          <w:p w14:paraId="555CD795">
            <w:pPr>
              <w:spacing w:line="360" w:lineRule="auto"/>
              <w:ind w:firstLine="480" w:firstLineChars="200"/>
              <w:rPr>
                <w:sz w:val="24"/>
              </w:rPr>
            </w:pPr>
            <w:r>
              <w:rPr>
                <w:sz w:val="24"/>
              </w:rPr>
              <w:fldChar w:fldCharType="begin"/>
            </w:r>
            <w:r>
              <w:rPr>
                <w:sz w:val="24"/>
              </w:rPr>
              <w:instrText xml:space="preserve"> = 2 \* GB3 </w:instrText>
            </w:r>
            <w:r>
              <w:rPr>
                <w:sz w:val="24"/>
              </w:rPr>
              <w:fldChar w:fldCharType="separate"/>
            </w:r>
            <w:r>
              <w:rPr>
                <w:rFonts w:hint="eastAsia"/>
                <w:sz w:val="24"/>
              </w:rPr>
              <w:t>②</w:t>
            </w:r>
            <w:r>
              <w:rPr>
                <w:sz w:val="24"/>
              </w:rPr>
              <w:fldChar w:fldCharType="end"/>
            </w:r>
            <w:r>
              <w:rPr>
                <w:sz w:val="24"/>
              </w:rPr>
              <w:t>设置单独的施工出入口，在出入口设置洒水降尘设施；</w:t>
            </w:r>
          </w:p>
          <w:p w14:paraId="65C75435">
            <w:pPr>
              <w:spacing w:line="360" w:lineRule="auto"/>
              <w:ind w:firstLine="480" w:firstLineChars="200"/>
              <w:rPr>
                <w:sz w:val="24"/>
              </w:rPr>
            </w:pPr>
            <w:r>
              <w:rPr>
                <w:sz w:val="24"/>
              </w:rPr>
              <w:fldChar w:fldCharType="begin"/>
            </w:r>
            <w:r>
              <w:rPr>
                <w:sz w:val="24"/>
              </w:rPr>
              <w:instrText xml:space="preserve"> = 3 \* GB3 </w:instrText>
            </w:r>
            <w:r>
              <w:rPr>
                <w:sz w:val="24"/>
              </w:rPr>
              <w:fldChar w:fldCharType="separate"/>
            </w:r>
            <w:r>
              <w:rPr>
                <w:rFonts w:hint="eastAsia"/>
                <w:sz w:val="24"/>
              </w:rPr>
              <w:t>③</w:t>
            </w:r>
            <w:r>
              <w:rPr>
                <w:sz w:val="24"/>
              </w:rPr>
              <w:fldChar w:fldCharType="end"/>
            </w:r>
            <w:r>
              <w:rPr>
                <w:sz w:val="24"/>
              </w:rPr>
              <w:t>运输可能产生扬尘污染的建筑材料应当在封闭库房内存放或严密遮盖；</w:t>
            </w:r>
          </w:p>
          <w:p w14:paraId="2AF6505E">
            <w:pPr>
              <w:spacing w:line="360" w:lineRule="auto"/>
              <w:ind w:firstLine="480" w:firstLineChars="200"/>
              <w:rPr>
                <w:sz w:val="24"/>
              </w:rPr>
            </w:pPr>
            <w:r>
              <w:rPr>
                <w:sz w:val="24"/>
              </w:rPr>
              <w:fldChar w:fldCharType="begin"/>
            </w:r>
            <w:r>
              <w:rPr>
                <w:sz w:val="24"/>
              </w:rPr>
              <w:instrText xml:space="preserve"> = 4 \* GB3 </w:instrText>
            </w:r>
            <w:r>
              <w:rPr>
                <w:sz w:val="24"/>
              </w:rPr>
              <w:fldChar w:fldCharType="separate"/>
            </w:r>
            <w:r>
              <w:rPr>
                <w:rFonts w:hint="eastAsia"/>
                <w:sz w:val="24"/>
              </w:rPr>
              <w:t>④</w:t>
            </w:r>
            <w:r>
              <w:rPr>
                <w:sz w:val="24"/>
              </w:rPr>
              <w:fldChar w:fldCharType="end"/>
            </w:r>
            <w:r>
              <w:rPr>
                <w:sz w:val="24"/>
              </w:rPr>
              <w:t>建材堆放点要相对集中，放置规范，并采取一定防尘措施抑制扬尘量；</w:t>
            </w:r>
          </w:p>
          <w:p w14:paraId="4675FB31">
            <w:pPr>
              <w:spacing w:line="360" w:lineRule="auto"/>
              <w:ind w:firstLine="480" w:firstLineChars="200"/>
              <w:rPr>
                <w:sz w:val="24"/>
              </w:rPr>
            </w:pPr>
            <w:r>
              <w:rPr>
                <w:sz w:val="24"/>
              </w:rPr>
              <w:fldChar w:fldCharType="begin"/>
            </w:r>
            <w:r>
              <w:rPr>
                <w:sz w:val="24"/>
              </w:rPr>
              <w:instrText xml:space="preserve"> = 5 \* GB3 </w:instrText>
            </w:r>
            <w:r>
              <w:rPr>
                <w:sz w:val="24"/>
              </w:rPr>
              <w:fldChar w:fldCharType="separate"/>
            </w:r>
            <w:r>
              <w:rPr>
                <w:rFonts w:hint="eastAsia"/>
                <w:sz w:val="24"/>
              </w:rPr>
              <w:t>⑤</w:t>
            </w:r>
            <w:r>
              <w:rPr>
                <w:sz w:val="24"/>
              </w:rPr>
              <w:fldChar w:fldCharType="end"/>
            </w:r>
            <w:r>
              <w:rPr>
                <w:sz w:val="24"/>
              </w:rPr>
              <w:t>项目施工场地配备专职人员对施工现场进行物业化管理。</w:t>
            </w:r>
          </w:p>
          <w:p w14:paraId="373266DC">
            <w:pPr>
              <w:spacing w:line="360" w:lineRule="auto"/>
              <w:ind w:firstLine="480" w:firstLineChars="200"/>
              <w:rPr>
                <w:sz w:val="24"/>
              </w:rPr>
            </w:pPr>
            <w:r>
              <w:rPr>
                <w:sz w:val="24"/>
              </w:rPr>
              <w:t>总之，施工期需严格遵守各项规定，对扬尘进行治理，以确保施工扬尘不对周边大气环境质量造成污染影响，达到保护环境，保障身心健康的目的。</w:t>
            </w:r>
          </w:p>
          <w:p w14:paraId="23A0DA85">
            <w:pPr>
              <w:spacing w:line="360" w:lineRule="auto"/>
              <w:ind w:firstLine="480" w:firstLineChars="200"/>
              <w:rPr>
                <w:sz w:val="24"/>
              </w:rPr>
            </w:pPr>
            <w:r>
              <w:rPr>
                <w:sz w:val="24"/>
              </w:rPr>
              <w:t>施工扬尘需按照国务院2013年9月12日发布的《大气污染防治行动计划》、</w:t>
            </w:r>
            <w:r>
              <w:rPr>
                <w:rFonts w:hint="eastAsia"/>
                <w:sz w:val="24"/>
              </w:rPr>
              <w:t>“乐山市打赢蓝天保卫战实施方案”</w:t>
            </w:r>
            <w:r>
              <w:rPr>
                <w:sz w:val="24"/>
              </w:rPr>
              <w:t>等文件要求。</w:t>
            </w:r>
          </w:p>
          <w:p w14:paraId="6CEBD690">
            <w:pPr>
              <w:spacing w:line="360" w:lineRule="auto"/>
              <w:ind w:firstLine="480" w:firstLineChars="200"/>
              <w:rPr>
                <w:sz w:val="24"/>
              </w:rPr>
            </w:pPr>
            <w:r>
              <w:rPr>
                <w:sz w:val="24"/>
              </w:rPr>
              <w:t>（2）汽车尾气</w:t>
            </w:r>
          </w:p>
          <w:p w14:paraId="2E933FA2">
            <w:pPr>
              <w:spacing w:line="360" w:lineRule="auto"/>
              <w:ind w:firstLine="480" w:firstLineChars="200"/>
              <w:rPr>
                <w:sz w:val="24"/>
              </w:rPr>
            </w:pPr>
            <w:r>
              <w:rPr>
                <w:sz w:val="24"/>
              </w:rPr>
              <w:t>汽车尾气：施工期间使用机动车运送原材料、设备时，会排放一定量的 CO、NO</w:t>
            </w:r>
            <w:r>
              <w:rPr>
                <w:sz w:val="24"/>
                <w:vertAlign w:val="subscript"/>
              </w:rPr>
              <w:t>x</w:t>
            </w:r>
            <w:r>
              <w:rPr>
                <w:sz w:val="24"/>
              </w:rPr>
              <w:t>以及未完全燃烧的HC等，因其排放量小，属间断性无组织排放，且施工场地扩散条件良好，故在大气的稀释作用下，汽车尾气对周围环境影响较小。为使汽车尾气对环境的影响降至最小，</w:t>
            </w:r>
            <w:r>
              <w:rPr>
                <w:b/>
                <w:sz w:val="24"/>
              </w:rPr>
              <w:t>环评要求</w:t>
            </w:r>
            <w:r>
              <w:rPr>
                <w:sz w:val="24"/>
              </w:rPr>
              <w:t>：项目对进出车辆加强管理，减少进出车辆怠速和频繁启动等。</w:t>
            </w:r>
          </w:p>
          <w:p w14:paraId="08074428">
            <w:pPr>
              <w:spacing w:line="360" w:lineRule="auto"/>
              <w:ind w:firstLine="480" w:firstLineChars="200"/>
              <w:rPr>
                <w:sz w:val="24"/>
              </w:rPr>
            </w:pPr>
            <w:r>
              <w:rPr>
                <w:sz w:val="24"/>
              </w:rPr>
              <w:t>在进行了以上防治措施后，本项目装修施工产生的有机废气对环境影响较小。</w:t>
            </w:r>
          </w:p>
          <w:p w14:paraId="19CE731F">
            <w:pPr>
              <w:spacing w:line="360" w:lineRule="auto"/>
              <w:ind w:firstLine="480" w:firstLineChars="200"/>
              <w:rPr>
                <w:sz w:val="24"/>
              </w:rPr>
            </w:pPr>
            <w:r>
              <w:rPr>
                <w:sz w:val="24"/>
              </w:rPr>
              <w:t>（3）小结</w:t>
            </w:r>
          </w:p>
          <w:p w14:paraId="202335C5">
            <w:pPr>
              <w:spacing w:line="360" w:lineRule="auto"/>
              <w:ind w:firstLine="480" w:firstLineChars="200"/>
              <w:rPr>
                <w:sz w:val="24"/>
              </w:rPr>
            </w:pPr>
            <w:r>
              <w:rPr>
                <w:sz w:val="24"/>
              </w:rPr>
              <w:t>综上所述，采取以上废气的污染防治措施后，可有效控制施工废气对周围环境及施工作业人员的影响。</w:t>
            </w:r>
          </w:p>
          <w:p w14:paraId="01D28150">
            <w:pPr>
              <w:spacing w:line="360" w:lineRule="auto"/>
              <w:ind w:firstLine="480" w:firstLineChars="200"/>
              <w:rPr>
                <w:b/>
                <w:sz w:val="24"/>
              </w:rPr>
            </w:pPr>
            <w:r>
              <w:rPr>
                <w:b/>
                <w:sz w:val="24"/>
              </w:rPr>
              <w:t>2、施工期废水</w:t>
            </w:r>
          </w:p>
          <w:p w14:paraId="03B79D21">
            <w:pPr>
              <w:spacing w:line="360" w:lineRule="auto"/>
              <w:ind w:firstLine="480" w:firstLineChars="200"/>
              <w:rPr>
                <w:sz w:val="24"/>
              </w:rPr>
            </w:pPr>
            <w:r>
              <w:rPr>
                <w:sz w:val="24"/>
              </w:rPr>
              <w:t>施工期规模较小且不涉及基础工程施工，主要是厂房装修以及设备安装。因此废水主要为施工人员生活污水。</w:t>
            </w:r>
          </w:p>
          <w:p w14:paraId="36139DE8">
            <w:pPr>
              <w:adjustRightInd w:val="0"/>
              <w:snapToGrid w:val="0"/>
              <w:spacing w:line="348" w:lineRule="auto"/>
              <w:ind w:firstLine="424" w:firstLineChars="177"/>
              <w:rPr>
                <w:sz w:val="24"/>
              </w:rPr>
            </w:pPr>
            <w:r>
              <w:rPr>
                <w:sz w:val="24"/>
              </w:rPr>
              <w:t>根据类比分析，估算本项目施工高峰期有施工人员及工地管理人员10人左右，生活废水排放按0.05m</w:t>
            </w:r>
            <w:r>
              <w:rPr>
                <w:sz w:val="24"/>
                <w:vertAlign w:val="superscript"/>
              </w:rPr>
              <w:t>3</w:t>
            </w:r>
            <w:r>
              <w:rPr>
                <w:sz w:val="24"/>
              </w:rPr>
              <w:t>/人·d计算，排污系数取0.8，则施工人员生活废水产生量约为0.4m</w:t>
            </w:r>
            <w:r>
              <w:rPr>
                <w:sz w:val="24"/>
                <w:vertAlign w:val="superscript"/>
              </w:rPr>
              <w:t>3</w:t>
            </w:r>
            <w:r>
              <w:rPr>
                <w:sz w:val="24"/>
              </w:rPr>
              <w:t>/d。主要污染物浓度为：COD</w:t>
            </w:r>
            <w:r>
              <w:rPr>
                <w:sz w:val="24"/>
                <w:vertAlign w:val="subscript"/>
              </w:rPr>
              <w:t xml:space="preserve">cr </w:t>
            </w:r>
            <w:r>
              <w:rPr>
                <w:sz w:val="24"/>
              </w:rPr>
              <w:t>400mg/L、BOD</w:t>
            </w:r>
            <w:r>
              <w:rPr>
                <w:sz w:val="24"/>
                <w:vertAlign w:val="subscript"/>
              </w:rPr>
              <w:t xml:space="preserve">5 </w:t>
            </w:r>
            <w:r>
              <w:rPr>
                <w:sz w:val="24"/>
              </w:rPr>
              <w:t>200mg/L、SS 250mg/L，氨氮40mg/L，动植物油30 mg/L。由于本项目施工人员主要为当地居民，不在施工场所内食宿，产生的生活废水依托</w:t>
            </w:r>
            <w:r>
              <w:rPr>
                <w:rFonts w:hint="eastAsia"/>
                <w:sz w:val="24"/>
              </w:rPr>
              <w:t>业主现有住房的</w:t>
            </w:r>
            <w:r>
              <w:rPr>
                <w:sz w:val="24"/>
              </w:rPr>
              <w:t>现有</w:t>
            </w:r>
            <w:r>
              <w:rPr>
                <w:rFonts w:hint="eastAsia"/>
                <w:sz w:val="24"/>
              </w:rPr>
              <w:t>污水预处理</w:t>
            </w:r>
            <w:r>
              <w:rPr>
                <w:bCs/>
                <w:sz w:val="24"/>
              </w:rPr>
              <w:t>设施处理。</w:t>
            </w:r>
          </w:p>
          <w:p w14:paraId="299DB07B">
            <w:pPr>
              <w:spacing w:line="360" w:lineRule="auto"/>
              <w:ind w:firstLine="480" w:firstLineChars="200"/>
              <w:rPr>
                <w:b/>
                <w:sz w:val="24"/>
              </w:rPr>
            </w:pPr>
            <w:r>
              <w:rPr>
                <w:b/>
                <w:sz w:val="24"/>
              </w:rPr>
              <w:t>3、施工期噪声</w:t>
            </w:r>
          </w:p>
          <w:p w14:paraId="218815C2">
            <w:pPr>
              <w:spacing w:line="360" w:lineRule="auto"/>
              <w:ind w:firstLine="480" w:firstLineChars="200"/>
              <w:rPr>
                <w:bCs/>
                <w:sz w:val="24"/>
              </w:rPr>
            </w:pPr>
            <w:r>
              <w:rPr>
                <w:bCs/>
                <w:sz w:val="24"/>
              </w:rPr>
              <w:t>施工期噪声主要来源于施工现场各类机械设备和物料运输车辆的噪声，施工单位在施工期间采取以下的噪声控制措施：</w:t>
            </w:r>
          </w:p>
          <w:p w14:paraId="7CB77A5B">
            <w:pPr>
              <w:spacing w:line="360" w:lineRule="auto"/>
              <w:ind w:firstLine="480" w:firstLineChars="200"/>
              <w:rPr>
                <w:bCs/>
                <w:sz w:val="24"/>
              </w:rPr>
            </w:pPr>
            <w:r>
              <w:rPr>
                <w:bCs/>
                <w:sz w:val="24"/>
              </w:rPr>
              <w:t>（1）合理布设施工场地，对需进行的产噪设备尽量布置在项目中部，从空间上减少噪声对敏感点的影响；</w:t>
            </w:r>
          </w:p>
          <w:p w14:paraId="25DDEED2">
            <w:pPr>
              <w:spacing w:line="360" w:lineRule="auto"/>
              <w:ind w:firstLine="480" w:firstLineChars="200"/>
              <w:rPr>
                <w:bCs/>
                <w:sz w:val="24"/>
              </w:rPr>
            </w:pPr>
            <w:r>
              <w:rPr>
                <w:bCs/>
                <w:sz w:val="24"/>
              </w:rPr>
              <w:t>（2）合理安排作业时间，午间、夜间禁止施工；</w:t>
            </w:r>
          </w:p>
          <w:p w14:paraId="4E1FA835">
            <w:pPr>
              <w:spacing w:line="360" w:lineRule="auto"/>
              <w:ind w:firstLine="480" w:firstLineChars="200"/>
              <w:rPr>
                <w:bCs/>
                <w:sz w:val="24"/>
              </w:rPr>
            </w:pPr>
            <w:r>
              <w:rPr>
                <w:bCs/>
                <w:sz w:val="24"/>
              </w:rPr>
              <w:t>（3）施工车辆运行线路应按交通管理部门规定的路线进行，材料运输车辆进入场地需安排专人指挥，材料装卸采用人工传递，严禁抛掷或汽车一次性下料；</w:t>
            </w:r>
          </w:p>
          <w:p w14:paraId="2F84E2C1">
            <w:pPr>
              <w:spacing w:line="360" w:lineRule="auto"/>
              <w:ind w:firstLine="480" w:firstLineChars="200"/>
              <w:rPr>
                <w:bCs/>
                <w:sz w:val="24"/>
              </w:rPr>
            </w:pPr>
            <w:r>
              <w:rPr>
                <w:bCs/>
                <w:sz w:val="24"/>
              </w:rPr>
              <w:t>（4）加强工人管理，文明施工，严禁高声喧哗。</w:t>
            </w:r>
          </w:p>
          <w:p w14:paraId="17FBD65D">
            <w:pPr>
              <w:spacing w:line="360" w:lineRule="auto"/>
              <w:ind w:firstLine="480" w:firstLineChars="200"/>
              <w:rPr>
                <w:bCs/>
                <w:sz w:val="24"/>
              </w:rPr>
            </w:pPr>
            <w:r>
              <w:rPr>
                <w:bCs/>
                <w:sz w:val="24"/>
              </w:rPr>
              <w:t>在采取上述措施后，本项目施工噪声对周围的影响可以降到人们可接受范围内，且影响是有限的、暂时的，会随着施工期的结束而消失。</w:t>
            </w:r>
          </w:p>
          <w:p w14:paraId="335B75DE">
            <w:pPr>
              <w:spacing w:line="360" w:lineRule="auto"/>
              <w:ind w:firstLine="480" w:firstLineChars="200"/>
              <w:rPr>
                <w:b/>
                <w:sz w:val="24"/>
              </w:rPr>
            </w:pPr>
            <w:r>
              <w:rPr>
                <w:b/>
                <w:sz w:val="24"/>
              </w:rPr>
              <w:t>4、施工期固体废弃物</w:t>
            </w:r>
          </w:p>
          <w:p w14:paraId="56C59572">
            <w:pPr>
              <w:spacing w:line="360" w:lineRule="auto"/>
              <w:ind w:firstLine="480" w:firstLineChars="200"/>
              <w:rPr>
                <w:bCs/>
                <w:sz w:val="24"/>
              </w:rPr>
            </w:pPr>
            <w:r>
              <w:rPr>
                <w:bCs/>
                <w:sz w:val="24"/>
              </w:rPr>
              <w:t>施工固废主要为装修垃圾、生活垃圾等。</w:t>
            </w:r>
          </w:p>
          <w:p w14:paraId="75032169">
            <w:pPr>
              <w:spacing w:line="360" w:lineRule="auto"/>
              <w:ind w:firstLine="480" w:firstLineChars="200"/>
              <w:rPr>
                <w:bCs/>
                <w:sz w:val="24"/>
              </w:rPr>
            </w:pPr>
            <w:r>
              <w:rPr>
                <w:bCs/>
                <w:sz w:val="24"/>
              </w:rPr>
              <w:t>（1）装修垃圾：装修垃圾主要为废砂、金属屑及木屑等，不能随意倾倒，建议进行集中堆放，由建筑垃圾清运公司定时清运至建筑垃圾堆放场，严禁随意倾倒、填埋，避免造成二次污染。</w:t>
            </w:r>
          </w:p>
          <w:p w14:paraId="070A47D5">
            <w:pPr>
              <w:spacing w:line="360" w:lineRule="auto"/>
              <w:ind w:firstLine="480" w:firstLineChars="200"/>
              <w:rPr>
                <w:bCs/>
                <w:sz w:val="24"/>
              </w:rPr>
            </w:pPr>
            <w:r>
              <w:rPr>
                <w:bCs/>
                <w:sz w:val="24"/>
              </w:rPr>
              <w:t>（2）生活垃圾：施工期施工人员及工地管理人员约10人。工地生活垃圾按 0.5kg/人·d计，产生量为5kg/d，</w:t>
            </w:r>
            <w:r>
              <w:rPr>
                <w:rFonts w:hint="eastAsia"/>
                <w:bCs/>
                <w:sz w:val="24"/>
              </w:rPr>
              <w:t>自行收集后由村委会收集处理</w:t>
            </w:r>
            <w:r>
              <w:rPr>
                <w:bCs/>
                <w:sz w:val="24"/>
              </w:rPr>
              <w:t>。</w:t>
            </w:r>
          </w:p>
          <w:p w14:paraId="02B805F3">
            <w:pPr>
              <w:spacing w:line="360" w:lineRule="auto"/>
              <w:ind w:firstLine="480" w:firstLineChars="200"/>
              <w:rPr>
                <w:b/>
                <w:bCs/>
                <w:sz w:val="24"/>
              </w:rPr>
            </w:pPr>
            <w:r>
              <w:rPr>
                <w:b/>
                <w:bCs/>
                <w:sz w:val="24"/>
              </w:rPr>
              <w:t>5、建设引起的水土流失</w:t>
            </w:r>
          </w:p>
          <w:p w14:paraId="68C8F32C">
            <w:pPr>
              <w:spacing w:line="360" w:lineRule="auto"/>
              <w:ind w:firstLine="480" w:firstLineChars="200"/>
              <w:rPr>
                <w:sz w:val="24"/>
              </w:rPr>
            </w:pPr>
            <w:r>
              <w:rPr>
                <w:sz w:val="24"/>
              </w:rPr>
              <w:t>本项目于车间内安装设备，不会引起水土流失。</w:t>
            </w:r>
          </w:p>
          <w:p w14:paraId="0025CC29">
            <w:pPr>
              <w:spacing w:line="360" w:lineRule="auto"/>
              <w:ind w:firstLine="480" w:firstLineChars="200"/>
              <w:rPr>
                <w:b/>
                <w:sz w:val="24"/>
              </w:rPr>
            </w:pPr>
            <w:r>
              <w:rPr>
                <w:b/>
                <w:sz w:val="24"/>
              </w:rPr>
              <w:t>（二）营运期污染物排放及治理</w:t>
            </w:r>
          </w:p>
          <w:p w14:paraId="7094EA74">
            <w:pPr>
              <w:spacing w:line="360" w:lineRule="auto"/>
              <w:ind w:firstLine="480" w:firstLineChars="200"/>
              <w:rPr>
                <w:b/>
                <w:bCs/>
                <w:sz w:val="24"/>
              </w:rPr>
            </w:pPr>
            <w:r>
              <w:rPr>
                <w:rFonts w:hint="eastAsia"/>
                <w:b/>
                <w:bCs/>
                <w:sz w:val="24"/>
              </w:rPr>
              <w:t>（</w:t>
            </w:r>
            <w:r>
              <w:rPr>
                <w:b/>
                <w:bCs/>
                <w:sz w:val="24"/>
              </w:rPr>
              <w:t>1</w:t>
            </w:r>
            <w:r>
              <w:rPr>
                <w:rFonts w:hint="eastAsia"/>
                <w:b/>
                <w:bCs/>
                <w:sz w:val="24"/>
              </w:rPr>
              <w:t>）废气</w:t>
            </w:r>
          </w:p>
          <w:p w14:paraId="1BF35E20">
            <w:pPr>
              <w:spacing w:line="360" w:lineRule="auto"/>
              <w:ind w:firstLine="480" w:firstLineChars="200"/>
              <w:rPr>
                <w:sz w:val="24"/>
              </w:rPr>
            </w:pPr>
            <w:r>
              <w:rPr>
                <w:rFonts w:hint="eastAsia"/>
                <w:sz w:val="24"/>
              </w:rPr>
              <w:t>项目运营期废气主要为叉车和运输车辆运行时产生的尾气，断料、锯料、削片、修边等工序产生无组织粉尘等。</w:t>
            </w:r>
          </w:p>
          <w:p w14:paraId="0E08C93E">
            <w:pPr>
              <w:tabs>
                <w:tab w:val="left" w:pos="5670"/>
              </w:tabs>
              <w:spacing w:line="480" w:lineRule="exact"/>
              <w:ind w:firstLine="566" w:firstLineChars="236"/>
              <w:rPr>
                <w:bCs/>
                <w:sz w:val="24"/>
                <w:szCs w:val="20"/>
              </w:rPr>
            </w:pPr>
            <w:r>
              <w:rPr>
                <w:rFonts w:hint="eastAsia"/>
                <w:bCs/>
                <w:sz w:val="24"/>
              </w:rPr>
              <w:t>①</w:t>
            </w:r>
            <w:r>
              <w:rPr>
                <w:rFonts w:hint="eastAsia"/>
                <w:sz w:val="24"/>
                <w:szCs w:val="20"/>
              </w:rPr>
              <w:t>锯末</w:t>
            </w:r>
            <w:r>
              <w:rPr>
                <w:rFonts w:hint="eastAsia"/>
                <w:bCs/>
                <w:sz w:val="24"/>
                <w:szCs w:val="20"/>
              </w:rPr>
              <w:t>粉尘</w:t>
            </w:r>
          </w:p>
          <w:p w14:paraId="021D0806">
            <w:pPr>
              <w:spacing w:line="480" w:lineRule="exact"/>
              <w:ind w:firstLine="564" w:firstLineChars="235"/>
              <w:outlineLvl w:val="1"/>
              <w:rPr>
                <w:sz w:val="24"/>
                <w:szCs w:val="20"/>
              </w:rPr>
            </w:pPr>
            <w:r>
              <w:rPr>
                <w:rFonts w:hint="eastAsia"/>
                <w:sz w:val="24"/>
                <w:szCs w:val="20"/>
              </w:rPr>
              <w:t>项目在锯材加工过程中，其中断料、锯料、削片、修边等工序会产生大量锯末颗粒。本项目使用原木加工，根据业主提供的资料，原木的含水率为</w:t>
            </w:r>
            <w:r>
              <w:rPr>
                <w:sz w:val="24"/>
                <w:szCs w:val="20"/>
              </w:rPr>
              <w:t>40</w:t>
            </w:r>
            <w:r>
              <w:rPr>
                <w:rFonts w:hint="eastAsia"/>
                <w:sz w:val="24"/>
                <w:szCs w:val="20"/>
              </w:rPr>
              <w:t>％～</w:t>
            </w:r>
            <w:r>
              <w:rPr>
                <w:sz w:val="24"/>
                <w:szCs w:val="20"/>
              </w:rPr>
              <w:t>55</w:t>
            </w:r>
            <w:r>
              <w:rPr>
                <w:rFonts w:hint="eastAsia"/>
                <w:sz w:val="24"/>
                <w:szCs w:val="20"/>
              </w:rPr>
              <w:t>％，含水率较高，加工时不易起尘；在干燥天气时会产生少量粉尘，根据第二次全国污染源普查工业污染源普查《工业源系数手册 20</w:t>
            </w:r>
            <w:r>
              <w:rPr>
                <w:rFonts w:hint="eastAsia"/>
                <w:sz w:val="24"/>
                <w:szCs w:val="20"/>
                <w:lang w:eastAsia="zh-CN"/>
              </w:rPr>
              <w:t>－</w:t>
            </w:r>
            <w:r>
              <w:rPr>
                <w:rFonts w:hint="eastAsia"/>
                <w:sz w:val="24"/>
                <w:szCs w:val="20"/>
              </w:rPr>
              <w:t>木材加工系数手册》（初稿），其中下料</w:t>
            </w:r>
            <w:r>
              <w:rPr>
                <w:rFonts w:hint="eastAsia"/>
                <w:sz w:val="24"/>
                <w:szCs w:val="20"/>
                <w:lang w:eastAsia="zh-CN"/>
              </w:rPr>
              <w:t>－</w:t>
            </w:r>
            <w:r>
              <w:rPr>
                <w:rFonts w:hint="eastAsia"/>
                <w:sz w:val="24"/>
                <w:szCs w:val="20"/>
              </w:rPr>
              <w:t>锯材、木片、单板-原木-锯切 颗粒物产污系数</w:t>
            </w:r>
            <w:r>
              <w:rPr>
                <w:sz w:val="24"/>
                <w:szCs w:val="20"/>
              </w:rPr>
              <w:t>0.243</w:t>
            </w:r>
            <w:r>
              <w:rPr>
                <w:rFonts w:hint="eastAsia"/>
                <w:sz w:val="24"/>
                <w:szCs w:val="20"/>
              </w:rPr>
              <w:t>千克</w:t>
            </w:r>
            <w:r>
              <w:rPr>
                <w:sz w:val="24"/>
                <w:szCs w:val="20"/>
              </w:rPr>
              <w:t>/</w:t>
            </w:r>
            <w:r>
              <w:rPr>
                <w:rFonts w:hint="eastAsia"/>
                <w:sz w:val="24"/>
                <w:szCs w:val="20"/>
              </w:rPr>
              <w:t>立方米</w:t>
            </w:r>
            <w:r>
              <w:rPr>
                <w:rFonts w:hint="eastAsia"/>
                <w:sz w:val="24"/>
                <w:szCs w:val="20"/>
                <w:lang w:eastAsia="zh-CN"/>
              </w:rPr>
              <w:t>－</w:t>
            </w:r>
            <w:r>
              <w:rPr>
                <w:rFonts w:hint="eastAsia"/>
                <w:sz w:val="24"/>
                <w:szCs w:val="20"/>
              </w:rPr>
              <w:t>产品”。项目锯材生产采用半封闭设备产尘量较小，含湿量较大无组织粉尘实际约占产污量的</w:t>
            </w:r>
            <w:r>
              <w:rPr>
                <w:sz w:val="24"/>
                <w:szCs w:val="20"/>
              </w:rPr>
              <w:t>2%</w:t>
            </w:r>
            <w:r>
              <w:rPr>
                <w:rFonts w:hint="eastAsia"/>
                <w:sz w:val="24"/>
                <w:szCs w:val="20"/>
              </w:rPr>
              <w:t>，约</w:t>
            </w:r>
            <w:r>
              <w:rPr>
                <w:sz w:val="24"/>
                <w:szCs w:val="20"/>
              </w:rPr>
              <w:t>0.07t/a</w:t>
            </w:r>
            <w:r>
              <w:rPr>
                <w:rFonts w:hint="eastAsia"/>
                <w:sz w:val="24"/>
                <w:szCs w:val="20"/>
              </w:rPr>
              <w:t>，呈无组织排放。</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0"/>
              <w:gridCol w:w="826"/>
              <w:gridCol w:w="677"/>
              <w:gridCol w:w="676"/>
              <w:gridCol w:w="677"/>
              <w:gridCol w:w="1179"/>
              <w:gridCol w:w="999"/>
              <w:gridCol w:w="850"/>
              <w:gridCol w:w="820"/>
              <w:gridCol w:w="868"/>
            </w:tblGrid>
            <w:tr w14:paraId="34435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41D63710">
                  <w:pPr>
                    <w:jc w:val="center"/>
                    <w:outlineLvl w:val="1"/>
                    <w:rPr>
                      <w:b/>
                      <w:bCs/>
                      <w:szCs w:val="16"/>
                    </w:rPr>
                  </w:pPr>
                  <w:r>
                    <w:rPr>
                      <w:rFonts w:hint="eastAsia"/>
                      <w:b/>
                      <w:bCs/>
                      <w:szCs w:val="16"/>
                    </w:rPr>
                    <w:t>核算环节</w:t>
                  </w:r>
                </w:p>
              </w:tc>
              <w:tc>
                <w:tcPr>
                  <w:tcW w:w="851" w:type="dxa"/>
                  <w:vAlign w:val="center"/>
                </w:tcPr>
                <w:p w14:paraId="520B3089">
                  <w:pPr>
                    <w:jc w:val="center"/>
                    <w:outlineLvl w:val="1"/>
                    <w:rPr>
                      <w:b/>
                      <w:bCs/>
                      <w:szCs w:val="16"/>
                    </w:rPr>
                  </w:pPr>
                  <w:r>
                    <w:rPr>
                      <w:rFonts w:hint="eastAsia"/>
                      <w:b/>
                      <w:bCs/>
                      <w:szCs w:val="16"/>
                    </w:rPr>
                    <w:t>产品名称</w:t>
                  </w:r>
                </w:p>
              </w:tc>
              <w:tc>
                <w:tcPr>
                  <w:tcW w:w="709" w:type="dxa"/>
                  <w:vAlign w:val="center"/>
                </w:tcPr>
                <w:p w14:paraId="1251DBCD">
                  <w:pPr>
                    <w:jc w:val="center"/>
                    <w:outlineLvl w:val="1"/>
                    <w:rPr>
                      <w:b/>
                      <w:bCs/>
                      <w:szCs w:val="16"/>
                    </w:rPr>
                  </w:pPr>
                  <w:r>
                    <w:rPr>
                      <w:rFonts w:hint="eastAsia"/>
                      <w:b/>
                      <w:bCs/>
                      <w:szCs w:val="16"/>
                    </w:rPr>
                    <w:t>原料名称</w:t>
                  </w:r>
                </w:p>
              </w:tc>
              <w:tc>
                <w:tcPr>
                  <w:tcW w:w="708" w:type="dxa"/>
                  <w:vAlign w:val="center"/>
                </w:tcPr>
                <w:p w14:paraId="696A0DC1">
                  <w:pPr>
                    <w:jc w:val="center"/>
                    <w:outlineLvl w:val="1"/>
                    <w:rPr>
                      <w:b/>
                      <w:bCs/>
                      <w:szCs w:val="16"/>
                    </w:rPr>
                  </w:pPr>
                  <w:r>
                    <w:rPr>
                      <w:rFonts w:hint="eastAsia"/>
                      <w:b/>
                      <w:bCs/>
                      <w:szCs w:val="16"/>
                    </w:rPr>
                    <w:t>工艺名称</w:t>
                  </w:r>
                </w:p>
              </w:tc>
              <w:tc>
                <w:tcPr>
                  <w:tcW w:w="709" w:type="dxa"/>
                  <w:vAlign w:val="center"/>
                </w:tcPr>
                <w:p w14:paraId="249E8D7E">
                  <w:pPr>
                    <w:jc w:val="center"/>
                    <w:outlineLvl w:val="1"/>
                    <w:rPr>
                      <w:b/>
                      <w:bCs/>
                      <w:szCs w:val="16"/>
                    </w:rPr>
                  </w:pPr>
                  <w:r>
                    <w:rPr>
                      <w:rFonts w:hint="eastAsia"/>
                      <w:b/>
                      <w:bCs/>
                      <w:szCs w:val="16"/>
                    </w:rPr>
                    <w:t>规模等级</w:t>
                  </w:r>
                </w:p>
              </w:tc>
              <w:tc>
                <w:tcPr>
                  <w:tcW w:w="1276" w:type="dxa"/>
                  <w:vAlign w:val="center"/>
                </w:tcPr>
                <w:p w14:paraId="71A6CF38">
                  <w:pPr>
                    <w:jc w:val="center"/>
                    <w:outlineLvl w:val="1"/>
                    <w:rPr>
                      <w:b/>
                      <w:bCs/>
                      <w:szCs w:val="16"/>
                    </w:rPr>
                  </w:pPr>
                  <w:r>
                    <w:rPr>
                      <w:rFonts w:hint="eastAsia"/>
                      <w:b/>
                      <w:bCs/>
                      <w:szCs w:val="16"/>
                    </w:rPr>
                    <w:t>污染物指标</w:t>
                  </w:r>
                </w:p>
              </w:tc>
              <w:tc>
                <w:tcPr>
                  <w:tcW w:w="1073" w:type="dxa"/>
                  <w:vAlign w:val="center"/>
                </w:tcPr>
                <w:p w14:paraId="27689D3E">
                  <w:pPr>
                    <w:jc w:val="center"/>
                    <w:outlineLvl w:val="1"/>
                    <w:rPr>
                      <w:b/>
                      <w:bCs/>
                      <w:szCs w:val="16"/>
                    </w:rPr>
                  </w:pPr>
                  <w:r>
                    <w:rPr>
                      <w:rFonts w:hint="eastAsia"/>
                      <w:b/>
                      <w:bCs/>
                      <w:szCs w:val="16"/>
                    </w:rPr>
                    <w:t>系数单位</w:t>
                  </w:r>
                </w:p>
              </w:tc>
              <w:tc>
                <w:tcPr>
                  <w:tcW w:w="871" w:type="dxa"/>
                  <w:vAlign w:val="center"/>
                </w:tcPr>
                <w:p w14:paraId="73651DC6">
                  <w:pPr>
                    <w:jc w:val="center"/>
                    <w:outlineLvl w:val="1"/>
                    <w:rPr>
                      <w:b/>
                      <w:bCs/>
                      <w:szCs w:val="16"/>
                    </w:rPr>
                  </w:pPr>
                  <w:r>
                    <w:rPr>
                      <w:rFonts w:hint="eastAsia"/>
                      <w:b/>
                      <w:bCs/>
                      <w:szCs w:val="16"/>
                    </w:rPr>
                    <w:t>产污系数</w:t>
                  </w:r>
                </w:p>
              </w:tc>
              <w:tc>
                <w:tcPr>
                  <w:tcW w:w="871" w:type="dxa"/>
                  <w:vAlign w:val="center"/>
                </w:tcPr>
                <w:p w14:paraId="0934355C">
                  <w:pPr>
                    <w:jc w:val="center"/>
                    <w:outlineLvl w:val="1"/>
                    <w:rPr>
                      <w:b/>
                      <w:bCs/>
                      <w:szCs w:val="16"/>
                    </w:rPr>
                  </w:pPr>
                  <w:r>
                    <w:rPr>
                      <w:rFonts w:hint="eastAsia"/>
                      <w:b/>
                      <w:bCs/>
                      <w:szCs w:val="16"/>
                    </w:rPr>
                    <w:t>末端治理技术名称</w:t>
                  </w:r>
                </w:p>
              </w:tc>
              <w:tc>
                <w:tcPr>
                  <w:tcW w:w="871" w:type="dxa"/>
                  <w:vAlign w:val="center"/>
                </w:tcPr>
                <w:p w14:paraId="32EFCAC9">
                  <w:pPr>
                    <w:jc w:val="center"/>
                    <w:outlineLvl w:val="1"/>
                    <w:rPr>
                      <w:b/>
                      <w:bCs/>
                      <w:szCs w:val="16"/>
                    </w:rPr>
                  </w:pPr>
                  <w:r>
                    <w:rPr>
                      <w:rFonts w:hint="eastAsia"/>
                      <w:b/>
                      <w:bCs/>
                      <w:szCs w:val="16"/>
                    </w:rPr>
                    <w:t>末端治理技术效率（%）</w:t>
                  </w:r>
                </w:p>
              </w:tc>
            </w:tr>
            <w:tr w14:paraId="79C7E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Merge w:val="restart"/>
                  <w:vAlign w:val="center"/>
                </w:tcPr>
                <w:p w14:paraId="172C99A8">
                  <w:pPr>
                    <w:jc w:val="center"/>
                    <w:outlineLvl w:val="1"/>
                    <w:rPr>
                      <w:szCs w:val="16"/>
                    </w:rPr>
                  </w:pPr>
                  <w:r>
                    <w:rPr>
                      <w:rFonts w:hint="eastAsia"/>
                      <w:szCs w:val="16"/>
                    </w:rPr>
                    <w:t>下料</w:t>
                  </w:r>
                </w:p>
              </w:tc>
              <w:tc>
                <w:tcPr>
                  <w:tcW w:w="851" w:type="dxa"/>
                  <w:vMerge w:val="restart"/>
                  <w:vAlign w:val="center"/>
                </w:tcPr>
                <w:p w14:paraId="250F83F8">
                  <w:pPr>
                    <w:jc w:val="center"/>
                    <w:outlineLvl w:val="1"/>
                    <w:rPr>
                      <w:szCs w:val="16"/>
                    </w:rPr>
                  </w:pPr>
                  <w:r>
                    <w:rPr>
                      <w:rFonts w:hint="eastAsia"/>
                      <w:szCs w:val="16"/>
                    </w:rPr>
                    <w:t>锯材、木片、单板</w:t>
                  </w:r>
                </w:p>
              </w:tc>
              <w:tc>
                <w:tcPr>
                  <w:tcW w:w="709" w:type="dxa"/>
                  <w:vMerge w:val="restart"/>
                  <w:vAlign w:val="center"/>
                </w:tcPr>
                <w:p w14:paraId="5F4694F0">
                  <w:pPr>
                    <w:jc w:val="center"/>
                    <w:outlineLvl w:val="1"/>
                    <w:rPr>
                      <w:szCs w:val="16"/>
                    </w:rPr>
                  </w:pPr>
                  <w:r>
                    <w:rPr>
                      <w:rFonts w:hint="eastAsia"/>
                      <w:szCs w:val="16"/>
                    </w:rPr>
                    <w:t>原木</w:t>
                  </w:r>
                </w:p>
              </w:tc>
              <w:tc>
                <w:tcPr>
                  <w:tcW w:w="708" w:type="dxa"/>
                  <w:vMerge w:val="restart"/>
                  <w:vAlign w:val="center"/>
                </w:tcPr>
                <w:p w14:paraId="31CC9ED8">
                  <w:pPr>
                    <w:jc w:val="center"/>
                    <w:outlineLvl w:val="1"/>
                    <w:rPr>
                      <w:szCs w:val="16"/>
                    </w:rPr>
                  </w:pPr>
                  <w:r>
                    <w:rPr>
                      <w:rFonts w:hint="eastAsia"/>
                      <w:szCs w:val="16"/>
                    </w:rPr>
                    <w:t>锯切/切削/旋切</w:t>
                  </w:r>
                </w:p>
              </w:tc>
              <w:tc>
                <w:tcPr>
                  <w:tcW w:w="709" w:type="dxa"/>
                  <w:vMerge w:val="restart"/>
                  <w:vAlign w:val="center"/>
                </w:tcPr>
                <w:p w14:paraId="11F68E47">
                  <w:pPr>
                    <w:jc w:val="center"/>
                    <w:outlineLvl w:val="1"/>
                    <w:rPr>
                      <w:szCs w:val="16"/>
                    </w:rPr>
                  </w:pPr>
                  <w:r>
                    <w:rPr>
                      <w:rFonts w:hint="eastAsia"/>
                      <w:szCs w:val="16"/>
                    </w:rPr>
                    <w:t>所有规模</w:t>
                  </w:r>
                </w:p>
              </w:tc>
              <w:tc>
                <w:tcPr>
                  <w:tcW w:w="1276" w:type="dxa"/>
                  <w:vAlign w:val="center"/>
                </w:tcPr>
                <w:p w14:paraId="3ABCEA0C">
                  <w:pPr>
                    <w:jc w:val="center"/>
                    <w:outlineLvl w:val="1"/>
                    <w:rPr>
                      <w:szCs w:val="16"/>
                    </w:rPr>
                  </w:pPr>
                  <w:r>
                    <w:rPr>
                      <w:rFonts w:hint="eastAsia"/>
                      <w:szCs w:val="16"/>
                    </w:rPr>
                    <w:t>工业废气量</w:t>
                  </w:r>
                </w:p>
              </w:tc>
              <w:tc>
                <w:tcPr>
                  <w:tcW w:w="1073" w:type="dxa"/>
                  <w:vAlign w:val="center"/>
                </w:tcPr>
                <w:p w14:paraId="7C6BA74C">
                  <w:pPr>
                    <w:jc w:val="center"/>
                    <w:outlineLvl w:val="1"/>
                    <w:rPr>
                      <w:szCs w:val="16"/>
                    </w:rPr>
                  </w:pPr>
                  <w:r>
                    <w:rPr>
                      <w:rFonts w:hint="eastAsia"/>
                      <w:szCs w:val="16"/>
                    </w:rPr>
                    <w:t>标立方米/立方米产品</w:t>
                  </w:r>
                </w:p>
              </w:tc>
              <w:tc>
                <w:tcPr>
                  <w:tcW w:w="871" w:type="dxa"/>
                  <w:vAlign w:val="center"/>
                </w:tcPr>
                <w:p w14:paraId="48FDFFC0">
                  <w:pPr>
                    <w:jc w:val="center"/>
                    <w:outlineLvl w:val="1"/>
                    <w:rPr>
                      <w:szCs w:val="16"/>
                    </w:rPr>
                  </w:pPr>
                  <w:r>
                    <w:rPr>
                      <w:rFonts w:hint="eastAsia"/>
                      <w:szCs w:val="16"/>
                    </w:rPr>
                    <w:t>6</w:t>
                  </w:r>
                  <w:r>
                    <w:rPr>
                      <w:szCs w:val="16"/>
                    </w:rPr>
                    <w:t>00</w:t>
                  </w:r>
                </w:p>
              </w:tc>
              <w:tc>
                <w:tcPr>
                  <w:tcW w:w="871" w:type="dxa"/>
                  <w:vMerge w:val="restart"/>
                  <w:vAlign w:val="center"/>
                </w:tcPr>
                <w:p w14:paraId="53494D61">
                  <w:pPr>
                    <w:jc w:val="center"/>
                    <w:outlineLvl w:val="1"/>
                    <w:rPr>
                      <w:szCs w:val="16"/>
                    </w:rPr>
                  </w:pPr>
                  <w:r>
                    <w:rPr>
                      <w:rFonts w:hint="eastAsia"/>
                      <w:szCs w:val="16"/>
                    </w:rPr>
                    <w:t>直接排放</w:t>
                  </w:r>
                </w:p>
              </w:tc>
              <w:tc>
                <w:tcPr>
                  <w:tcW w:w="871" w:type="dxa"/>
                  <w:vMerge w:val="restart"/>
                  <w:vAlign w:val="center"/>
                </w:tcPr>
                <w:p w14:paraId="3E2A59E8">
                  <w:pPr>
                    <w:jc w:val="center"/>
                    <w:outlineLvl w:val="1"/>
                    <w:rPr>
                      <w:szCs w:val="16"/>
                    </w:rPr>
                  </w:pPr>
                  <w:r>
                    <w:rPr>
                      <w:rFonts w:hint="eastAsia"/>
                      <w:szCs w:val="16"/>
                    </w:rPr>
                    <w:t>0</w:t>
                  </w:r>
                </w:p>
              </w:tc>
            </w:tr>
            <w:tr w14:paraId="7D0C5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Merge w:val="continue"/>
                  <w:vAlign w:val="center"/>
                </w:tcPr>
                <w:p w14:paraId="04039DC0">
                  <w:pPr>
                    <w:jc w:val="center"/>
                    <w:outlineLvl w:val="1"/>
                    <w:rPr>
                      <w:szCs w:val="16"/>
                    </w:rPr>
                  </w:pPr>
                </w:p>
              </w:tc>
              <w:tc>
                <w:tcPr>
                  <w:tcW w:w="851" w:type="dxa"/>
                  <w:vMerge w:val="continue"/>
                  <w:vAlign w:val="center"/>
                </w:tcPr>
                <w:p w14:paraId="19C7921D">
                  <w:pPr>
                    <w:jc w:val="center"/>
                    <w:outlineLvl w:val="1"/>
                    <w:rPr>
                      <w:szCs w:val="16"/>
                    </w:rPr>
                  </w:pPr>
                </w:p>
              </w:tc>
              <w:tc>
                <w:tcPr>
                  <w:tcW w:w="709" w:type="dxa"/>
                  <w:vMerge w:val="continue"/>
                  <w:vAlign w:val="center"/>
                </w:tcPr>
                <w:p w14:paraId="183D2154">
                  <w:pPr>
                    <w:jc w:val="center"/>
                    <w:outlineLvl w:val="1"/>
                    <w:rPr>
                      <w:szCs w:val="16"/>
                    </w:rPr>
                  </w:pPr>
                </w:p>
              </w:tc>
              <w:tc>
                <w:tcPr>
                  <w:tcW w:w="708" w:type="dxa"/>
                  <w:vMerge w:val="continue"/>
                  <w:vAlign w:val="center"/>
                </w:tcPr>
                <w:p w14:paraId="7C344F3B">
                  <w:pPr>
                    <w:jc w:val="center"/>
                    <w:outlineLvl w:val="1"/>
                    <w:rPr>
                      <w:szCs w:val="16"/>
                    </w:rPr>
                  </w:pPr>
                </w:p>
              </w:tc>
              <w:tc>
                <w:tcPr>
                  <w:tcW w:w="709" w:type="dxa"/>
                  <w:vMerge w:val="continue"/>
                  <w:vAlign w:val="center"/>
                </w:tcPr>
                <w:p w14:paraId="7DD081B7">
                  <w:pPr>
                    <w:jc w:val="center"/>
                    <w:outlineLvl w:val="1"/>
                    <w:rPr>
                      <w:szCs w:val="16"/>
                    </w:rPr>
                  </w:pPr>
                </w:p>
              </w:tc>
              <w:tc>
                <w:tcPr>
                  <w:tcW w:w="1276" w:type="dxa"/>
                  <w:vAlign w:val="center"/>
                </w:tcPr>
                <w:p w14:paraId="430D5047">
                  <w:pPr>
                    <w:jc w:val="center"/>
                    <w:outlineLvl w:val="1"/>
                    <w:rPr>
                      <w:szCs w:val="16"/>
                    </w:rPr>
                  </w:pPr>
                  <w:r>
                    <w:rPr>
                      <w:rFonts w:hint="eastAsia"/>
                      <w:szCs w:val="16"/>
                    </w:rPr>
                    <w:t>颗粒物</w:t>
                  </w:r>
                </w:p>
              </w:tc>
              <w:tc>
                <w:tcPr>
                  <w:tcW w:w="1073" w:type="dxa"/>
                  <w:vAlign w:val="center"/>
                </w:tcPr>
                <w:p w14:paraId="70CD84F0">
                  <w:pPr>
                    <w:jc w:val="center"/>
                    <w:outlineLvl w:val="1"/>
                    <w:rPr>
                      <w:szCs w:val="16"/>
                    </w:rPr>
                  </w:pPr>
                  <w:r>
                    <w:rPr>
                      <w:rFonts w:hint="eastAsia"/>
                      <w:szCs w:val="16"/>
                    </w:rPr>
                    <w:t>千克/立方米产品</w:t>
                  </w:r>
                </w:p>
              </w:tc>
              <w:tc>
                <w:tcPr>
                  <w:tcW w:w="871" w:type="dxa"/>
                  <w:vAlign w:val="center"/>
                </w:tcPr>
                <w:p w14:paraId="1771E087">
                  <w:pPr>
                    <w:jc w:val="center"/>
                    <w:outlineLvl w:val="1"/>
                    <w:rPr>
                      <w:szCs w:val="16"/>
                    </w:rPr>
                  </w:pPr>
                  <w:r>
                    <w:rPr>
                      <w:rFonts w:hint="eastAsia"/>
                      <w:szCs w:val="16"/>
                    </w:rPr>
                    <w:t>0</w:t>
                  </w:r>
                  <w:r>
                    <w:rPr>
                      <w:szCs w:val="16"/>
                    </w:rPr>
                    <w:t>.243</w:t>
                  </w:r>
                </w:p>
              </w:tc>
              <w:tc>
                <w:tcPr>
                  <w:tcW w:w="871" w:type="dxa"/>
                  <w:vMerge w:val="continue"/>
                  <w:vAlign w:val="center"/>
                </w:tcPr>
                <w:p w14:paraId="06BF5FE8">
                  <w:pPr>
                    <w:jc w:val="center"/>
                    <w:outlineLvl w:val="1"/>
                    <w:rPr>
                      <w:szCs w:val="16"/>
                    </w:rPr>
                  </w:pPr>
                </w:p>
              </w:tc>
              <w:tc>
                <w:tcPr>
                  <w:tcW w:w="871" w:type="dxa"/>
                  <w:vMerge w:val="continue"/>
                  <w:vAlign w:val="center"/>
                </w:tcPr>
                <w:p w14:paraId="76CEF7FB">
                  <w:pPr>
                    <w:jc w:val="center"/>
                    <w:outlineLvl w:val="1"/>
                    <w:rPr>
                      <w:szCs w:val="16"/>
                    </w:rPr>
                  </w:pPr>
                </w:p>
              </w:tc>
            </w:tr>
          </w:tbl>
          <w:p w14:paraId="1DB7CB95">
            <w:pPr>
              <w:spacing w:line="480" w:lineRule="exact"/>
              <w:ind w:firstLine="564" w:firstLineChars="235"/>
              <w:outlineLvl w:val="1"/>
              <w:rPr>
                <w:sz w:val="24"/>
                <w:szCs w:val="20"/>
              </w:rPr>
            </w:pPr>
            <w:r>
              <w:rPr>
                <w:rFonts w:hint="eastAsia"/>
                <w:sz w:val="24"/>
                <w:szCs w:val="20"/>
              </w:rPr>
              <w:t>颗粒物产生量：0</w:t>
            </w:r>
            <w:r>
              <w:rPr>
                <w:sz w:val="24"/>
                <w:szCs w:val="20"/>
              </w:rPr>
              <w:t>.243*15000*2</w:t>
            </w:r>
            <w:r>
              <w:rPr>
                <w:rFonts w:hint="eastAsia"/>
                <w:sz w:val="24"/>
                <w:szCs w:val="20"/>
              </w:rPr>
              <w:t>%</w:t>
            </w:r>
            <w:r>
              <w:rPr>
                <w:sz w:val="24"/>
                <w:szCs w:val="20"/>
              </w:rPr>
              <w:t>/1000</w:t>
            </w:r>
            <w:r>
              <w:rPr>
                <w:rFonts w:hint="eastAsia"/>
                <w:sz w:val="24"/>
                <w:szCs w:val="20"/>
              </w:rPr>
              <w:t>=</w:t>
            </w:r>
            <w:r>
              <w:rPr>
                <w:sz w:val="24"/>
                <w:szCs w:val="20"/>
              </w:rPr>
              <w:t>0.07</w:t>
            </w:r>
            <w:r>
              <w:rPr>
                <w:rFonts w:hint="eastAsia"/>
                <w:sz w:val="24"/>
                <w:szCs w:val="20"/>
              </w:rPr>
              <w:t>t</w:t>
            </w:r>
            <w:r>
              <w:rPr>
                <w:sz w:val="24"/>
                <w:szCs w:val="20"/>
              </w:rPr>
              <w:t>/</w:t>
            </w:r>
            <w:r>
              <w:rPr>
                <w:rFonts w:hint="eastAsia"/>
                <w:sz w:val="24"/>
                <w:szCs w:val="20"/>
              </w:rPr>
              <w:t>a。</w:t>
            </w:r>
          </w:p>
          <w:p w14:paraId="50AB2A4C">
            <w:pPr>
              <w:spacing w:line="480" w:lineRule="exact"/>
              <w:ind w:firstLine="564" w:firstLineChars="235"/>
              <w:outlineLvl w:val="1"/>
              <w:rPr>
                <w:bCs/>
                <w:color w:val="FF0000"/>
                <w:sz w:val="24"/>
                <w:szCs w:val="20"/>
              </w:rPr>
            </w:pPr>
            <w:r>
              <w:rPr>
                <w:b/>
                <w:bCs/>
                <w:color w:val="FF0000"/>
                <w:sz w:val="24"/>
                <w:szCs w:val="20"/>
              </w:rPr>
              <w:t>治理措施：</w:t>
            </w:r>
            <w:r>
              <w:rPr>
                <w:color w:val="FF0000"/>
                <w:sz w:val="24"/>
                <w:szCs w:val="20"/>
              </w:rPr>
              <w:t>项目设置带顶彩钢车间，加强厂内通风；</w:t>
            </w:r>
            <w:r>
              <w:rPr>
                <w:color w:val="FF0000"/>
                <w:sz w:val="24"/>
                <w:szCs w:val="20"/>
                <w:lang w:val="en-GB"/>
              </w:rPr>
              <w:t>生产车间进行合理布置，位于厂区中部</w:t>
            </w:r>
            <w:r>
              <w:rPr>
                <w:rFonts w:hint="eastAsia"/>
                <w:color w:val="FF0000"/>
                <w:sz w:val="24"/>
                <w:szCs w:val="20"/>
                <w:lang w:val="en-GB"/>
              </w:rPr>
              <w:t>；由于</w:t>
            </w:r>
            <w:r>
              <w:rPr>
                <w:bCs/>
                <w:color w:val="FF0000"/>
                <w:sz w:val="24"/>
                <w:szCs w:val="20"/>
              </w:rPr>
              <w:t>项目作业虽为湿木料，不易产生大量粉尘，但粉尘堆积过长时间易产生扬尘。故要求</w:t>
            </w:r>
            <w:r>
              <w:rPr>
                <w:color w:val="FF0000"/>
                <w:sz w:val="24"/>
                <w:szCs w:val="20"/>
              </w:rPr>
              <w:t>项目每日清扫生产车间的锯末</w:t>
            </w:r>
            <w:r>
              <w:rPr>
                <w:bCs/>
                <w:color w:val="FF0000"/>
                <w:sz w:val="24"/>
                <w:szCs w:val="20"/>
              </w:rPr>
              <w:t>粉，收集袋装后外售。</w:t>
            </w:r>
            <w:r>
              <w:rPr>
                <w:rFonts w:hint="eastAsia"/>
                <w:bCs/>
                <w:color w:val="FF0000"/>
                <w:sz w:val="24"/>
                <w:szCs w:val="20"/>
              </w:rPr>
              <w:t>同时，环评要求：重污染天气预警期间严禁生产。</w:t>
            </w:r>
          </w:p>
          <w:p w14:paraId="26EA9A8D">
            <w:pPr>
              <w:spacing w:line="480" w:lineRule="exact"/>
              <w:ind w:firstLine="564" w:firstLineChars="235"/>
              <w:outlineLvl w:val="1"/>
              <w:rPr>
                <w:bCs/>
                <w:sz w:val="24"/>
                <w:szCs w:val="20"/>
              </w:rPr>
            </w:pPr>
            <w:r>
              <w:rPr>
                <w:rFonts w:hint="eastAsia"/>
                <w:bCs/>
                <w:sz w:val="24"/>
                <w:szCs w:val="20"/>
              </w:rPr>
              <w:t>②车辆尾气</w:t>
            </w:r>
          </w:p>
          <w:p w14:paraId="1137DB4F">
            <w:pPr>
              <w:tabs>
                <w:tab w:val="left" w:pos="5670"/>
              </w:tabs>
              <w:spacing w:line="480" w:lineRule="exact"/>
              <w:ind w:firstLine="566" w:firstLineChars="236"/>
              <w:rPr>
                <w:bCs/>
                <w:sz w:val="24"/>
              </w:rPr>
            </w:pPr>
            <w:r>
              <w:rPr>
                <w:bCs/>
                <w:sz w:val="24"/>
              </w:rPr>
              <w:t>项目装卸、运输使用柴油作为燃料，运输车辆使用柴油或汽油作为燃料，在车辆运行或怠速时会产生尾气，</w:t>
            </w:r>
            <w:r>
              <w:rPr>
                <w:kern w:val="0"/>
                <w:sz w:val="24"/>
              </w:rPr>
              <w:t>其排放的污染物主要是NO</w:t>
            </w:r>
            <w:r>
              <w:rPr>
                <w:kern w:val="0"/>
                <w:sz w:val="24"/>
                <w:vertAlign w:val="subscript"/>
              </w:rPr>
              <w:t>X</w:t>
            </w:r>
            <w:r>
              <w:rPr>
                <w:kern w:val="0"/>
                <w:sz w:val="24"/>
              </w:rPr>
              <w:t>、HC和CO，</w:t>
            </w:r>
            <w:r>
              <w:rPr>
                <w:bCs/>
                <w:sz w:val="24"/>
              </w:rPr>
              <w:t>呈无组织排放。</w:t>
            </w:r>
          </w:p>
          <w:p w14:paraId="26E50F23">
            <w:pPr>
              <w:spacing w:line="480" w:lineRule="exact"/>
              <w:ind w:firstLine="564" w:firstLineChars="235"/>
              <w:outlineLvl w:val="1"/>
              <w:rPr>
                <w:bCs/>
                <w:sz w:val="24"/>
                <w:szCs w:val="20"/>
              </w:rPr>
            </w:pPr>
            <w:r>
              <w:rPr>
                <w:rFonts w:hint="eastAsia"/>
                <w:b/>
                <w:sz w:val="24"/>
                <w:szCs w:val="20"/>
              </w:rPr>
              <w:t>治理措施</w:t>
            </w:r>
            <w:r>
              <w:rPr>
                <w:rFonts w:hint="eastAsia"/>
                <w:bCs/>
                <w:sz w:val="24"/>
                <w:szCs w:val="20"/>
              </w:rPr>
              <w:t>：</w:t>
            </w:r>
            <w:r>
              <w:rPr>
                <w:kern w:val="0"/>
                <w:sz w:val="24"/>
              </w:rPr>
              <w:t>运输车辆采用清洁能源0#柴油或汽油做能源，通过</w:t>
            </w:r>
            <w:r>
              <w:rPr>
                <w:bCs/>
                <w:sz w:val="24"/>
              </w:rPr>
              <w:t>加强对进出车辆的管理，要求车辆停车后立即熄火，减少怠速情况发生。</w:t>
            </w:r>
          </w:p>
          <w:p w14:paraId="5BA0522C">
            <w:pPr>
              <w:spacing w:line="480" w:lineRule="exact"/>
              <w:ind w:firstLine="564" w:firstLineChars="235"/>
              <w:outlineLvl w:val="1"/>
              <w:rPr>
                <w:b/>
                <w:bCs/>
                <w:sz w:val="24"/>
              </w:rPr>
            </w:pPr>
            <w:r>
              <w:rPr>
                <w:rFonts w:hint="eastAsia"/>
                <w:b/>
                <w:bCs/>
                <w:sz w:val="24"/>
              </w:rPr>
              <w:t>（</w:t>
            </w:r>
            <w:r>
              <w:rPr>
                <w:b/>
                <w:bCs/>
                <w:sz w:val="24"/>
              </w:rPr>
              <w:t>2</w:t>
            </w:r>
            <w:r>
              <w:rPr>
                <w:rFonts w:hint="eastAsia"/>
                <w:b/>
                <w:bCs/>
                <w:sz w:val="24"/>
              </w:rPr>
              <w:t>）废水</w:t>
            </w:r>
          </w:p>
          <w:p w14:paraId="307D4424">
            <w:pPr>
              <w:spacing w:line="480" w:lineRule="exact"/>
              <w:ind w:firstLine="564" w:firstLineChars="235"/>
              <w:outlineLvl w:val="1"/>
              <w:rPr>
                <w:sz w:val="24"/>
                <w:szCs w:val="20"/>
              </w:rPr>
            </w:pPr>
            <w:r>
              <w:rPr>
                <w:bCs/>
                <w:color w:val="FF0000"/>
                <w:sz w:val="24"/>
              </w:rPr>
              <w:t>项目运营期厂区内实行“清污分流、雨污分流”制</w:t>
            </w:r>
            <w:r>
              <w:rPr>
                <w:rFonts w:hint="eastAsia"/>
                <w:color w:val="FF0000"/>
                <w:sz w:val="24"/>
              </w:rPr>
              <w:t>，雨水通过雨水沟外排；</w:t>
            </w:r>
            <w:r>
              <w:rPr>
                <w:rFonts w:hint="eastAsia"/>
                <w:sz w:val="24"/>
              </w:rPr>
              <w:t>本</w:t>
            </w:r>
            <w:r>
              <w:rPr>
                <w:rFonts w:hint="eastAsia"/>
                <w:sz w:val="24"/>
                <w:szCs w:val="20"/>
              </w:rPr>
              <w:t>项目废水主要为生活污水、雨水，项目生活污水依托已建污水处理设施处理。</w:t>
            </w:r>
          </w:p>
          <w:p w14:paraId="30E97ADB">
            <w:pPr>
              <w:spacing w:line="480" w:lineRule="exact"/>
              <w:ind w:firstLine="564" w:firstLineChars="235"/>
              <w:outlineLvl w:val="1"/>
              <w:rPr>
                <w:sz w:val="24"/>
                <w:szCs w:val="20"/>
              </w:rPr>
            </w:pPr>
            <w:r>
              <w:rPr>
                <w:rFonts w:hint="eastAsia"/>
                <w:sz w:val="24"/>
                <w:szCs w:val="20"/>
              </w:rPr>
              <w:t>①生活污水</w:t>
            </w:r>
          </w:p>
          <w:p w14:paraId="50ABF0F8">
            <w:pPr>
              <w:spacing w:line="480" w:lineRule="exact"/>
              <w:ind w:firstLine="564" w:firstLineChars="235"/>
              <w:outlineLvl w:val="1"/>
              <w:rPr>
                <w:sz w:val="24"/>
                <w:szCs w:val="20"/>
              </w:rPr>
            </w:pPr>
            <w:r>
              <w:rPr>
                <w:rFonts w:hint="eastAsia"/>
                <w:sz w:val="24"/>
                <w:szCs w:val="20"/>
              </w:rPr>
              <w:t>项目为无水生产工艺，无生产废水产生，主要污水为员工生活废水。本项目劳动定员</w:t>
            </w:r>
            <w:r>
              <w:rPr>
                <w:sz w:val="24"/>
                <w:szCs w:val="20"/>
              </w:rPr>
              <w:t>8</w:t>
            </w:r>
            <w:r>
              <w:rPr>
                <w:rFonts w:hint="eastAsia"/>
                <w:sz w:val="24"/>
                <w:szCs w:val="20"/>
              </w:rPr>
              <w:t>人，员工均为当地人，均不在厂区食宿根据《四川省用水定额（修订稿）》，用水定额非住宿人员按</w:t>
            </w:r>
            <w:r>
              <w:rPr>
                <w:sz w:val="24"/>
                <w:szCs w:val="20"/>
              </w:rPr>
              <w:t>60L/</w:t>
            </w:r>
            <w:r>
              <w:rPr>
                <w:rFonts w:hint="eastAsia"/>
                <w:sz w:val="24"/>
                <w:szCs w:val="20"/>
              </w:rPr>
              <w:t>人</w:t>
            </w:r>
            <w:r>
              <w:rPr>
                <w:sz w:val="24"/>
                <w:szCs w:val="20"/>
              </w:rPr>
              <w:t>•</w:t>
            </w:r>
            <w:r>
              <w:rPr>
                <w:rFonts w:hint="eastAsia"/>
                <w:sz w:val="24"/>
                <w:szCs w:val="20"/>
              </w:rPr>
              <w:t>日，则所需生活新鲜水为</w:t>
            </w:r>
            <w:r>
              <w:rPr>
                <w:sz w:val="24"/>
                <w:szCs w:val="20"/>
              </w:rPr>
              <w:t>0.48m</w:t>
            </w:r>
            <w:r>
              <w:rPr>
                <w:sz w:val="24"/>
                <w:szCs w:val="20"/>
                <w:vertAlign w:val="superscript"/>
              </w:rPr>
              <w:t>3</w:t>
            </w:r>
            <w:r>
              <w:rPr>
                <w:sz w:val="24"/>
                <w:szCs w:val="20"/>
              </w:rPr>
              <w:t>/d</w:t>
            </w:r>
            <w:r>
              <w:rPr>
                <w:rFonts w:hint="eastAsia"/>
                <w:sz w:val="24"/>
                <w:szCs w:val="20"/>
              </w:rPr>
              <w:t>，</w:t>
            </w:r>
            <w:r>
              <w:rPr>
                <w:sz w:val="24"/>
                <w:szCs w:val="20"/>
              </w:rPr>
              <w:t>144m</w:t>
            </w:r>
            <w:r>
              <w:rPr>
                <w:sz w:val="24"/>
                <w:szCs w:val="20"/>
                <w:vertAlign w:val="superscript"/>
              </w:rPr>
              <w:t>3</w:t>
            </w:r>
            <w:r>
              <w:rPr>
                <w:sz w:val="24"/>
                <w:szCs w:val="20"/>
              </w:rPr>
              <w:t>/a</w:t>
            </w:r>
            <w:r>
              <w:rPr>
                <w:rFonts w:hint="eastAsia"/>
                <w:sz w:val="24"/>
                <w:szCs w:val="20"/>
              </w:rPr>
              <w:t>。生活污水量按用水量的</w:t>
            </w:r>
            <w:r>
              <w:rPr>
                <w:sz w:val="24"/>
                <w:szCs w:val="20"/>
              </w:rPr>
              <w:t>80%</w:t>
            </w:r>
            <w:r>
              <w:rPr>
                <w:rFonts w:hint="eastAsia"/>
                <w:sz w:val="24"/>
                <w:szCs w:val="20"/>
              </w:rPr>
              <w:t>计，则生活污水产生量为</w:t>
            </w:r>
            <w:r>
              <w:rPr>
                <w:sz w:val="24"/>
                <w:szCs w:val="20"/>
              </w:rPr>
              <w:t>0.384m</w:t>
            </w:r>
            <w:r>
              <w:rPr>
                <w:sz w:val="24"/>
                <w:szCs w:val="20"/>
                <w:vertAlign w:val="superscript"/>
              </w:rPr>
              <w:t>3</w:t>
            </w:r>
            <w:r>
              <w:rPr>
                <w:sz w:val="24"/>
                <w:szCs w:val="20"/>
              </w:rPr>
              <w:t>/d</w:t>
            </w:r>
            <w:r>
              <w:rPr>
                <w:rFonts w:hint="eastAsia"/>
                <w:sz w:val="24"/>
                <w:szCs w:val="20"/>
              </w:rPr>
              <w:t>（</w:t>
            </w:r>
            <w:r>
              <w:rPr>
                <w:sz w:val="24"/>
                <w:szCs w:val="20"/>
              </w:rPr>
              <w:t>115.2m</w:t>
            </w:r>
            <w:r>
              <w:rPr>
                <w:sz w:val="24"/>
                <w:szCs w:val="20"/>
                <w:vertAlign w:val="superscript"/>
              </w:rPr>
              <w:t>3</w:t>
            </w:r>
            <w:r>
              <w:rPr>
                <w:sz w:val="24"/>
                <w:szCs w:val="20"/>
              </w:rPr>
              <w:t>/a</w:t>
            </w:r>
            <w:r>
              <w:rPr>
                <w:rFonts w:hint="eastAsia"/>
                <w:sz w:val="24"/>
                <w:szCs w:val="20"/>
              </w:rPr>
              <w:t>）。</w:t>
            </w:r>
          </w:p>
          <w:p w14:paraId="4DDC30CD">
            <w:pPr>
              <w:spacing w:line="480" w:lineRule="exact"/>
              <w:ind w:firstLine="564" w:firstLineChars="235"/>
              <w:outlineLvl w:val="1"/>
              <w:rPr>
                <w:sz w:val="24"/>
                <w:szCs w:val="20"/>
              </w:rPr>
            </w:pPr>
            <w:r>
              <w:rPr>
                <w:rFonts w:hint="eastAsia"/>
                <w:b/>
                <w:bCs/>
                <w:sz w:val="24"/>
                <w:szCs w:val="20"/>
              </w:rPr>
              <w:t>治理措施：</w:t>
            </w:r>
            <w:r>
              <w:rPr>
                <w:rFonts w:hint="eastAsia"/>
                <w:sz w:val="24"/>
                <w:szCs w:val="20"/>
              </w:rPr>
              <w:t>项目生活污水依托现有污水预处理池处理后，回用周边农肥处理。</w:t>
            </w:r>
          </w:p>
          <w:p w14:paraId="68AB2804">
            <w:pPr>
              <w:spacing w:line="480" w:lineRule="exact"/>
              <w:ind w:firstLine="564" w:firstLineChars="235"/>
              <w:outlineLvl w:val="1"/>
              <w:rPr>
                <w:color w:val="FF0000"/>
                <w:sz w:val="24"/>
                <w:szCs w:val="20"/>
              </w:rPr>
            </w:pPr>
            <w:r>
              <w:rPr>
                <w:rFonts w:hint="eastAsia"/>
                <w:color w:val="FF0000"/>
                <w:sz w:val="24"/>
                <w:szCs w:val="20"/>
              </w:rPr>
              <w:t>②雨水</w:t>
            </w:r>
          </w:p>
          <w:p w14:paraId="092B0111">
            <w:pPr>
              <w:tabs>
                <w:tab w:val="left" w:pos="5670"/>
              </w:tabs>
              <w:spacing w:line="480" w:lineRule="exact"/>
              <w:ind w:firstLine="480" w:firstLineChars="200"/>
              <w:rPr>
                <w:color w:val="FF0000"/>
                <w:sz w:val="24"/>
              </w:rPr>
            </w:pPr>
            <w:r>
              <w:rPr>
                <w:bCs/>
                <w:color w:val="FF0000"/>
                <w:sz w:val="24"/>
              </w:rPr>
              <w:t>项目</w:t>
            </w:r>
            <w:r>
              <w:rPr>
                <w:rFonts w:hint="eastAsia"/>
                <w:bCs/>
                <w:color w:val="FF0000"/>
                <w:sz w:val="24"/>
              </w:rPr>
              <w:t>料仓、生产车间</w:t>
            </w:r>
            <w:r>
              <w:rPr>
                <w:bCs/>
                <w:color w:val="FF0000"/>
                <w:sz w:val="24"/>
              </w:rPr>
              <w:t>均位于</w:t>
            </w:r>
            <w:r>
              <w:rPr>
                <w:rFonts w:hint="eastAsia"/>
                <w:bCs/>
                <w:color w:val="FF0000"/>
                <w:sz w:val="24"/>
              </w:rPr>
              <w:t>车间</w:t>
            </w:r>
            <w:r>
              <w:rPr>
                <w:bCs/>
                <w:color w:val="FF0000"/>
                <w:sz w:val="24"/>
              </w:rPr>
              <w:t>内，约有2500m</w:t>
            </w:r>
            <w:r>
              <w:rPr>
                <w:bCs/>
                <w:color w:val="FF0000"/>
                <w:sz w:val="24"/>
                <w:vertAlign w:val="superscript"/>
              </w:rPr>
              <w:t>2</w:t>
            </w:r>
            <w:r>
              <w:rPr>
                <w:bCs/>
                <w:color w:val="FF0000"/>
                <w:sz w:val="24"/>
              </w:rPr>
              <w:t>露天厂区，</w:t>
            </w:r>
            <w:r>
              <w:rPr>
                <w:color w:val="FF0000"/>
                <w:sz w:val="24"/>
              </w:rPr>
              <w:t>一旦下雨对其冲刷水产生的地表径流，其主要污染物为SS。</w:t>
            </w:r>
          </w:p>
          <w:p w14:paraId="51D493F6">
            <w:pPr>
              <w:tabs>
                <w:tab w:val="left" w:pos="5670"/>
              </w:tabs>
              <w:spacing w:line="480" w:lineRule="exact"/>
              <w:ind w:firstLine="480" w:firstLineChars="200"/>
              <w:rPr>
                <w:color w:val="FF0000"/>
                <w:sz w:val="24"/>
              </w:rPr>
            </w:pPr>
            <w:r>
              <w:rPr>
                <w:color w:val="FF0000"/>
                <w:sz w:val="24"/>
              </w:rPr>
              <w:t>特别是在在暴雨、洪水期等恶劣环境下，这部分水量很大，夹杂着大量的泥砂随着地表水直排，若控制得不好，对附近水环境造成影响。雨水量计算见下：</w:t>
            </w:r>
          </w:p>
          <w:p w14:paraId="633D1357">
            <w:pPr>
              <w:spacing w:line="360" w:lineRule="auto"/>
              <w:ind w:firstLine="480" w:firstLineChars="200"/>
              <w:jc w:val="left"/>
              <w:rPr>
                <w:color w:val="FF0000"/>
                <w:sz w:val="24"/>
              </w:rPr>
            </w:pPr>
            <w:r>
              <w:rPr>
                <w:color w:val="FF0000"/>
                <w:sz w:val="24"/>
              </w:rPr>
              <w:t>集雨水量按下式计算。</w:t>
            </w:r>
          </w:p>
          <w:p w14:paraId="391BDBAE">
            <w:pPr>
              <w:spacing w:line="360" w:lineRule="auto"/>
              <w:jc w:val="center"/>
              <w:rPr>
                <w:color w:val="FF0000"/>
                <w:sz w:val="24"/>
              </w:rPr>
            </w:pPr>
            <w:r>
              <w:rPr>
                <w:color w:val="FF0000"/>
                <w:sz w:val="24"/>
              </w:rPr>
              <w:t>Q</w:t>
            </w:r>
            <w:r>
              <w:rPr>
                <w:color w:val="FF0000"/>
                <w:sz w:val="24"/>
                <w:vertAlign w:val="subscript"/>
              </w:rPr>
              <w:t>m</w:t>
            </w:r>
            <w:r>
              <w:rPr>
                <w:color w:val="FF0000"/>
                <w:sz w:val="24"/>
              </w:rPr>
              <w:t>=10</w:t>
            </w:r>
            <w:r>
              <w:rPr>
                <w:color w:val="FF0000"/>
                <w:sz w:val="24"/>
                <w:vertAlign w:val="superscript"/>
              </w:rPr>
              <w:t>-3</w:t>
            </w:r>
            <w:r>
              <w:rPr>
                <w:color w:val="FF0000"/>
                <w:sz w:val="24"/>
              </w:rPr>
              <w:t>CQA</w:t>
            </w:r>
          </w:p>
          <w:p w14:paraId="7CC76B56">
            <w:pPr>
              <w:spacing w:line="360" w:lineRule="auto"/>
              <w:ind w:firstLine="480" w:firstLineChars="200"/>
              <w:rPr>
                <w:color w:val="FF0000"/>
                <w:sz w:val="24"/>
              </w:rPr>
            </w:pPr>
            <w:r>
              <w:rPr>
                <w:color w:val="FF0000"/>
                <w:sz w:val="24"/>
              </w:rPr>
              <w:t>式中：Q</w:t>
            </w:r>
            <w:r>
              <w:rPr>
                <w:color w:val="FF0000"/>
                <w:sz w:val="24"/>
                <w:vertAlign w:val="subscript"/>
              </w:rPr>
              <w:t>m</w:t>
            </w:r>
            <w:r>
              <w:rPr>
                <w:color w:val="FF0000"/>
                <w:sz w:val="24"/>
              </w:rPr>
              <w:t>：降雨产生的路面水量，m</w:t>
            </w:r>
            <w:r>
              <w:rPr>
                <w:color w:val="FF0000"/>
                <w:sz w:val="24"/>
                <w:vertAlign w:val="superscript"/>
              </w:rPr>
              <w:t>3</w:t>
            </w:r>
            <w:r>
              <w:rPr>
                <w:color w:val="FF0000"/>
                <w:sz w:val="24"/>
              </w:rPr>
              <w:t>/a；</w:t>
            </w:r>
          </w:p>
          <w:p w14:paraId="096DCD3D">
            <w:pPr>
              <w:spacing w:line="360" w:lineRule="auto"/>
              <w:ind w:firstLine="1320" w:firstLineChars="550"/>
              <w:rPr>
                <w:color w:val="FF0000"/>
                <w:sz w:val="24"/>
              </w:rPr>
            </w:pPr>
            <w:r>
              <w:rPr>
                <w:color w:val="FF0000"/>
                <w:sz w:val="24"/>
              </w:rPr>
              <w:t>C：集水区径流系数，本次环评取0.4；</w:t>
            </w:r>
          </w:p>
          <w:p w14:paraId="54674E89">
            <w:pPr>
              <w:spacing w:line="360" w:lineRule="auto"/>
              <w:ind w:firstLine="1320" w:firstLineChars="550"/>
              <w:rPr>
                <w:color w:val="FF0000"/>
                <w:sz w:val="24"/>
              </w:rPr>
            </w:pPr>
            <w:r>
              <w:rPr>
                <w:color w:val="FF0000"/>
                <w:sz w:val="24"/>
              </w:rPr>
              <w:t>Q：集水区多年平均降雨量，mm；</w:t>
            </w:r>
          </w:p>
          <w:p w14:paraId="1A3CD283">
            <w:pPr>
              <w:spacing w:line="360" w:lineRule="auto"/>
              <w:ind w:firstLine="1320" w:firstLineChars="550"/>
              <w:rPr>
                <w:color w:val="FF0000"/>
                <w:sz w:val="24"/>
              </w:rPr>
            </w:pPr>
            <w:r>
              <w:rPr>
                <w:color w:val="FF0000"/>
                <w:sz w:val="24"/>
              </w:rPr>
              <w:t>A：集水区地表面积，m</w:t>
            </w:r>
            <w:r>
              <w:rPr>
                <w:color w:val="FF0000"/>
                <w:sz w:val="24"/>
                <w:vertAlign w:val="superscript"/>
              </w:rPr>
              <w:t>2</w:t>
            </w:r>
            <w:r>
              <w:rPr>
                <w:color w:val="FF0000"/>
                <w:sz w:val="24"/>
              </w:rPr>
              <w:t>。</w:t>
            </w:r>
          </w:p>
          <w:p w14:paraId="2A649EEB">
            <w:pPr>
              <w:tabs>
                <w:tab w:val="left" w:pos="5670"/>
              </w:tabs>
              <w:spacing w:line="360" w:lineRule="auto"/>
              <w:ind w:firstLine="480" w:firstLineChars="200"/>
              <w:rPr>
                <w:color w:val="FF0000"/>
                <w:sz w:val="24"/>
              </w:rPr>
            </w:pPr>
            <w:r>
              <w:rPr>
                <w:color w:val="FF0000"/>
                <w:sz w:val="24"/>
              </w:rPr>
              <w:t>项目产品暂存区的汇水面积为1000m</w:t>
            </w:r>
            <w:r>
              <w:rPr>
                <w:color w:val="FF0000"/>
                <w:sz w:val="24"/>
                <w:vertAlign w:val="superscript"/>
              </w:rPr>
              <w:t>2</w:t>
            </w:r>
            <w:r>
              <w:rPr>
                <w:color w:val="FF0000"/>
                <w:sz w:val="24"/>
              </w:rPr>
              <w:t>。据文献资料可知，乐山市</w:t>
            </w:r>
            <w:r>
              <w:rPr>
                <w:rFonts w:hint="eastAsia"/>
                <w:color w:val="FF0000"/>
                <w:sz w:val="24"/>
              </w:rPr>
              <w:t>峨边彝族自治县中山区</w:t>
            </w:r>
            <w:r>
              <w:rPr>
                <w:color w:val="FF0000"/>
                <w:sz w:val="24"/>
              </w:rPr>
              <w:t>年平均降雨</w:t>
            </w:r>
            <w:r>
              <w:rPr>
                <w:rFonts w:hint="eastAsia"/>
                <w:color w:val="FF0000"/>
                <w:sz w:val="24"/>
              </w:rPr>
              <w:t>约</w:t>
            </w:r>
            <w:r>
              <w:rPr>
                <w:color w:val="FF0000"/>
                <w:sz w:val="24"/>
              </w:rPr>
              <w:t>1000mm，地表径流系数按0.4计，年均集雨量为1000m</w:t>
            </w:r>
            <w:r>
              <w:rPr>
                <w:color w:val="FF0000"/>
                <w:sz w:val="24"/>
                <w:vertAlign w:val="superscript"/>
              </w:rPr>
              <w:t>3</w:t>
            </w:r>
            <w:r>
              <w:rPr>
                <w:color w:val="FF0000"/>
                <w:sz w:val="24"/>
              </w:rPr>
              <w:t>/a，日均集雨量为2.74m</w:t>
            </w:r>
            <w:r>
              <w:rPr>
                <w:color w:val="FF0000"/>
                <w:sz w:val="24"/>
                <w:vertAlign w:val="superscript"/>
              </w:rPr>
              <w:t>3</w:t>
            </w:r>
            <w:r>
              <w:rPr>
                <w:color w:val="FF0000"/>
                <w:sz w:val="24"/>
              </w:rPr>
              <w:t>/d，主要污染物为SS，浓度在500~1000mg/m</w:t>
            </w:r>
            <w:r>
              <w:rPr>
                <w:color w:val="FF0000"/>
                <w:sz w:val="24"/>
                <w:vertAlign w:val="superscript"/>
              </w:rPr>
              <w:t>3</w:t>
            </w:r>
            <w:r>
              <w:rPr>
                <w:color w:val="FF0000"/>
                <w:sz w:val="24"/>
              </w:rPr>
              <w:t>之间。</w:t>
            </w:r>
          </w:p>
          <w:p w14:paraId="7131611B">
            <w:pPr>
              <w:tabs>
                <w:tab w:val="left" w:pos="5670"/>
              </w:tabs>
              <w:spacing w:line="480" w:lineRule="exact"/>
              <w:ind w:firstLine="480" w:firstLineChars="200"/>
              <w:rPr>
                <w:color w:val="FF0000"/>
                <w:sz w:val="24"/>
              </w:rPr>
            </w:pPr>
            <w:r>
              <w:rPr>
                <w:b/>
                <w:color w:val="FF0000"/>
                <w:sz w:val="24"/>
              </w:rPr>
              <w:t>治理措施</w:t>
            </w:r>
            <w:r>
              <w:rPr>
                <w:color w:val="FF0000"/>
                <w:sz w:val="24"/>
              </w:rPr>
              <w:t>：</w:t>
            </w:r>
            <w:r>
              <w:rPr>
                <w:bCs/>
                <w:color w:val="FF0000"/>
                <w:sz w:val="24"/>
              </w:rPr>
              <w:t>于</w:t>
            </w:r>
            <w:r>
              <w:rPr>
                <w:color w:val="FF0000"/>
                <w:sz w:val="24"/>
              </w:rPr>
              <w:t>场地四周设置截排水沟，将雨水导排至</w:t>
            </w:r>
            <w:r>
              <w:rPr>
                <w:rFonts w:hint="eastAsia"/>
                <w:color w:val="FF0000"/>
                <w:sz w:val="24"/>
              </w:rPr>
              <w:t>厂区</w:t>
            </w:r>
            <w:r>
              <w:rPr>
                <w:color w:val="FF0000"/>
                <w:sz w:val="24"/>
              </w:rPr>
              <w:t>低洼处沉淀水池，停留时间不低于3h，经估算沉淀水池有效容积不小于1m</w:t>
            </w:r>
            <w:r>
              <w:rPr>
                <w:color w:val="FF0000"/>
                <w:sz w:val="24"/>
                <w:vertAlign w:val="superscript"/>
              </w:rPr>
              <w:t>3</w:t>
            </w:r>
            <w:r>
              <w:rPr>
                <w:color w:val="FF0000"/>
                <w:sz w:val="24"/>
              </w:rPr>
              <w:t>，雨水经沉淀后</w:t>
            </w:r>
            <w:r>
              <w:rPr>
                <w:rFonts w:hint="eastAsia"/>
                <w:color w:val="FF0000"/>
                <w:sz w:val="24"/>
              </w:rPr>
              <w:t>外排</w:t>
            </w:r>
            <w:r>
              <w:rPr>
                <w:color w:val="FF0000"/>
                <w:sz w:val="24"/>
              </w:rPr>
              <w:t>；另外加强管理产品随产随销，减少堆存量，其次适时清掏雨水经沉淀使之有效运行。</w:t>
            </w:r>
          </w:p>
          <w:p w14:paraId="078AE70E">
            <w:pPr>
              <w:spacing w:line="360" w:lineRule="auto"/>
              <w:ind w:firstLine="364" w:firstLineChars="152"/>
              <w:rPr>
                <w:b/>
                <w:sz w:val="24"/>
              </w:rPr>
            </w:pPr>
            <w:r>
              <w:rPr>
                <w:rFonts w:hint="eastAsia"/>
                <w:b/>
                <w:sz w:val="24"/>
              </w:rPr>
              <w:t>（</w:t>
            </w:r>
            <w:r>
              <w:rPr>
                <w:b/>
                <w:sz w:val="24"/>
              </w:rPr>
              <w:t>3</w:t>
            </w:r>
            <w:r>
              <w:rPr>
                <w:rFonts w:hint="eastAsia"/>
                <w:b/>
                <w:sz w:val="24"/>
              </w:rPr>
              <w:t>）营运期噪声的排放和治理</w:t>
            </w:r>
          </w:p>
          <w:p w14:paraId="76CEBE61">
            <w:pPr>
              <w:spacing w:line="360" w:lineRule="auto"/>
              <w:ind w:right="77" w:rightChars="37" w:firstLine="480" w:firstLineChars="200"/>
              <w:rPr>
                <w:b/>
                <w:bCs/>
                <w:sz w:val="24"/>
                <w:lang w:val="en-GB"/>
              </w:rPr>
            </w:pPr>
            <w:r>
              <w:rPr>
                <w:b/>
                <w:bCs/>
                <w:sz w:val="24"/>
              </w:rPr>
              <w:fldChar w:fldCharType="begin"/>
            </w:r>
            <w:r>
              <w:rPr>
                <w:b/>
                <w:bCs/>
                <w:sz w:val="24"/>
              </w:rPr>
              <w:instrText xml:space="preserve"> = 1 \* GB3 </w:instrText>
            </w:r>
            <w:r>
              <w:rPr>
                <w:b/>
                <w:bCs/>
                <w:sz w:val="24"/>
              </w:rPr>
              <w:fldChar w:fldCharType="separate"/>
            </w:r>
            <w:r>
              <w:rPr>
                <w:rFonts w:hint="eastAsia" w:ascii="宋体" w:hAnsi="宋体" w:cs="宋体"/>
                <w:b/>
                <w:bCs/>
                <w:sz w:val="24"/>
              </w:rPr>
              <w:t>①</w:t>
            </w:r>
            <w:r>
              <w:rPr>
                <w:b/>
                <w:bCs/>
                <w:sz w:val="24"/>
              </w:rPr>
              <w:fldChar w:fldCharType="end"/>
            </w:r>
            <w:r>
              <w:rPr>
                <w:rFonts w:hint="eastAsia"/>
                <w:b/>
                <w:bCs/>
                <w:sz w:val="24"/>
                <w:lang w:val="en-GB"/>
              </w:rPr>
              <w:t>噪声和源强</w:t>
            </w:r>
          </w:p>
          <w:p w14:paraId="746A7536">
            <w:pPr>
              <w:spacing w:line="360" w:lineRule="auto"/>
              <w:ind w:firstLine="480" w:firstLineChars="200"/>
              <w:rPr>
                <w:sz w:val="24"/>
              </w:rPr>
            </w:pPr>
            <w:r>
              <w:rPr>
                <w:rFonts w:hint="eastAsia"/>
                <w:sz w:val="24"/>
              </w:rPr>
              <w:t>本项目营运期的噪声主要来自圆盘锯、圆木机、边皮锯、带锯、多片锯、抓木机等生产设备运行噪声，其噪声源类型为固定噪声源。项目噪声源强等效声级值见表</w:t>
            </w:r>
            <w:r>
              <w:rPr>
                <w:sz w:val="24"/>
              </w:rPr>
              <w:t>5-2</w:t>
            </w:r>
            <w:r>
              <w:rPr>
                <w:rFonts w:hint="eastAsia"/>
                <w:sz w:val="24"/>
              </w:rPr>
              <w:t>。</w:t>
            </w:r>
          </w:p>
          <w:p w14:paraId="331FA110">
            <w:pPr>
              <w:adjustRightInd w:val="0"/>
              <w:snapToGrid w:val="0"/>
              <w:spacing w:line="360" w:lineRule="auto"/>
              <w:jc w:val="center"/>
              <w:rPr>
                <w:rFonts w:ascii="黑体" w:hAnsi="黑体" w:eastAsia="黑体"/>
                <w:b/>
                <w:bCs/>
                <w:sz w:val="24"/>
              </w:rPr>
            </w:pPr>
            <w:r>
              <w:rPr>
                <w:rFonts w:ascii="黑体" w:hAnsi="黑体" w:eastAsia="黑体"/>
              </w:rP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page">
                        <wp:posOffset>13335635</wp:posOffset>
                      </wp:positionV>
                      <wp:extent cx="5717540" cy="8975725"/>
                      <wp:effectExtent l="9525" t="10160" r="6985" b="5715"/>
                      <wp:wrapNone/>
                      <wp:docPr id="6" name="Rectangle 3804"/>
                      <wp:cNvGraphicFramePr/>
                      <a:graphic xmlns:a="http://schemas.openxmlformats.org/drawingml/2006/main">
                        <a:graphicData uri="http://schemas.microsoft.com/office/word/2010/wordprocessingShape">
                          <wps:wsp>
                            <wps:cNvSpPr>
                              <a:spLocks noChangeArrowheads="1"/>
                            </wps:cNvSpPr>
                            <wps:spPr bwMode="auto">
                              <a:xfrm>
                                <a:off x="0" y="0"/>
                                <a:ext cx="5717540" cy="8975725"/>
                              </a:xfrm>
                              <a:prstGeom prst="rect">
                                <a:avLst/>
                              </a:prstGeom>
                              <a:noFill/>
                              <a:ln w="9525">
                                <a:solidFill>
                                  <a:srgbClr val="000000"/>
                                </a:solidFill>
                                <a:miter lim="800000"/>
                              </a:ln>
                            </wps:spPr>
                            <wps:bodyPr rot="0" vert="horz" wrap="square" lIns="0" tIns="10800" rIns="0" bIns="10800" anchor="t" anchorCtr="0" upright="1">
                              <a:noAutofit/>
                            </wps:bodyPr>
                          </wps:wsp>
                        </a:graphicData>
                      </a:graphic>
                    </wp:anchor>
                  </w:drawing>
                </mc:Choice>
                <mc:Fallback>
                  <w:pict>
                    <v:rect id="Rectangle 3804" o:spid="_x0000_s1026" o:spt="1" style="position:absolute;left:0pt;margin-left:0pt;margin-top:1050.05pt;height:706.75pt;width:450.2pt;mso-position-horizontal-relative:margin;mso-position-vertical-relative:page;z-index:251659264;mso-width-relative:page;mso-height-relative:page;" filled="f" stroked="t" coordsize="21600,21600" o:gfxdata="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Oebm&#10;p9kAAAAKAQAADwAAAAAAAAABACAAAAAiAAAAZHJzL2Rvd25yZXYueG1sUEsBAhQAFAAAAAgAh07i&#10;QF4qgt4hAgAARQQAAA4AAAAAAAAAAQAgAAAAKAEAAGRycy9lMm9Eb2MueG1sUEsFBgAAAAAGAAYA&#10;WQEAALsFAAAAAA==&#10;">
                      <v:fill on="f" focussize="0,0"/>
                      <v:stroke color="#000000" miterlimit="8" joinstyle="miter"/>
                      <v:imagedata o:title=""/>
                      <o:lock v:ext="edit" aspectratio="f"/>
                      <v:textbox inset="0mm,0.3mm,0mm,0.3mm"/>
                      <w10:anchorlock/>
                    </v:rect>
                  </w:pict>
                </mc:Fallback>
              </mc:AlternateContent>
            </w:r>
            <w:r>
              <w:rPr>
                <w:rFonts w:hint="eastAsia" w:ascii="黑体" w:hAnsi="黑体" w:eastAsia="黑体"/>
                <w:bCs/>
                <w:sz w:val="24"/>
              </w:rPr>
              <w:t>表</w:t>
            </w:r>
            <w:r>
              <w:rPr>
                <w:rFonts w:ascii="黑体" w:hAnsi="黑体" w:eastAsia="黑体"/>
                <w:bCs/>
                <w:sz w:val="24"/>
              </w:rPr>
              <w:t xml:space="preserve">5-2 </w:t>
            </w:r>
            <w:r>
              <w:rPr>
                <w:rFonts w:hint="eastAsia" w:ascii="黑体" w:hAnsi="黑体" w:eastAsia="黑体"/>
                <w:sz w:val="24"/>
              </w:rPr>
              <w:t>噪声源情况汇总表</w:t>
            </w:r>
          </w:p>
          <w:tbl>
            <w:tblPr>
              <w:tblStyle w:val="2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413"/>
              <w:gridCol w:w="3228"/>
              <w:gridCol w:w="1822"/>
              <w:gridCol w:w="1819"/>
            </w:tblGrid>
            <w:tr w14:paraId="128192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 w:hRule="atLeast"/>
                <w:jc w:val="center"/>
              </w:trPr>
              <w:tc>
                <w:tcPr>
                  <w:tcW w:w="853" w:type="pct"/>
                  <w:tcBorders>
                    <w:top w:val="single" w:color="auto" w:sz="12" w:space="0"/>
                    <w:left w:val="single" w:color="auto" w:sz="12" w:space="0"/>
                    <w:bottom w:val="single" w:color="auto" w:sz="6" w:space="0"/>
                    <w:right w:val="single" w:color="auto" w:sz="6" w:space="0"/>
                  </w:tcBorders>
                  <w:vAlign w:val="center"/>
                </w:tcPr>
                <w:p w14:paraId="2B5627E6">
                  <w:pPr>
                    <w:widowControl/>
                    <w:jc w:val="center"/>
                  </w:pPr>
                  <w:r>
                    <w:rPr>
                      <w:rFonts w:hint="eastAsia"/>
                    </w:rPr>
                    <w:t>序号</w:t>
                  </w:r>
                </w:p>
              </w:tc>
              <w:tc>
                <w:tcPr>
                  <w:tcW w:w="1949" w:type="pct"/>
                  <w:tcBorders>
                    <w:top w:val="single" w:color="auto" w:sz="12" w:space="0"/>
                    <w:left w:val="single" w:color="auto" w:sz="6" w:space="0"/>
                    <w:bottom w:val="single" w:color="auto" w:sz="6" w:space="0"/>
                    <w:right w:val="single" w:color="auto" w:sz="6" w:space="0"/>
                  </w:tcBorders>
                  <w:vAlign w:val="center"/>
                </w:tcPr>
                <w:p w14:paraId="23456AF0">
                  <w:pPr>
                    <w:widowControl/>
                    <w:jc w:val="center"/>
                  </w:pPr>
                  <w:r>
                    <w:rPr>
                      <w:rFonts w:hint="eastAsia"/>
                    </w:rPr>
                    <w:t>设备</w:t>
                  </w:r>
                </w:p>
              </w:tc>
              <w:tc>
                <w:tcPr>
                  <w:tcW w:w="1100" w:type="pct"/>
                  <w:tcBorders>
                    <w:top w:val="single" w:color="auto" w:sz="12" w:space="0"/>
                    <w:left w:val="single" w:color="auto" w:sz="6" w:space="0"/>
                    <w:bottom w:val="single" w:color="auto" w:sz="6" w:space="0"/>
                    <w:right w:val="single" w:color="auto" w:sz="6" w:space="0"/>
                  </w:tcBorders>
                  <w:vAlign w:val="center"/>
                </w:tcPr>
                <w:p w14:paraId="39243E7F">
                  <w:pPr>
                    <w:widowControl/>
                    <w:jc w:val="center"/>
                  </w:pPr>
                  <w:r>
                    <w:rPr>
                      <w:rFonts w:hint="eastAsia"/>
                    </w:rPr>
                    <w:t>最大声级</w:t>
                  </w:r>
                  <w:r>
                    <w:t>[dB(A)]</w:t>
                  </w:r>
                </w:p>
              </w:tc>
              <w:tc>
                <w:tcPr>
                  <w:tcW w:w="1098" w:type="pct"/>
                  <w:tcBorders>
                    <w:top w:val="single" w:color="auto" w:sz="12" w:space="0"/>
                    <w:left w:val="single" w:color="auto" w:sz="6" w:space="0"/>
                    <w:bottom w:val="single" w:color="auto" w:sz="6" w:space="0"/>
                    <w:right w:val="single" w:color="auto" w:sz="12" w:space="0"/>
                  </w:tcBorders>
                  <w:vAlign w:val="center"/>
                </w:tcPr>
                <w:p w14:paraId="3E7E68A7">
                  <w:pPr>
                    <w:widowControl/>
                    <w:jc w:val="center"/>
                  </w:pPr>
                  <w:r>
                    <w:rPr>
                      <w:rFonts w:hint="eastAsia"/>
                    </w:rPr>
                    <w:t>位置</w:t>
                  </w:r>
                </w:p>
              </w:tc>
            </w:tr>
            <w:tr w14:paraId="0B4311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 w:hRule="atLeast"/>
                <w:jc w:val="center"/>
              </w:trPr>
              <w:tc>
                <w:tcPr>
                  <w:tcW w:w="853" w:type="pct"/>
                  <w:tcBorders>
                    <w:top w:val="single" w:color="auto" w:sz="6" w:space="0"/>
                    <w:left w:val="single" w:color="auto" w:sz="12" w:space="0"/>
                    <w:bottom w:val="single" w:color="auto" w:sz="6" w:space="0"/>
                    <w:right w:val="single" w:color="auto" w:sz="6" w:space="0"/>
                  </w:tcBorders>
                  <w:vAlign w:val="center"/>
                </w:tcPr>
                <w:p w14:paraId="0FD77B2F">
                  <w:pPr>
                    <w:widowControl/>
                    <w:jc w:val="center"/>
                  </w:pPr>
                  <w:r>
                    <w:t>1</w:t>
                  </w:r>
                </w:p>
              </w:tc>
              <w:tc>
                <w:tcPr>
                  <w:tcW w:w="1949" w:type="pct"/>
                  <w:tcBorders>
                    <w:top w:val="single" w:color="auto" w:sz="6" w:space="0"/>
                    <w:left w:val="single" w:color="auto" w:sz="6" w:space="0"/>
                    <w:bottom w:val="single" w:color="auto" w:sz="6" w:space="0"/>
                    <w:right w:val="single" w:color="auto" w:sz="6" w:space="0"/>
                  </w:tcBorders>
                  <w:vAlign w:val="center"/>
                </w:tcPr>
                <w:p w14:paraId="589D654F">
                  <w:pPr>
                    <w:jc w:val="center"/>
                    <w:rPr>
                      <w:szCs w:val="21"/>
                    </w:rPr>
                  </w:pPr>
                  <w:r>
                    <w:rPr>
                      <w:rFonts w:hint="eastAsia"/>
                      <w:szCs w:val="21"/>
                    </w:rPr>
                    <w:t>带锯</w:t>
                  </w:r>
                </w:p>
              </w:tc>
              <w:tc>
                <w:tcPr>
                  <w:tcW w:w="1100" w:type="pct"/>
                  <w:tcBorders>
                    <w:top w:val="single" w:color="auto" w:sz="6" w:space="0"/>
                    <w:left w:val="single" w:color="auto" w:sz="6" w:space="0"/>
                    <w:bottom w:val="single" w:color="auto" w:sz="6" w:space="0"/>
                    <w:right w:val="single" w:color="auto" w:sz="6" w:space="0"/>
                  </w:tcBorders>
                  <w:vAlign w:val="center"/>
                </w:tcPr>
                <w:p w14:paraId="29445A1F">
                  <w:pPr>
                    <w:widowControl/>
                    <w:jc w:val="center"/>
                  </w:pPr>
                  <w:r>
                    <w:t>70</w:t>
                  </w:r>
                </w:p>
              </w:tc>
              <w:tc>
                <w:tcPr>
                  <w:tcW w:w="1098" w:type="pct"/>
                  <w:tcBorders>
                    <w:top w:val="single" w:color="auto" w:sz="6" w:space="0"/>
                    <w:left w:val="single" w:color="auto" w:sz="6" w:space="0"/>
                    <w:bottom w:val="single" w:color="auto" w:sz="6" w:space="0"/>
                    <w:right w:val="single" w:color="auto" w:sz="12" w:space="0"/>
                  </w:tcBorders>
                  <w:vAlign w:val="center"/>
                </w:tcPr>
                <w:p w14:paraId="3E42299C">
                  <w:pPr>
                    <w:widowControl/>
                    <w:jc w:val="center"/>
                  </w:pPr>
                  <w:r>
                    <w:rPr>
                      <w:rFonts w:hint="eastAsia"/>
                    </w:rPr>
                    <w:t>生产车间</w:t>
                  </w:r>
                </w:p>
              </w:tc>
            </w:tr>
            <w:tr w14:paraId="2E95E4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 w:hRule="atLeast"/>
                <w:jc w:val="center"/>
              </w:trPr>
              <w:tc>
                <w:tcPr>
                  <w:tcW w:w="853" w:type="pct"/>
                  <w:tcBorders>
                    <w:top w:val="single" w:color="auto" w:sz="6" w:space="0"/>
                    <w:left w:val="single" w:color="auto" w:sz="12" w:space="0"/>
                    <w:bottom w:val="single" w:color="auto" w:sz="6" w:space="0"/>
                    <w:right w:val="single" w:color="auto" w:sz="6" w:space="0"/>
                  </w:tcBorders>
                  <w:vAlign w:val="center"/>
                </w:tcPr>
                <w:p w14:paraId="26F1EF39">
                  <w:pPr>
                    <w:widowControl/>
                    <w:jc w:val="center"/>
                  </w:pPr>
                  <w:r>
                    <w:t>2</w:t>
                  </w:r>
                </w:p>
              </w:tc>
              <w:tc>
                <w:tcPr>
                  <w:tcW w:w="1949" w:type="pct"/>
                  <w:tcBorders>
                    <w:top w:val="single" w:color="auto" w:sz="6" w:space="0"/>
                    <w:left w:val="single" w:color="auto" w:sz="6" w:space="0"/>
                    <w:bottom w:val="single" w:color="auto" w:sz="6" w:space="0"/>
                    <w:right w:val="single" w:color="auto" w:sz="6" w:space="0"/>
                  </w:tcBorders>
                  <w:vAlign w:val="center"/>
                </w:tcPr>
                <w:p w14:paraId="2A732CD5">
                  <w:pPr>
                    <w:jc w:val="center"/>
                    <w:rPr>
                      <w:szCs w:val="21"/>
                    </w:rPr>
                  </w:pPr>
                  <w:r>
                    <w:rPr>
                      <w:rFonts w:hint="eastAsia"/>
                      <w:szCs w:val="21"/>
                    </w:rPr>
                    <w:t>圆盘锯</w:t>
                  </w:r>
                </w:p>
              </w:tc>
              <w:tc>
                <w:tcPr>
                  <w:tcW w:w="1100" w:type="pct"/>
                  <w:tcBorders>
                    <w:top w:val="single" w:color="auto" w:sz="6" w:space="0"/>
                    <w:left w:val="single" w:color="auto" w:sz="6" w:space="0"/>
                    <w:bottom w:val="single" w:color="auto" w:sz="6" w:space="0"/>
                    <w:right w:val="single" w:color="auto" w:sz="6" w:space="0"/>
                  </w:tcBorders>
                  <w:vAlign w:val="center"/>
                </w:tcPr>
                <w:p w14:paraId="1F8BBA07">
                  <w:pPr>
                    <w:widowControl/>
                    <w:jc w:val="center"/>
                  </w:pPr>
                  <w:r>
                    <w:t>75</w:t>
                  </w:r>
                </w:p>
              </w:tc>
              <w:tc>
                <w:tcPr>
                  <w:tcW w:w="1098" w:type="pct"/>
                  <w:tcBorders>
                    <w:top w:val="single" w:color="auto" w:sz="6" w:space="0"/>
                    <w:left w:val="single" w:color="auto" w:sz="6" w:space="0"/>
                    <w:bottom w:val="single" w:color="auto" w:sz="6" w:space="0"/>
                    <w:right w:val="single" w:color="auto" w:sz="12" w:space="0"/>
                  </w:tcBorders>
                  <w:vAlign w:val="center"/>
                </w:tcPr>
                <w:p w14:paraId="4E6C5F6E">
                  <w:pPr>
                    <w:widowControl/>
                    <w:jc w:val="center"/>
                  </w:pPr>
                  <w:r>
                    <w:rPr>
                      <w:rFonts w:hint="eastAsia"/>
                    </w:rPr>
                    <w:t>生产车间</w:t>
                  </w:r>
                </w:p>
              </w:tc>
            </w:tr>
            <w:tr w14:paraId="7ED232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8" w:hRule="atLeast"/>
                <w:jc w:val="center"/>
              </w:trPr>
              <w:tc>
                <w:tcPr>
                  <w:tcW w:w="853" w:type="pct"/>
                  <w:tcBorders>
                    <w:top w:val="single" w:color="auto" w:sz="6" w:space="0"/>
                    <w:left w:val="single" w:color="auto" w:sz="12" w:space="0"/>
                    <w:bottom w:val="single" w:color="auto" w:sz="6" w:space="0"/>
                    <w:right w:val="single" w:color="auto" w:sz="6" w:space="0"/>
                  </w:tcBorders>
                  <w:vAlign w:val="center"/>
                </w:tcPr>
                <w:p w14:paraId="36A09430">
                  <w:pPr>
                    <w:widowControl/>
                    <w:jc w:val="center"/>
                  </w:pPr>
                  <w:r>
                    <w:t>3</w:t>
                  </w:r>
                </w:p>
              </w:tc>
              <w:tc>
                <w:tcPr>
                  <w:tcW w:w="1949" w:type="pct"/>
                  <w:tcBorders>
                    <w:top w:val="single" w:color="auto" w:sz="6" w:space="0"/>
                    <w:left w:val="single" w:color="auto" w:sz="6" w:space="0"/>
                    <w:bottom w:val="single" w:color="auto" w:sz="6" w:space="0"/>
                    <w:right w:val="single" w:color="auto" w:sz="6" w:space="0"/>
                  </w:tcBorders>
                  <w:vAlign w:val="center"/>
                </w:tcPr>
                <w:p w14:paraId="4961D01A">
                  <w:pPr>
                    <w:jc w:val="center"/>
                    <w:rPr>
                      <w:szCs w:val="21"/>
                    </w:rPr>
                  </w:pPr>
                  <w:r>
                    <w:rPr>
                      <w:rFonts w:hint="eastAsia"/>
                      <w:szCs w:val="21"/>
                    </w:rPr>
                    <w:t>多片锯</w:t>
                  </w:r>
                </w:p>
              </w:tc>
              <w:tc>
                <w:tcPr>
                  <w:tcW w:w="1100" w:type="pct"/>
                  <w:tcBorders>
                    <w:top w:val="single" w:color="auto" w:sz="6" w:space="0"/>
                    <w:left w:val="single" w:color="auto" w:sz="6" w:space="0"/>
                    <w:bottom w:val="single" w:color="auto" w:sz="6" w:space="0"/>
                    <w:right w:val="single" w:color="auto" w:sz="6" w:space="0"/>
                  </w:tcBorders>
                  <w:vAlign w:val="center"/>
                </w:tcPr>
                <w:p w14:paraId="4879470B">
                  <w:pPr>
                    <w:widowControl/>
                    <w:jc w:val="center"/>
                  </w:pPr>
                  <w:r>
                    <w:t>80</w:t>
                  </w:r>
                </w:p>
              </w:tc>
              <w:tc>
                <w:tcPr>
                  <w:tcW w:w="1098" w:type="pct"/>
                  <w:tcBorders>
                    <w:top w:val="single" w:color="auto" w:sz="6" w:space="0"/>
                    <w:left w:val="single" w:color="auto" w:sz="6" w:space="0"/>
                    <w:bottom w:val="single" w:color="auto" w:sz="6" w:space="0"/>
                    <w:right w:val="single" w:color="auto" w:sz="12" w:space="0"/>
                  </w:tcBorders>
                  <w:vAlign w:val="center"/>
                </w:tcPr>
                <w:p w14:paraId="6FA7436A">
                  <w:pPr>
                    <w:widowControl/>
                    <w:jc w:val="center"/>
                  </w:pPr>
                  <w:r>
                    <w:rPr>
                      <w:rFonts w:hint="eastAsia"/>
                    </w:rPr>
                    <w:t>生产车间</w:t>
                  </w:r>
                </w:p>
              </w:tc>
            </w:tr>
            <w:tr w14:paraId="03D4D9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8" w:hRule="atLeast"/>
                <w:jc w:val="center"/>
              </w:trPr>
              <w:tc>
                <w:tcPr>
                  <w:tcW w:w="853" w:type="pct"/>
                  <w:tcBorders>
                    <w:top w:val="single" w:color="auto" w:sz="6" w:space="0"/>
                    <w:left w:val="single" w:color="auto" w:sz="12" w:space="0"/>
                    <w:bottom w:val="single" w:color="auto" w:sz="6" w:space="0"/>
                    <w:right w:val="single" w:color="auto" w:sz="6" w:space="0"/>
                  </w:tcBorders>
                  <w:vAlign w:val="center"/>
                </w:tcPr>
                <w:p w14:paraId="74F3A255">
                  <w:pPr>
                    <w:widowControl/>
                    <w:jc w:val="center"/>
                  </w:pPr>
                  <w:r>
                    <w:rPr>
                      <w:rFonts w:hint="eastAsia"/>
                    </w:rPr>
                    <w:t>4</w:t>
                  </w:r>
                </w:p>
              </w:tc>
              <w:tc>
                <w:tcPr>
                  <w:tcW w:w="1949" w:type="pct"/>
                  <w:tcBorders>
                    <w:top w:val="single" w:color="auto" w:sz="6" w:space="0"/>
                    <w:left w:val="single" w:color="auto" w:sz="6" w:space="0"/>
                    <w:bottom w:val="single" w:color="auto" w:sz="6" w:space="0"/>
                    <w:right w:val="single" w:color="auto" w:sz="6" w:space="0"/>
                  </w:tcBorders>
                  <w:vAlign w:val="center"/>
                </w:tcPr>
                <w:p w14:paraId="41A788B2">
                  <w:pPr>
                    <w:jc w:val="center"/>
                    <w:rPr>
                      <w:szCs w:val="21"/>
                    </w:rPr>
                  </w:pPr>
                  <w:r>
                    <w:rPr>
                      <w:rFonts w:hint="eastAsia"/>
                      <w:szCs w:val="21"/>
                    </w:rPr>
                    <w:t>圆木机</w:t>
                  </w:r>
                </w:p>
              </w:tc>
              <w:tc>
                <w:tcPr>
                  <w:tcW w:w="1100" w:type="pct"/>
                  <w:tcBorders>
                    <w:top w:val="single" w:color="auto" w:sz="6" w:space="0"/>
                    <w:left w:val="single" w:color="auto" w:sz="6" w:space="0"/>
                    <w:bottom w:val="single" w:color="auto" w:sz="6" w:space="0"/>
                    <w:right w:val="single" w:color="auto" w:sz="6" w:space="0"/>
                  </w:tcBorders>
                  <w:vAlign w:val="center"/>
                </w:tcPr>
                <w:p w14:paraId="5333EB35">
                  <w:pPr>
                    <w:widowControl/>
                    <w:jc w:val="center"/>
                  </w:pPr>
                  <w:r>
                    <w:rPr>
                      <w:rFonts w:hint="eastAsia"/>
                    </w:rPr>
                    <w:t>8</w:t>
                  </w:r>
                  <w:r>
                    <w:t>0</w:t>
                  </w:r>
                </w:p>
              </w:tc>
              <w:tc>
                <w:tcPr>
                  <w:tcW w:w="1098" w:type="pct"/>
                  <w:tcBorders>
                    <w:top w:val="single" w:color="auto" w:sz="6" w:space="0"/>
                    <w:left w:val="single" w:color="auto" w:sz="6" w:space="0"/>
                    <w:bottom w:val="single" w:color="auto" w:sz="6" w:space="0"/>
                    <w:right w:val="single" w:color="auto" w:sz="12" w:space="0"/>
                  </w:tcBorders>
                  <w:vAlign w:val="center"/>
                </w:tcPr>
                <w:p w14:paraId="09D3223B">
                  <w:pPr>
                    <w:widowControl/>
                    <w:jc w:val="center"/>
                  </w:pPr>
                  <w:r>
                    <w:rPr>
                      <w:rFonts w:hint="eastAsia"/>
                    </w:rPr>
                    <w:t>生产车间</w:t>
                  </w:r>
                </w:p>
              </w:tc>
            </w:tr>
            <w:tr w14:paraId="349AFA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 w:hRule="atLeast"/>
                <w:jc w:val="center"/>
              </w:trPr>
              <w:tc>
                <w:tcPr>
                  <w:tcW w:w="853" w:type="pct"/>
                  <w:tcBorders>
                    <w:top w:val="single" w:color="auto" w:sz="6" w:space="0"/>
                    <w:left w:val="single" w:color="auto" w:sz="12" w:space="0"/>
                    <w:bottom w:val="single" w:color="auto" w:sz="6" w:space="0"/>
                    <w:right w:val="single" w:color="auto" w:sz="6" w:space="0"/>
                  </w:tcBorders>
                  <w:vAlign w:val="center"/>
                </w:tcPr>
                <w:p w14:paraId="73B2C582">
                  <w:pPr>
                    <w:widowControl/>
                    <w:jc w:val="center"/>
                  </w:pPr>
                  <w:r>
                    <w:rPr>
                      <w:rFonts w:hint="eastAsia"/>
                    </w:rPr>
                    <w:t>5</w:t>
                  </w:r>
                </w:p>
              </w:tc>
              <w:tc>
                <w:tcPr>
                  <w:tcW w:w="1949" w:type="pct"/>
                  <w:tcBorders>
                    <w:top w:val="single" w:color="auto" w:sz="6" w:space="0"/>
                    <w:left w:val="single" w:color="auto" w:sz="6" w:space="0"/>
                    <w:bottom w:val="single" w:color="auto" w:sz="6" w:space="0"/>
                    <w:right w:val="single" w:color="auto" w:sz="6" w:space="0"/>
                  </w:tcBorders>
                  <w:vAlign w:val="center"/>
                </w:tcPr>
                <w:p w14:paraId="2C500CCE">
                  <w:pPr>
                    <w:jc w:val="center"/>
                    <w:rPr>
                      <w:szCs w:val="21"/>
                    </w:rPr>
                  </w:pPr>
                  <w:r>
                    <w:rPr>
                      <w:rFonts w:hint="eastAsia"/>
                      <w:szCs w:val="21"/>
                    </w:rPr>
                    <w:t>边皮锯</w:t>
                  </w:r>
                </w:p>
              </w:tc>
              <w:tc>
                <w:tcPr>
                  <w:tcW w:w="1100" w:type="pct"/>
                  <w:tcBorders>
                    <w:top w:val="single" w:color="auto" w:sz="6" w:space="0"/>
                    <w:left w:val="single" w:color="auto" w:sz="6" w:space="0"/>
                    <w:bottom w:val="single" w:color="auto" w:sz="6" w:space="0"/>
                    <w:right w:val="single" w:color="auto" w:sz="6" w:space="0"/>
                  </w:tcBorders>
                  <w:vAlign w:val="center"/>
                </w:tcPr>
                <w:p w14:paraId="160808FD">
                  <w:pPr>
                    <w:widowControl/>
                    <w:jc w:val="center"/>
                  </w:pPr>
                  <w:r>
                    <w:rPr>
                      <w:rFonts w:hint="eastAsia"/>
                    </w:rPr>
                    <w:t>7</w:t>
                  </w:r>
                  <w:r>
                    <w:t>5</w:t>
                  </w:r>
                </w:p>
              </w:tc>
              <w:tc>
                <w:tcPr>
                  <w:tcW w:w="1098" w:type="pct"/>
                  <w:tcBorders>
                    <w:top w:val="single" w:color="auto" w:sz="6" w:space="0"/>
                    <w:left w:val="single" w:color="auto" w:sz="6" w:space="0"/>
                    <w:bottom w:val="single" w:color="auto" w:sz="6" w:space="0"/>
                    <w:right w:val="single" w:color="auto" w:sz="12" w:space="0"/>
                  </w:tcBorders>
                  <w:vAlign w:val="center"/>
                </w:tcPr>
                <w:p w14:paraId="4D4D96B2">
                  <w:pPr>
                    <w:widowControl/>
                    <w:jc w:val="center"/>
                  </w:pPr>
                  <w:r>
                    <w:rPr>
                      <w:rFonts w:hint="eastAsia"/>
                    </w:rPr>
                    <w:t>生产车间</w:t>
                  </w:r>
                </w:p>
              </w:tc>
            </w:tr>
            <w:tr w14:paraId="3E6630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 w:hRule="atLeast"/>
                <w:jc w:val="center"/>
              </w:trPr>
              <w:tc>
                <w:tcPr>
                  <w:tcW w:w="853" w:type="pct"/>
                  <w:tcBorders>
                    <w:top w:val="single" w:color="auto" w:sz="6" w:space="0"/>
                    <w:left w:val="single" w:color="auto" w:sz="12" w:space="0"/>
                    <w:bottom w:val="single" w:color="auto" w:sz="6" w:space="0"/>
                    <w:right w:val="single" w:color="auto" w:sz="6" w:space="0"/>
                  </w:tcBorders>
                  <w:vAlign w:val="center"/>
                </w:tcPr>
                <w:p w14:paraId="53F81C60">
                  <w:pPr>
                    <w:widowControl/>
                    <w:jc w:val="center"/>
                  </w:pPr>
                  <w:r>
                    <w:rPr>
                      <w:rFonts w:hint="eastAsia"/>
                    </w:rPr>
                    <w:t>6</w:t>
                  </w:r>
                </w:p>
              </w:tc>
              <w:tc>
                <w:tcPr>
                  <w:tcW w:w="1949" w:type="pct"/>
                  <w:tcBorders>
                    <w:top w:val="single" w:color="auto" w:sz="6" w:space="0"/>
                    <w:left w:val="single" w:color="auto" w:sz="6" w:space="0"/>
                    <w:bottom w:val="single" w:color="auto" w:sz="6" w:space="0"/>
                    <w:right w:val="single" w:color="auto" w:sz="6" w:space="0"/>
                  </w:tcBorders>
                  <w:vAlign w:val="center"/>
                </w:tcPr>
                <w:p w14:paraId="706574ED">
                  <w:pPr>
                    <w:jc w:val="center"/>
                    <w:rPr>
                      <w:szCs w:val="21"/>
                    </w:rPr>
                  </w:pPr>
                  <w:r>
                    <w:rPr>
                      <w:rFonts w:hint="eastAsia"/>
                      <w:szCs w:val="21"/>
                    </w:rPr>
                    <w:t>修边锯</w:t>
                  </w:r>
                </w:p>
              </w:tc>
              <w:tc>
                <w:tcPr>
                  <w:tcW w:w="1100" w:type="pct"/>
                  <w:tcBorders>
                    <w:top w:val="single" w:color="auto" w:sz="6" w:space="0"/>
                    <w:left w:val="single" w:color="auto" w:sz="6" w:space="0"/>
                    <w:bottom w:val="single" w:color="auto" w:sz="6" w:space="0"/>
                    <w:right w:val="single" w:color="auto" w:sz="6" w:space="0"/>
                  </w:tcBorders>
                  <w:vAlign w:val="center"/>
                </w:tcPr>
                <w:p w14:paraId="7F439112">
                  <w:pPr>
                    <w:widowControl/>
                    <w:jc w:val="center"/>
                  </w:pPr>
                  <w:r>
                    <w:rPr>
                      <w:rFonts w:hint="eastAsia"/>
                    </w:rPr>
                    <w:t>7</w:t>
                  </w:r>
                  <w:r>
                    <w:t>5</w:t>
                  </w:r>
                </w:p>
              </w:tc>
              <w:tc>
                <w:tcPr>
                  <w:tcW w:w="1098" w:type="pct"/>
                  <w:tcBorders>
                    <w:top w:val="single" w:color="auto" w:sz="6" w:space="0"/>
                    <w:left w:val="single" w:color="auto" w:sz="6" w:space="0"/>
                    <w:bottom w:val="single" w:color="auto" w:sz="6" w:space="0"/>
                    <w:right w:val="single" w:color="auto" w:sz="12" w:space="0"/>
                  </w:tcBorders>
                  <w:vAlign w:val="center"/>
                </w:tcPr>
                <w:p w14:paraId="5E214BCF">
                  <w:pPr>
                    <w:widowControl/>
                    <w:jc w:val="center"/>
                  </w:pPr>
                  <w:r>
                    <w:rPr>
                      <w:rFonts w:hint="eastAsia"/>
                    </w:rPr>
                    <w:t>生产车间</w:t>
                  </w:r>
                </w:p>
              </w:tc>
            </w:tr>
            <w:tr w14:paraId="5C76A9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 w:hRule="atLeast"/>
                <w:jc w:val="center"/>
              </w:trPr>
              <w:tc>
                <w:tcPr>
                  <w:tcW w:w="853" w:type="pct"/>
                  <w:tcBorders>
                    <w:top w:val="single" w:color="auto" w:sz="6" w:space="0"/>
                    <w:left w:val="single" w:color="auto" w:sz="12" w:space="0"/>
                    <w:bottom w:val="single" w:color="auto" w:sz="6" w:space="0"/>
                    <w:right w:val="single" w:color="auto" w:sz="6" w:space="0"/>
                  </w:tcBorders>
                  <w:vAlign w:val="center"/>
                </w:tcPr>
                <w:p w14:paraId="1C4FB277">
                  <w:pPr>
                    <w:widowControl/>
                    <w:jc w:val="center"/>
                  </w:pPr>
                  <w:r>
                    <w:rPr>
                      <w:rFonts w:hint="eastAsia"/>
                    </w:rPr>
                    <w:t>7</w:t>
                  </w:r>
                </w:p>
              </w:tc>
              <w:tc>
                <w:tcPr>
                  <w:tcW w:w="1949" w:type="pct"/>
                  <w:tcBorders>
                    <w:top w:val="single" w:color="auto" w:sz="6" w:space="0"/>
                    <w:left w:val="single" w:color="auto" w:sz="6" w:space="0"/>
                    <w:bottom w:val="single" w:color="auto" w:sz="6" w:space="0"/>
                    <w:right w:val="single" w:color="auto" w:sz="6" w:space="0"/>
                  </w:tcBorders>
                  <w:vAlign w:val="center"/>
                </w:tcPr>
                <w:p w14:paraId="387E418B">
                  <w:pPr>
                    <w:jc w:val="center"/>
                    <w:rPr>
                      <w:szCs w:val="21"/>
                    </w:rPr>
                  </w:pPr>
                  <w:r>
                    <w:rPr>
                      <w:rFonts w:hint="eastAsia"/>
                      <w:szCs w:val="21"/>
                    </w:rPr>
                    <w:t>削片机</w:t>
                  </w:r>
                </w:p>
              </w:tc>
              <w:tc>
                <w:tcPr>
                  <w:tcW w:w="1100" w:type="pct"/>
                  <w:tcBorders>
                    <w:top w:val="single" w:color="auto" w:sz="6" w:space="0"/>
                    <w:left w:val="single" w:color="auto" w:sz="6" w:space="0"/>
                    <w:bottom w:val="single" w:color="auto" w:sz="6" w:space="0"/>
                    <w:right w:val="single" w:color="auto" w:sz="6" w:space="0"/>
                  </w:tcBorders>
                  <w:vAlign w:val="center"/>
                </w:tcPr>
                <w:p w14:paraId="5EA541D1">
                  <w:pPr>
                    <w:widowControl/>
                    <w:jc w:val="center"/>
                  </w:pPr>
                  <w:r>
                    <w:rPr>
                      <w:rFonts w:hint="eastAsia"/>
                    </w:rPr>
                    <w:t>7</w:t>
                  </w:r>
                  <w:r>
                    <w:t>5</w:t>
                  </w:r>
                </w:p>
              </w:tc>
              <w:tc>
                <w:tcPr>
                  <w:tcW w:w="1098" w:type="pct"/>
                  <w:tcBorders>
                    <w:top w:val="single" w:color="auto" w:sz="6" w:space="0"/>
                    <w:left w:val="single" w:color="auto" w:sz="6" w:space="0"/>
                    <w:bottom w:val="single" w:color="auto" w:sz="6" w:space="0"/>
                    <w:right w:val="single" w:color="auto" w:sz="12" w:space="0"/>
                  </w:tcBorders>
                  <w:vAlign w:val="center"/>
                </w:tcPr>
                <w:p w14:paraId="04DAE458">
                  <w:pPr>
                    <w:widowControl/>
                    <w:jc w:val="center"/>
                  </w:pPr>
                  <w:r>
                    <w:rPr>
                      <w:rFonts w:hint="eastAsia"/>
                    </w:rPr>
                    <w:t>生产车间</w:t>
                  </w:r>
                </w:p>
              </w:tc>
            </w:tr>
            <w:tr w14:paraId="3B96CB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8" w:hRule="atLeast"/>
                <w:jc w:val="center"/>
              </w:trPr>
              <w:tc>
                <w:tcPr>
                  <w:tcW w:w="853" w:type="pct"/>
                  <w:tcBorders>
                    <w:top w:val="single" w:color="auto" w:sz="6" w:space="0"/>
                    <w:left w:val="single" w:color="auto" w:sz="12" w:space="0"/>
                    <w:bottom w:val="single" w:color="auto" w:sz="6" w:space="0"/>
                    <w:right w:val="single" w:color="auto" w:sz="6" w:space="0"/>
                  </w:tcBorders>
                  <w:vAlign w:val="center"/>
                </w:tcPr>
                <w:p w14:paraId="383F1B1A">
                  <w:pPr>
                    <w:widowControl/>
                    <w:jc w:val="center"/>
                  </w:pPr>
                  <w:r>
                    <w:rPr>
                      <w:rFonts w:hint="eastAsia"/>
                    </w:rPr>
                    <w:t>8</w:t>
                  </w:r>
                </w:p>
              </w:tc>
              <w:tc>
                <w:tcPr>
                  <w:tcW w:w="1949" w:type="pct"/>
                  <w:tcBorders>
                    <w:top w:val="single" w:color="auto" w:sz="6" w:space="0"/>
                    <w:left w:val="single" w:color="auto" w:sz="6" w:space="0"/>
                    <w:bottom w:val="single" w:color="auto" w:sz="6" w:space="0"/>
                    <w:right w:val="single" w:color="auto" w:sz="6" w:space="0"/>
                  </w:tcBorders>
                  <w:vAlign w:val="center"/>
                </w:tcPr>
                <w:p w14:paraId="67FF82BE">
                  <w:pPr>
                    <w:jc w:val="center"/>
                    <w:rPr>
                      <w:szCs w:val="21"/>
                    </w:rPr>
                  </w:pPr>
                  <w:r>
                    <w:rPr>
                      <w:rFonts w:hint="eastAsia"/>
                      <w:szCs w:val="21"/>
                    </w:rPr>
                    <w:t>抓木机</w:t>
                  </w:r>
                </w:p>
              </w:tc>
              <w:tc>
                <w:tcPr>
                  <w:tcW w:w="1100" w:type="pct"/>
                  <w:tcBorders>
                    <w:top w:val="single" w:color="auto" w:sz="6" w:space="0"/>
                    <w:left w:val="single" w:color="auto" w:sz="6" w:space="0"/>
                    <w:bottom w:val="single" w:color="auto" w:sz="6" w:space="0"/>
                    <w:right w:val="single" w:color="auto" w:sz="6" w:space="0"/>
                  </w:tcBorders>
                  <w:vAlign w:val="center"/>
                </w:tcPr>
                <w:p w14:paraId="5047AC1B">
                  <w:pPr>
                    <w:widowControl/>
                    <w:jc w:val="center"/>
                  </w:pPr>
                  <w:r>
                    <w:rPr>
                      <w:rFonts w:hint="eastAsia"/>
                    </w:rPr>
                    <w:t>7</w:t>
                  </w:r>
                  <w:r>
                    <w:t>0</w:t>
                  </w:r>
                </w:p>
              </w:tc>
              <w:tc>
                <w:tcPr>
                  <w:tcW w:w="1098" w:type="pct"/>
                  <w:tcBorders>
                    <w:top w:val="single" w:color="auto" w:sz="6" w:space="0"/>
                    <w:left w:val="single" w:color="auto" w:sz="6" w:space="0"/>
                    <w:bottom w:val="single" w:color="auto" w:sz="6" w:space="0"/>
                    <w:right w:val="single" w:color="auto" w:sz="12" w:space="0"/>
                  </w:tcBorders>
                  <w:vAlign w:val="center"/>
                </w:tcPr>
                <w:p w14:paraId="68A27607">
                  <w:pPr>
                    <w:widowControl/>
                    <w:jc w:val="center"/>
                  </w:pPr>
                  <w:r>
                    <w:rPr>
                      <w:rFonts w:hint="eastAsia"/>
                    </w:rPr>
                    <w:t>生产车间</w:t>
                  </w:r>
                </w:p>
              </w:tc>
            </w:tr>
            <w:tr w14:paraId="7F2676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8" w:hRule="atLeast"/>
                <w:jc w:val="center"/>
              </w:trPr>
              <w:tc>
                <w:tcPr>
                  <w:tcW w:w="853" w:type="pct"/>
                  <w:tcBorders>
                    <w:top w:val="single" w:color="auto" w:sz="6" w:space="0"/>
                    <w:left w:val="single" w:color="auto" w:sz="12" w:space="0"/>
                    <w:bottom w:val="single" w:color="auto" w:sz="12" w:space="0"/>
                    <w:right w:val="single" w:color="auto" w:sz="6" w:space="0"/>
                  </w:tcBorders>
                  <w:vAlign w:val="center"/>
                </w:tcPr>
                <w:p w14:paraId="4765AE3A">
                  <w:pPr>
                    <w:widowControl/>
                    <w:jc w:val="center"/>
                  </w:pPr>
                  <w:r>
                    <w:rPr>
                      <w:rFonts w:hint="eastAsia"/>
                    </w:rPr>
                    <w:t>9</w:t>
                  </w:r>
                </w:p>
              </w:tc>
              <w:tc>
                <w:tcPr>
                  <w:tcW w:w="1949" w:type="pct"/>
                  <w:tcBorders>
                    <w:top w:val="single" w:color="auto" w:sz="6" w:space="0"/>
                    <w:left w:val="single" w:color="auto" w:sz="6" w:space="0"/>
                    <w:bottom w:val="single" w:color="auto" w:sz="12" w:space="0"/>
                    <w:right w:val="single" w:color="auto" w:sz="6" w:space="0"/>
                  </w:tcBorders>
                  <w:vAlign w:val="center"/>
                </w:tcPr>
                <w:p w14:paraId="22D9D1FF">
                  <w:pPr>
                    <w:jc w:val="center"/>
                    <w:rPr>
                      <w:szCs w:val="21"/>
                    </w:rPr>
                  </w:pPr>
                  <w:r>
                    <w:rPr>
                      <w:rFonts w:hint="eastAsia"/>
                      <w:szCs w:val="21"/>
                    </w:rPr>
                    <w:t>叉车</w:t>
                  </w:r>
                </w:p>
              </w:tc>
              <w:tc>
                <w:tcPr>
                  <w:tcW w:w="1100" w:type="pct"/>
                  <w:tcBorders>
                    <w:top w:val="single" w:color="auto" w:sz="6" w:space="0"/>
                    <w:left w:val="single" w:color="auto" w:sz="6" w:space="0"/>
                    <w:bottom w:val="single" w:color="auto" w:sz="12" w:space="0"/>
                    <w:right w:val="single" w:color="auto" w:sz="6" w:space="0"/>
                  </w:tcBorders>
                  <w:vAlign w:val="center"/>
                </w:tcPr>
                <w:p w14:paraId="1959DED5">
                  <w:pPr>
                    <w:widowControl/>
                    <w:jc w:val="center"/>
                  </w:pPr>
                  <w:r>
                    <w:rPr>
                      <w:rFonts w:hint="eastAsia"/>
                    </w:rPr>
                    <w:t>6</w:t>
                  </w:r>
                  <w:r>
                    <w:t>5</w:t>
                  </w:r>
                </w:p>
              </w:tc>
              <w:tc>
                <w:tcPr>
                  <w:tcW w:w="1098" w:type="pct"/>
                  <w:tcBorders>
                    <w:top w:val="single" w:color="auto" w:sz="6" w:space="0"/>
                    <w:left w:val="single" w:color="auto" w:sz="6" w:space="0"/>
                    <w:bottom w:val="single" w:color="auto" w:sz="12" w:space="0"/>
                    <w:right w:val="single" w:color="auto" w:sz="12" w:space="0"/>
                  </w:tcBorders>
                  <w:vAlign w:val="center"/>
                </w:tcPr>
                <w:p w14:paraId="27C657E3">
                  <w:pPr>
                    <w:widowControl/>
                    <w:jc w:val="center"/>
                  </w:pPr>
                  <w:r>
                    <w:rPr>
                      <w:rFonts w:hint="eastAsia"/>
                    </w:rPr>
                    <w:t>生产车间</w:t>
                  </w:r>
                </w:p>
              </w:tc>
            </w:tr>
          </w:tbl>
          <w:p w14:paraId="4873D553">
            <w:pPr>
              <w:spacing w:line="360" w:lineRule="auto"/>
              <w:ind w:right="77" w:rightChars="37" w:firstLine="480" w:firstLineChars="200"/>
              <w:rPr>
                <w:b/>
                <w:bCs/>
                <w:sz w:val="24"/>
                <w:lang w:val="en-GB"/>
              </w:rPr>
            </w:pPr>
            <w:r>
              <w:rPr>
                <w:b/>
                <w:bCs/>
                <w:sz w:val="24"/>
              </w:rPr>
              <w:t>治理</w:t>
            </w:r>
            <w:r>
              <w:rPr>
                <w:b/>
                <w:bCs/>
                <w:sz w:val="24"/>
                <w:lang w:val="en-GB"/>
              </w:rPr>
              <w:t>措施：</w:t>
            </w:r>
          </w:p>
          <w:p w14:paraId="1ECBA4C6">
            <w:pPr>
              <w:spacing w:line="360" w:lineRule="auto"/>
              <w:ind w:firstLine="364" w:firstLineChars="152"/>
              <w:rPr>
                <w:color w:val="FF0000"/>
                <w:sz w:val="24"/>
              </w:rPr>
            </w:pPr>
            <w:r>
              <w:rPr>
                <w:color w:val="FF0000"/>
                <w:sz w:val="24"/>
              </w:rPr>
              <w:t>为确保项目厂界噪声达标排放，项目拟采取以下措施进行防护：</w:t>
            </w:r>
          </w:p>
          <w:p w14:paraId="057D0EAF">
            <w:pPr>
              <w:spacing w:line="360" w:lineRule="auto"/>
              <w:ind w:firstLine="364" w:firstLineChars="152"/>
              <w:rPr>
                <w:color w:val="FF0000"/>
                <w:sz w:val="24"/>
              </w:rPr>
            </w:pPr>
            <w:r>
              <w:rPr>
                <w:color w:val="FF0000"/>
                <w:sz w:val="24"/>
              </w:rPr>
              <w:fldChar w:fldCharType="begin"/>
            </w:r>
            <w:r>
              <w:rPr>
                <w:color w:val="FF0000"/>
                <w:sz w:val="24"/>
              </w:rPr>
              <w:instrText xml:space="preserve"> = 1 \* roman </w:instrText>
            </w:r>
            <w:r>
              <w:rPr>
                <w:color w:val="FF0000"/>
                <w:sz w:val="24"/>
              </w:rPr>
              <w:fldChar w:fldCharType="separate"/>
            </w:r>
            <w:r>
              <w:rPr>
                <w:color w:val="FF0000"/>
                <w:sz w:val="24"/>
              </w:rPr>
              <w:t>i</w:t>
            </w:r>
            <w:r>
              <w:rPr>
                <w:color w:val="FF0000"/>
                <w:sz w:val="24"/>
              </w:rPr>
              <w:fldChar w:fldCharType="end"/>
            </w:r>
            <w:r>
              <w:rPr>
                <w:color w:val="FF0000"/>
                <w:sz w:val="24"/>
              </w:rPr>
              <w:t>、</w:t>
            </w:r>
            <w:r>
              <w:rPr>
                <w:rFonts w:hint="eastAsia"/>
                <w:color w:val="FF0000"/>
                <w:sz w:val="24"/>
              </w:rPr>
              <w:t>设备减震降噪措施，购买的设备均为低噪声的设备，各生产设备设置台基减震、橡胶减震、接头及减震垫等减震设施，降低设备的运行噪声。在生产运转时定期对设备进行检查，保证设备正常运转</w:t>
            </w:r>
            <w:r>
              <w:rPr>
                <w:color w:val="FF0000"/>
                <w:sz w:val="24"/>
              </w:rPr>
              <w:t>；</w:t>
            </w:r>
          </w:p>
          <w:p w14:paraId="29A8FF61">
            <w:pPr>
              <w:spacing w:line="360" w:lineRule="auto"/>
              <w:ind w:firstLine="364" w:firstLineChars="152"/>
              <w:rPr>
                <w:color w:val="FF0000"/>
                <w:sz w:val="24"/>
              </w:rPr>
            </w:pPr>
            <w:r>
              <w:rPr>
                <w:color w:val="FF0000"/>
                <w:sz w:val="24"/>
              </w:rPr>
              <w:fldChar w:fldCharType="begin"/>
            </w:r>
            <w:r>
              <w:rPr>
                <w:color w:val="FF0000"/>
                <w:sz w:val="24"/>
              </w:rPr>
              <w:instrText xml:space="preserve"> = 2 \* roman </w:instrText>
            </w:r>
            <w:r>
              <w:rPr>
                <w:color w:val="FF0000"/>
                <w:sz w:val="24"/>
              </w:rPr>
              <w:fldChar w:fldCharType="separate"/>
            </w:r>
            <w:r>
              <w:rPr>
                <w:color w:val="FF0000"/>
                <w:sz w:val="24"/>
              </w:rPr>
              <w:t>ii</w:t>
            </w:r>
            <w:r>
              <w:rPr>
                <w:color w:val="FF0000"/>
                <w:sz w:val="24"/>
              </w:rPr>
              <w:fldChar w:fldCharType="end"/>
            </w:r>
            <w:r>
              <w:rPr>
                <w:color w:val="FF0000"/>
                <w:sz w:val="24"/>
              </w:rPr>
              <w:t>、利用地势，对生产设备进行合理布局，所有产噪设备均布置在厂房车间内，以降低噪声影响。</w:t>
            </w:r>
          </w:p>
          <w:p w14:paraId="2309BDDE">
            <w:pPr>
              <w:spacing w:line="360" w:lineRule="auto"/>
              <w:ind w:firstLine="364" w:firstLineChars="152"/>
              <w:rPr>
                <w:color w:val="FF0000"/>
                <w:sz w:val="24"/>
              </w:rPr>
            </w:pPr>
            <w:r>
              <w:rPr>
                <w:rFonts w:hint="eastAsia"/>
                <w:color w:val="FF0000"/>
                <w:sz w:val="24"/>
                <w:lang w:eastAsia="zh-CN"/>
              </w:rPr>
              <w:t>Ⅲ</w:t>
            </w:r>
            <w:r>
              <w:rPr>
                <w:rFonts w:hint="eastAsia"/>
                <w:color w:val="FF0000"/>
                <w:sz w:val="24"/>
              </w:rPr>
              <w:t>、并注意日常保养维护，防止不正常运转造成噪声值异常升高；</w:t>
            </w:r>
          </w:p>
          <w:p w14:paraId="06721B64">
            <w:pPr>
              <w:spacing w:line="360" w:lineRule="auto"/>
              <w:ind w:firstLine="364" w:firstLineChars="152"/>
              <w:rPr>
                <w:b/>
                <w:sz w:val="24"/>
              </w:rPr>
            </w:pPr>
            <w:r>
              <w:rPr>
                <w:rFonts w:hint="eastAsia"/>
                <w:b/>
                <w:sz w:val="24"/>
              </w:rPr>
              <w:t>（</w:t>
            </w:r>
            <w:r>
              <w:rPr>
                <w:b/>
                <w:sz w:val="24"/>
              </w:rPr>
              <w:t>4</w:t>
            </w:r>
            <w:r>
              <w:rPr>
                <w:rFonts w:hint="eastAsia"/>
                <w:b/>
                <w:sz w:val="24"/>
              </w:rPr>
              <w:t>）营运期固废的排放和治理</w:t>
            </w:r>
          </w:p>
          <w:p w14:paraId="62918ADE">
            <w:pPr>
              <w:spacing w:line="480" w:lineRule="exact"/>
              <w:ind w:firstLine="564" w:firstLineChars="235"/>
              <w:outlineLvl w:val="1"/>
              <w:rPr>
                <w:sz w:val="24"/>
              </w:rPr>
            </w:pPr>
            <w:r>
              <w:rPr>
                <w:rFonts w:hint="eastAsia"/>
                <w:sz w:val="24"/>
              </w:rPr>
              <w:t>本项目固体废弃物主要为员工生活垃圾、树皮、木材边角料及锯末颗粒等。</w:t>
            </w:r>
          </w:p>
          <w:p w14:paraId="048941B1">
            <w:pPr>
              <w:tabs>
                <w:tab w:val="left" w:pos="5670"/>
              </w:tabs>
              <w:spacing w:line="480" w:lineRule="exact"/>
              <w:ind w:firstLine="566" w:firstLineChars="236"/>
              <w:rPr>
                <w:bCs/>
                <w:sz w:val="24"/>
              </w:rPr>
            </w:pPr>
            <w:r>
              <w:rPr>
                <w:rFonts w:hint="eastAsia"/>
                <w:bCs/>
                <w:sz w:val="24"/>
              </w:rPr>
              <w:t>①生活垃圾</w:t>
            </w:r>
          </w:p>
          <w:p w14:paraId="20A9CB04">
            <w:pPr>
              <w:spacing w:line="480" w:lineRule="exact"/>
              <w:ind w:firstLine="564" w:firstLineChars="235"/>
              <w:outlineLvl w:val="1"/>
              <w:rPr>
                <w:sz w:val="24"/>
                <w:lang w:val="en-GB"/>
              </w:rPr>
            </w:pPr>
            <w:r>
              <w:rPr>
                <w:rFonts w:hint="eastAsia"/>
                <w:sz w:val="24"/>
                <w:lang w:val="en-GB"/>
              </w:rPr>
              <w:t>项目劳动定员</w:t>
            </w:r>
            <w:r>
              <w:rPr>
                <w:sz w:val="24"/>
                <w:lang w:val="en-GB"/>
              </w:rPr>
              <w:t>8</w:t>
            </w:r>
            <w:r>
              <w:rPr>
                <w:rFonts w:hint="eastAsia"/>
                <w:sz w:val="24"/>
                <w:lang w:val="en-GB"/>
              </w:rPr>
              <w:t>人，人均垃圾产生量以</w:t>
            </w:r>
            <w:r>
              <w:rPr>
                <w:sz w:val="24"/>
                <w:lang w:val="en-GB"/>
              </w:rPr>
              <w:t>0.5kg/d</w:t>
            </w:r>
            <w:r>
              <w:rPr>
                <w:rFonts w:hint="eastAsia"/>
                <w:sz w:val="24"/>
                <w:lang w:val="en-GB"/>
              </w:rPr>
              <w:t>计算，则垃圾产生量为</w:t>
            </w:r>
            <w:r>
              <w:rPr>
                <w:sz w:val="24"/>
                <w:lang w:val="en-GB"/>
              </w:rPr>
              <w:t>4kg/d</w:t>
            </w:r>
            <w:r>
              <w:rPr>
                <w:rFonts w:hint="eastAsia"/>
                <w:sz w:val="24"/>
                <w:lang w:val="en-GB"/>
              </w:rPr>
              <w:t>，经计算可以得出该项目营运产生生活垃圾</w:t>
            </w:r>
            <w:r>
              <w:rPr>
                <w:sz w:val="24"/>
                <w:lang w:val="en-GB"/>
              </w:rPr>
              <w:t>1.2t/a</w:t>
            </w:r>
            <w:r>
              <w:rPr>
                <w:rFonts w:hint="eastAsia"/>
                <w:sz w:val="24"/>
                <w:lang w:val="en-GB"/>
              </w:rPr>
              <w:t>。</w:t>
            </w:r>
          </w:p>
          <w:p w14:paraId="2CDE1645">
            <w:pPr>
              <w:spacing w:line="480" w:lineRule="exact"/>
              <w:ind w:firstLine="564" w:firstLineChars="235"/>
              <w:outlineLvl w:val="1"/>
              <w:rPr>
                <w:sz w:val="24"/>
                <w:lang w:val="en-GB"/>
              </w:rPr>
            </w:pPr>
            <w:r>
              <w:rPr>
                <w:rFonts w:hint="eastAsia"/>
                <w:b/>
                <w:sz w:val="24"/>
                <w:lang w:val="en-GB"/>
              </w:rPr>
              <w:t>治理措施：</w:t>
            </w:r>
            <w:r>
              <w:rPr>
                <w:rFonts w:hint="eastAsia"/>
                <w:bCs/>
                <w:sz w:val="24"/>
              </w:rPr>
              <w:t>项目厂区设置塑料垃圾收集桶或垃圾箱，将员工产生的生活垃圾集中收集后，自行清运至平等乡垃圾收集点，由村委会清运处理。</w:t>
            </w:r>
          </w:p>
          <w:p w14:paraId="6FDCE712">
            <w:pPr>
              <w:tabs>
                <w:tab w:val="left" w:pos="5670"/>
              </w:tabs>
              <w:spacing w:line="480" w:lineRule="exact"/>
              <w:ind w:firstLine="566" w:firstLineChars="236"/>
              <w:rPr>
                <w:sz w:val="24"/>
                <w:lang w:val="en-GB"/>
              </w:rPr>
            </w:pPr>
            <w:r>
              <w:rPr>
                <w:rFonts w:hint="eastAsia"/>
                <w:bCs/>
                <w:sz w:val="24"/>
              </w:rPr>
              <w:t>②</w:t>
            </w:r>
            <w:r>
              <w:rPr>
                <w:rFonts w:hint="eastAsia"/>
                <w:sz w:val="24"/>
                <w:lang w:val="en-GB"/>
              </w:rPr>
              <w:t>木材边角料</w:t>
            </w:r>
          </w:p>
          <w:p w14:paraId="08999940">
            <w:pPr>
              <w:spacing w:line="480" w:lineRule="exact"/>
              <w:ind w:firstLine="564" w:firstLineChars="235"/>
              <w:outlineLvl w:val="1"/>
              <w:rPr>
                <w:sz w:val="24"/>
                <w:lang w:val="en-GB"/>
              </w:rPr>
            </w:pPr>
            <w:r>
              <w:rPr>
                <w:rFonts w:hint="eastAsia"/>
                <w:sz w:val="24"/>
                <w:lang w:val="en-GB"/>
              </w:rPr>
              <w:t>项目在断料、锯料等工序会产生大量树皮及边角料，产生量约</w:t>
            </w:r>
            <w:r>
              <w:rPr>
                <w:sz w:val="24"/>
                <w:lang w:val="en-GB"/>
              </w:rPr>
              <w:t>682.29m</w:t>
            </w:r>
            <w:r>
              <w:rPr>
                <w:sz w:val="24"/>
                <w:vertAlign w:val="superscript"/>
                <w:lang w:val="en-GB"/>
              </w:rPr>
              <w:t>3</w:t>
            </w:r>
            <w:r>
              <w:rPr>
                <w:sz w:val="24"/>
                <w:lang w:val="en-GB"/>
              </w:rPr>
              <w:t>/a</w:t>
            </w:r>
            <w:r>
              <w:rPr>
                <w:rFonts w:hint="eastAsia"/>
                <w:sz w:val="24"/>
                <w:lang w:val="en-GB"/>
              </w:rPr>
              <w:t>（约</w:t>
            </w:r>
            <w:r>
              <w:rPr>
                <w:sz w:val="24"/>
                <w:lang w:val="en-GB"/>
              </w:rPr>
              <w:t>300t/a</w:t>
            </w:r>
            <w:r>
              <w:rPr>
                <w:rFonts w:hint="eastAsia"/>
                <w:sz w:val="24"/>
                <w:lang w:val="en-GB"/>
              </w:rPr>
              <w:t>）。</w:t>
            </w:r>
          </w:p>
          <w:p w14:paraId="20F6879E">
            <w:pPr>
              <w:spacing w:line="480" w:lineRule="exact"/>
              <w:ind w:firstLine="564" w:firstLineChars="235"/>
              <w:outlineLvl w:val="1"/>
              <w:rPr>
                <w:sz w:val="24"/>
                <w:lang w:val="en-GB"/>
              </w:rPr>
            </w:pPr>
            <w:r>
              <w:rPr>
                <w:rFonts w:hint="eastAsia"/>
                <w:b/>
                <w:sz w:val="24"/>
                <w:lang w:val="en-GB"/>
              </w:rPr>
              <w:t>治理措施：</w:t>
            </w:r>
            <w:r>
              <w:rPr>
                <w:sz w:val="24"/>
                <w:lang w:val="en-GB"/>
              </w:rPr>
              <w:t>设置一般固废堆场并合理规划分区，暂存点修建做到“三围一挡”，及时清扫。将树皮及木材边角料堆码于项目一般固废堆场，袋装堆存，地面硬化处理，定期外售。</w:t>
            </w:r>
          </w:p>
          <w:p w14:paraId="18675E0A">
            <w:pPr>
              <w:spacing w:line="480" w:lineRule="exact"/>
              <w:ind w:firstLine="564" w:firstLineChars="235"/>
              <w:outlineLvl w:val="1"/>
              <w:rPr>
                <w:sz w:val="24"/>
                <w:lang w:val="en-GB"/>
              </w:rPr>
            </w:pPr>
            <w:r>
              <w:rPr>
                <w:rFonts w:hint="eastAsia"/>
                <w:sz w:val="24"/>
                <w:lang w:val="en-GB"/>
              </w:rPr>
              <w:t>③锯末颗粒</w:t>
            </w:r>
          </w:p>
          <w:p w14:paraId="508F5EE1">
            <w:pPr>
              <w:spacing w:line="480" w:lineRule="exact"/>
              <w:ind w:firstLine="564" w:firstLineChars="235"/>
              <w:outlineLvl w:val="1"/>
              <w:rPr>
                <w:sz w:val="24"/>
                <w:lang w:val="en-GB"/>
              </w:rPr>
            </w:pPr>
            <w:r>
              <w:rPr>
                <w:rFonts w:hint="eastAsia"/>
                <w:sz w:val="24"/>
                <w:lang w:val="en-GB"/>
              </w:rPr>
              <w:t>项目在断料、锯料等工序，设备运行产生大量的锯末粉末，尤其是在锯料工序。根据第二次全国污染源普查工业污染源普查《工业源系数手册 20</w:t>
            </w:r>
            <w:r>
              <w:rPr>
                <w:rFonts w:hint="eastAsia"/>
                <w:sz w:val="24"/>
                <w:lang w:val="en-GB" w:eastAsia="zh-CN"/>
              </w:rPr>
              <w:t>－</w:t>
            </w:r>
            <w:r>
              <w:rPr>
                <w:rFonts w:hint="eastAsia"/>
                <w:sz w:val="24"/>
                <w:lang w:val="en-GB"/>
              </w:rPr>
              <w:t>木材加工系数手册》（初稿），其中下料</w:t>
            </w:r>
            <w:r>
              <w:rPr>
                <w:rFonts w:hint="eastAsia"/>
                <w:sz w:val="24"/>
                <w:lang w:val="en-GB" w:eastAsia="zh-CN"/>
              </w:rPr>
              <w:t>－</w:t>
            </w:r>
            <w:r>
              <w:rPr>
                <w:rFonts w:hint="eastAsia"/>
                <w:sz w:val="24"/>
                <w:lang w:val="en-GB"/>
              </w:rPr>
              <w:t>锯材、木片、单板-原木-锯切 颗粒物产污系数0.243千克/立方米</w:t>
            </w:r>
            <w:r>
              <w:rPr>
                <w:rFonts w:hint="eastAsia"/>
                <w:sz w:val="24"/>
                <w:lang w:val="en-GB" w:eastAsia="zh-CN"/>
              </w:rPr>
              <w:t>－</w:t>
            </w:r>
            <w:r>
              <w:rPr>
                <w:rFonts w:hint="eastAsia"/>
                <w:sz w:val="24"/>
                <w:lang w:val="en-GB"/>
              </w:rPr>
              <w:t>产品”。项目锯末粉颗粒在自重作用下沉降，产生量约</w:t>
            </w:r>
            <w:r>
              <w:rPr>
                <w:sz w:val="24"/>
                <w:lang w:val="en-GB"/>
              </w:rPr>
              <w:t>8.30m</w:t>
            </w:r>
            <w:r>
              <w:rPr>
                <w:sz w:val="24"/>
                <w:vertAlign w:val="superscript"/>
                <w:lang w:val="en-GB"/>
              </w:rPr>
              <w:t>3</w:t>
            </w:r>
            <w:r>
              <w:rPr>
                <w:sz w:val="24"/>
                <w:lang w:val="en-GB"/>
              </w:rPr>
              <w:t>/a</w:t>
            </w:r>
            <w:r>
              <w:rPr>
                <w:rFonts w:hint="eastAsia"/>
                <w:sz w:val="24"/>
                <w:lang w:val="en-GB"/>
              </w:rPr>
              <w:t>（约</w:t>
            </w:r>
            <w:r>
              <w:rPr>
                <w:sz w:val="24"/>
                <w:lang w:val="en-GB"/>
              </w:rPr>
              <w:t>3.65t/a</w:t>
            </w:r>
            <w:r>
              <w:rPr>
                <w:rFonts w:hint="eastAsia"/>
                <w:sz w:val="24"/>
                <w:lang w:val="en-GB"/>
              </w:rPr>
              <w:t>）。</w:t>
            </w:r>
          </w:p>
          <w:p w14:paraId="0CFA85C9">
            <w:pPr>
              <w:spacing w:line="480" w:lineRule="exact"/>
              <w:ind w:firstLine="564" w:firstLineChars="235"/>
              <w:outlineLvl w:val="1"/>
              <w:rPr>
                <w:sz w:val="24"/>
                <w:lang w:val="en-GB"/>
              </w:rPr>
            </w:pPr>
            <w:r>
              <w:rPr>
                <w:rFonts w:hint="eastAsia"/>
                <w:sz w:val="24"/>
                <w:lang w:val="en-GB"/>
              </w:rPr>
              <w:t>锯末颗粒：0</w:t>
            </w:r>
            <w:r>
              <w:rPr>
                <w:sz w:val="24"/>
                <w:lang w:val="en-GB"/>
              </w:rPr>
              <w:t>.243*15000/1000</w:t>
            </w:r>
            <w:r>
              <w:rPr>
                <w:rFonts w:hint="eastAsia"/>
                <w:sz w:val="24"/>
                <w:lang w:val="en-GB"/>
              </w:rPr>
              <w:t>=</w:t>
            </w:r>
            <w:r>
              <w:rPr>
                <w:sz w:val="24"/>
                <w:lang w:val="en-GB"/>
              </w:rPr>
              <w:t>3.65</w:t>
            </w:r>
            <w:r>
              <w:rPr>
                <w:rFonts w:hint="eastAsia"/>
                <w:sz w:val="24"/>
                <w:lang w:val="en-GB"/>
              </w:rPr>
              <w:t>t</w:t>
            </w:r>
            <w:r>
              <w:rPr>
                <w:sz w:val="24"/>
                <w:lang w:val="en-GB"/>
              </w:rPr>
              <w:t>/</w:t>
            </w:r>
            <w:r>
              <w:rPr>
                <w:rFonts w:hint="eastAsia"/>
                <w:sz w:val="24"/>
                <w:lang w:val="en-GB"/>
              </w:rPr>
              <w:t>a。</w:t>
            </w:r>
          </w:p>
          <w:p w14:paraId="2737AEE3">
            <w:pPr>
              <w:spacing w:line="480" w:lineRule="exact"/>
              <w:ind w:firstLine="564" w:firstLineChars="235"/>
              <w:outlineLvl w:val="1"/>
              <w:rPr>
                <w:sz w:val="24"/>
                <w:lang w:val="en-GB"/>
              </w:rPr>
            </w:pPr>
            <w:r>
              <w:rPr>
                <w:rFonts w:hint="eastAsia"/>
                <w:b/>
                <w:sz w:val="24"/>
                <w:lang w:val="en-GB"/>
              </w:rPr>
              <w:t>治理措施：</w:t>
            </w:r>
            <w:r>
              <w:rPr>
                <w:rFonts w:hint="eastAsia"/>
                <w:sz w:val="24"/>
                <w:lang w:val="en-GB"/>
              </w:rPr>
              <w:t>原木含水率较高（</w:t>
            </w:r>
            <w:r>
              <w:rPr>
                <w:rFonts w:hint="eastAsia"/>
                <w:sz w:val="24"/>
              </w:rPr>
              <w:t>含水率为</w:t>
            </w:r>
            <w:r>
              <w:rPr>
                <w:sz w:val="24"/>
              </w:rPr>
              <w:t>40</w:t>
            </w:r>
            <w:r>
              <w:rPr>
                <w:rFonts w:hint="eastAsia"/>
                <w:sz w:val="24"/>
              </w:rPr>
              <w:t>％～</w:t>
            </w:r>
            <w:r>
              <w:rPr>
                <w:sz w:val="24"/>
              </w:rPr>
              <w:t>55</w:t>
            </w:r>
            <w:r>
              <w:rPr>
                <w:rFonts w:hint="eastAsia"/>
                <w:sz w:val="24"/>
              </w:rPr>
              <w:t>％</w:t>
            </w:r>
            <w:r>
              <w:rPr>
                <w:rFonts w:hint="eastAsia"/>
                <w:sz w:val="24"/>
                <w:lang w:val="en-GB"/>
              </w:rPr>
              <w:t>），锯末粉颗粒在自重作用下沉降，每日清扫收集至袋装，定期外售。</w:t>
            </w:r>
          </w:p>
          <w:p w14:paraId="2D7C6A13">
            <w:pPr>
              <w:spacing w:line="480" w:lineRule="exact"/>
              <w:ind w:firstLine="564" w:firstLineChars="235"/>
              <w:outlineLvl w:val="1"/>
              <w:rPr>
                <w:sz w:val="24"/>
                <w:lang w:val="en-GB"/>
              </w:rPr>
            </w:pPr>
            <w:r>
              <w:rPr>
                <w:rFonts w:hint="eastAsia"/>
                <w:sz w:val="24"/>
                <w:lang w:val="en-GB"/>
              </w:rPr>
              <w:t>④废木屑</w:t>
            </w:r>
          </w:p>
          <w:p w14:paraId="18FE36C4">
            <w:pPr>
              <w:spacing w:line="480" w:lineRule="exact"/>
              <w:ind w:firstLine="564" w:firstLineChars="235"/>
              <w:outlineLvl w:val="1"/>
              <w:rPr>
                <w:sz w:val="24"/>
                <w:lang w:val="en-GB"/>
              </w:rPr>
            </w:pPr>
            <w:r>
              <w:rPr>
                <w:rFonts w:hint="eastAsia"/>
                <w:sz w:val="24"/>
                <w:lang w:val="en-GB"/>
              </w:rPr>
              <w:t>根据业主介绍，生产过程中废木屑（锯木面）的产生量约</w:t>
            </w:r>
            <w:r>
              <w:rPr>
                <w:sz w:val="24"/>
                <w:lang w:val="en-GB"/>
              </w:rPr>
              <w:t>600</w:t>
            </w:r>
            <w:r>
              <w:rPr>
                <w:rFonts w:hint="eastAsia"/>
                <w:sz w:val="24"/>
                <w:lang w:val="en-GB"/>
              </w:rPr>
              <w:t>m</w:t>
            </w:r>
            <w:r>
              <w:rPr>
                <w:sz w:val="24"/>
                <w:vertAlign w:val="superscript"/>
                <w:lang w:val="en-GB"/>
              </w:rPr>
              <w:t>3</w:t>
            </w:r>
            <w:r>
              <w:rPr>
                <w:sz w:val="24"/>
                <w:lang w:val="en-GB"/>
              </w:rPr>
              <w:t>/</w:t>
            </w:r>
            <w:r>
              <w:rPr>
                <w:rFonts w:hint="eastAsia"/>
                <w:sz w:val="24"/>
                <w:lang w:val="en-GB"/>
              </w:rPr>
              <w:t>a（约</w:t>
            </w:r>
            <w:r>
              <w:rPr>
                <w:sz w:val="24"/>
                <w:lang w:val="en-GB"/>
              </w:rPr>
              <w:t>263.82</w:t>
            </w:r>
            <w:r>
              <w:rPr>
                <w:rFonts w:hint="eastAsia"/>
                <w:sz w:val="24"/>
                <w:lang w:val="en-GB"/>
              </w:rPr>
              <w:t>t/a）。</w:t>
            </w:r>
          </w:p>
          <w:p w14:paraId="0FDA0142">
            <w:pPr>
              <w:spacing w:line="480" w:lineRule="exact"/>
              <w:ind w:firstLine="564" w:firstLineChars="235"/>
              <w:outlineLvl w:val="1"/>
              <w:rPr>
                <w:sz w:val="24"/>
                <w:lang w:val="en-GB"/>
              </w:rPr>
            </w:pPr>
            <w:r>
              <w:rPr>
                <w:b/>
                <w:sz w:val="24"/>
                <w:lang w:val="en-GB"/>
              </w:rPr>
              <w:t>治理措施：</w:t>
            </w:r>
            <w:r>
              <w:rPr>
                <w:sz w:val="24"/>
                <w:lang w:val="en-GB"/>
              </w:rPr>
              <w:t>设置一般固废堆场并合理规划分区，暂存点修建做到“三围一挡”，及时清扫。将废木屑与树皮及木材边角料堆码于项目一般固废堆场，袋装堆存，地面硬化处理，定期外售。</w:t>
            </w:r>
          </w:p>
          <w:p w14:paraId="1E3D0971">
            <w:pPr>
              <w:spacing w:line="480" w:lineRule="exact"/>
              <w:ind w:firstLine="564" w:firstLineChars="235"/>
              <w:outlineLvl w:val="1"/>
              <w:rPr>
                <w:sz w:val="24"/>
                <w:lang w:val="en-GB"/>
              </w:rPr>
            </w:pPr>
            <w:r>
              <w:rPr>
                <w:rFonts w:hint="eastAsia"/>
                <w:sz w:val="24"/>
                <w:lang w:val="en-GB"/>
              </w:rPr>
              <w:t>⑤损坏设备零件</w:t>
            </w:r>
          </w:p>
          <w:p w14:paraId="269FF8C3">
            <w:pPr>
              <w:spacing w:line="480" w:lineRule="exact"/>
              <w:ind w:firstLine="564" w:firstLineChars="235"/>
              <w:outlineLvl w:val="1"/>
              <w:rPr>
                <w:sz w:val="24"/>
                <w:lang w:val="en-GB"/>
              </w:rPr>
            </w:pPr>
            <w:r>
              <w:rPr>
                <w:rFonts w:hint="eastAsia"/>
                <w:sz w:val="24"/>
                <w:lang w:val="en-GB"/>
              </w:rPr>
              <w:t>项目设备长期运行，难免损耗不能再使用，需要及时更换，由此产生少量废零件，约</w:t>
            </w:r>
            <w:r>
              <w:rPr>
                <w:sz w:val="24"/>
                <w:lang w:val="en-GB"/>
              </w:rPr>
              <w:t>0.5 t/a</w:t>
            </w:r>
            <w:r>
              <w:rPr>
                <w:rFonts w:hint="eastAsia"/>
                <w:sz w:val="24"/>
                <w:lang w:val="en-GB"/>
              </w:rPr>
              <w:t>，主要为铁质。</w:t>
            </w:r>
          </w:p>
          <w:p w14:paraId="621719F8">
            <w:pPr>
              <w:spacing w:line="480" w:lineRule="exact"/>
              <w:ind w:firstLine="564" w:firstLineChars="235"/>
              <w:outlineLvl w:val="1"/>
              <w:rPr>
                <w:bCs/>
                <w:sz w:val="24"/>
              </w:rPr>
            </w:pPr>
            <w:r>
              <w:rPr>
                <w:rFonts w:hint="eastAsia"/>
                <w:b/>
                <w:sz w:val="24"/>
                <w:lang w:val="en-GB"/>
              </w:rPr>
              <w:t>治理措施：</w:t>
            </w:r>
            <w:r>
              <w:rPr>
                <w:rFonts w:hint="eastAsia"/>
                <w:bCs/>
                <w:sz w:val="24"/>
              </w:rPr>
              <w:t>项目损坏</w:t>
            </w:r>
            <w:r>
              <w:rPr>
                <w:rFonts w:hint="eastAsia"/>
                <w:sz w:val="24"/>
                <w:lang w:val="en-GB"/>
              </w:rPr>
              <w:t>废零件（锯片、螺栓等），产生量较小，项目将其集中收集，统一储存于附属用房内，由于为铁质，外卖废品回收站综合利用。</w:t>
            </w:r>
          </w:p>
          <w:p w14:paraId="5A313EF0">
            <w:pPr>
              <w:spacing w:line="480" w:lineRule="exact"/>
              <w:ind w:firstLine="564" w:firstLineChars="235"/>
              <w:outlineLvl w:val="1"/>
              <w:rPr>
                <w:sz w:val="24"/>
              </w:rPr>
            </w:pPr>
            <w:r>
              <w:rPr>
                <w:rFonts w:hint="eastAsia"/>
                <w:sz w:val="24"/>
              </w:rPr>
              <w:t>固废产生量及处置措施见表</w:t>
            </w:r>
            <w:r>
              <w:rPr>
                <w:sz w:val="24"/>
              </w:rPr>
              <w:t>5-3</w:t>
            </w:r>
            <w:r>
              <w:rPr>
                <w:rFonts w:hint="eastAsia"/>
                <w:sz w:val="24"/>
              </w:rPr>
              <w:t>。</w:t>
            </w:r>
          </w:p>
          <w:p w14:paraId="2E485D9F">
            <w:pPr>
              <w:widowControl/>
              <w:adjustRightInd w:val="0"/>
              <w:snapToGrid w:val="0"/>
              <w:spacing w:line="480" w:lineRule="exact"/>
              <w:ind w:left="63" w:leftChars="30" w:right="92" w:rightChars="44" w:firstLine="480" w:firstLineChars="200"/>
              <w:jc w:val="center"/>
              <w:rPr>
                <w:rFonts w:ascii="黑体" w:hAnsi="黑体" w:eastAsia="黑体"/>
                <w:snapToGrid w:val="0"/>
                <w:kern w:val="0"/>
                <w:sz w:val="24"/>
              </w:rPr>
            </w:pPr>
            <w:r>
              <w:rPr>
                <w:rFonts w:hint="eastAsia" w:ascii="黑体" w:hAnsi="黑体" w:eastAsia="黑体"/>
                <w:snapToGrid w:val="0"/>
                <w:kern w:val="0"/>
                <w:sz w:val="24"/>
              </w:rPr>
              <w:t>表</w:t>
            </w:r>
            <w:r>
              <w:rPr>
                <w:rFonts w:ascii="黑体" w:hAnsi="黑体" w:eastAsia="黑体"/>
                <w:snapToGrid w:val="0"/>
                <w:kern w:val="0"/>
                <w:sz w:val="24"/>
              </w:rPr>
              <w:t xml:space="preserve">5-3  </w:t>
            </w:r>
            <w:r>
              <w:rPr>
                <w:rFonts w:hint="eastAsia" w:ascii="黑体" w:hAnsi="黑体" w:eastAsia="黑体"/>
                <w:snapToGrid w:val="0"/>
                <w:kern w:val="0"/>
                <w:sz w:val="24"/>
              </w:rPr>
              <w:t>项目营运期主要固废产生情况及治理措施</w:t>
            </w:r>
          </w:p>
          <w:tbl>
            <w:tblPr>
              <w:tblStyle w:val="25"/>
              <w:tblW w:w="499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705"/>
              <w:gridCol w:w="1370"/>
              <w:gridCol w:w="1416"/>
              <w:gridCol w:w="1136"/>
              <w:gridCol w:w="1136"/>
              <w:gridCol w:w="992"/>
              <w:gridCol w:w="1525"/>
            </w:tblGrid>
            <w:tr w14:paraId="26D91C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2" w:hRule="atLeast"/>
                <w:jc w:val="center"/>
              </w:trPr>
              <w:tc>
                <w:tcPr>
                  <w:tcW w:w="426" w:type="pct"/>
                  <w:tcBorders>
                    <w:top w:val="single" w:color="auto" w:sz="12" w:space="0"/>
                    <w:left w:val="single" w:color="auto" w:sz="12" w:space="0"/>
                    <w:bottom w:val="single" w:color="auto" w:sz="12" w:space="0"/>
                    <w:right w:val="single" w:color="auto" w:sz="6" w:space="0"/>
                  </w:tcBorders>
                  <w:vAlign w:val="center"/>
                </w:tcPr>
                <w:p w14:paraId="293C6DD6">
                  <w:pPr>
                    <w:widowControl/>
                    <w:spacing w:line="360" w:lineRule="exact"/>
                    <w:jc w:val="center"/>
                    <w:rPr>
                      <w:bCs/>
                      <w:szCs w:val="21"/>
                    </w:rPr>
                  </w:pPr>
                  <w:r>
                    <w:rPr>
                      <w:rFonts w:hint="eastAsia"/>
                      <w:bCs/>
                      <w:szCs w:val="21"/>
                    </w:rPr>
                    <w:t>序号</w:t>
                  </w:r>
                </w:p>
              </w:tc>
              <w:tc>
                <w:tcPr>
                  <w:tcW w:w="827" w:type="pct"/>
                  <w:tcBorders>
                    <w:top w:val="single" w:color="auto" w:sz="12" w:space="0"/>
                    <w:left w:val="single" w:color="auto" w:sz="6" w:space="0"/>
                    <w:bottom w:val="single" w:color="auto" w:sz="12" w:space="0"/>
                    <w:right w:val="single" w:color="auto" w:sz="6" w:space="0"/>
                  </w:tcBorders>
                  <w:vAlign w:val="center"/>
                </w:tcPr>
                <w:p w14:paraId="0E4E72C0">
                  <w:pPr>
                    <w:widowControl/>
                    <w:spacing w:line="360" w:lineRule="exact"/>
                    <w:jc w:val="center"/>
                    <w:rPr>
                      <w:bCs/>
                      <w:szCs w:val="21"/>
                    </w:rPr>
                  </w:pPr>
                  <w:r>
                    <w:rPr>
                      <w:rFonts w:hint="eastAsia"/>
                      <w:bCs/>
                      <w:szCs w:val="21"/>
                    </w:rPr>
                    <w:t>污染物</w:t>
                  </w:r>
                </w:p>
              </w:tc>
              <w:tc>
                <w:tcPr>
                  <w:tcW w:w="855" w:type="pct"/>
                  <w:tcBorders>
                    <w:top w:val="single" w:color="auto" w:sz="12" w:space="0"/>
                    <w:left w:val="single" w:color="auto" w:sz="6" w:space="0"/>
                    <w:bottom w:val="single" w:color="auto" w:sz="12" w:space="0"/>
                    <w:right w:val="single" w:color="auto" w:sz="6" w:space="0"/>
                  </w:tcBorders>
                  <w:vAlign w:val="center"/>
                </w:tcPr>
                <w:p w14:paraId="7294F894">
                  <w:pPr>
                    <w:widowControl/>
                    <w:spacing w:line="360" w:lineRule="exact"/>
                    <w:jc w:val="center"/>
                    <w:rPr>
                      <w:bCs/>
                      <w:szCs w:val="21"/>
                    </w:rPr>
                  </w:pPr>
                  <w:r>
                    <w:rPr>
                      <w:rFonts w:hint="eastAsia"/>
                      <w:bCs/>
                      <w:szCs w:val="21"/>
                    </w:rPr>
                    <w:t>产生位置及规模</w:t>
                  </w:r>
                </w:p>
              </w:tc>
              <w:tc>
                <w:tcPr>
                  <w:tcW w:w="686" w:type="pct"/>
                  <w:tcBorders>
                    <w:top w:val="single" w:color="auto" w:sz="12" w:space="0"/>
                    <w:left w:val="single" w:color="auto" w:sz="6" w:space="0"/>
                    <w:bottom w:val="single" w:color="auto" w:sz="12" w:space="0"/>
                    <w:right w:val="single" w:color="auto" w:sz="6" w:space="0"/>
                  </w:tcBorders>
                  <w:vAlign w:val="center"/>
                </w:tcPr>
                <w:p w14:paraId="581134E2">
                  <w:pPr>
                    <w:widowControl/>
                    <w:spacing w:line="360" w:lineRule="exact"/>
                    <w:jc w:val="center"/>
                    <w:rPr>
                      <w:bCs/>
                      <w:szCs w:val="21"/>
                    </w:rPr>
                  </w:pPr>
                  <w:r>
                    <w:rPr>
                      <w:rFonts w:hint="eastAsia"/>
                      <w:bCs/>
                      <w:szCs w:val="21"/>
                    </w:rPr>
                    <w:t>产生规律</w:t>
                  </w:r>
                </w:p>
              </w:tc>
              <w:tc>
                <w:tcPr>
                  <w:tcW w:w="686" w:type="pct"/>
                  <w:tcBorders>
                    <w:top w:val="single" w:color="auto" w:sz="12" w:space="0"/>
                    <w:left w:val="single" w:color="auto" w:sz="6" w:space="0"/>
                    <w:bottom w:val="single" w:color="auto" w:sz="12" w:space="0"/>
                    <w:right w:val="single" w:color="auto" w:sz="6" w:space="0"/>
                  </w:tcBorders>
                  <w:vAlign w:val="center"/>
                </w:tcPr>
                <w:p w14:paraId="2726AA54">
                  <w:pPr>
                    <w:widowControl/>
                    <w:spacing w:line="360" w:lineRule="exact"/>
                    <w:jc w:val="center"/>
                    <w:rPr>
                      <w:bCs/>
                      <w:szCs w:val="21"/>
                    </w:rPr>
                  </w:pPr>
                  <w:r>
                    <w:rPr>
                      <w:rFonts w:hint="eastAsia"/>
                      <w:bCs/>
                      <w:szCs w:val="21"/>
                    </w:rPr>
                    <w:t>单位</w:t>
                  </w:r>
                </w:p>
              </w:tc>
              <w:tc>
                <w:tcPr>
                  <w:tcW w:w="599" w:type="pct"/>
                  <w:tcBorders>
                    <w:top w:val="single" w:color="auto" w:sz="12" w:space="0"/>
                    <w:left w:val="single" w:color="auto" w:sz="6" w:space="0"/>
                    <w:bottom w:val="single" w:color="auto" w:sz="12" w:space="0"/>
                    <w:right w:val="single" w:color="auto" w:sz="6" w:space="0"/>
                  </w:tcBorders>
                  <w:vAlign w:val="center"/>
                </w:tcPr>
                <w:p w14:paraId="11612565">
                  <w:pPr>
                    <w:widowControl/>
                    <w:spacing w:line="360" w:lineRule="exact"/>
                    <w:ind w:left="103" w:hanging="102" w:hangingChars="49"/>
                    <w:jc w:val="center"/>
                    <w:rPr>
                      <w:bCs/>
                      <w:szCs w:val="21"/>
                    </w:rPr>
                  </w:pPr>
                  <w:r>
                    <w:rPr>
                      <w:rFonts w:hint="eastAsia"/>
                      <w:bCs/>
                      <w:szCs w:val="21"/>
                    </w:rPr>
                    <w:t>产生量</w:t>
                  </w:r>
                </w:p>
                <w:p w14:paraId="56E4551A">
                  <w:pPr>
                    <w:widowControl/>
                    <w:spacing w:line="360" w:lineRule="exact"/>
                    <w:ind w:left="103" w:hanging="102" w:hangingChars="49"/>
                    <w:jc w:val="center"/>
                    <w:rPr>
                      <w:bCs/>
                      <w:szCs w:val="21"/>
                    </w:rPr>
                  </w:pPr>
                  <w:r>
                    <w:rPr>
                      <w:rFonts w:hint="eastAsia"/>
                      <w:bCs/>
                      <w:szCs w:val="21"/>
                      <w:lang w:eastAsia="zh-CN"/>
                    </w:rPr>
                    <w:t>(</w:t>
                  </w:r>
                  <w:r>
                    <w:rPr>
                      <w:bCs/>
                      <w:szCs w:val="21"/>
                    </w:rPr>
                    <w:t>t/a</w:t>
                  </w:r>
                  <w:r>
                    <w:rPr>
                      <w:rFonts w:hint="eastAsia"/>
                      <w:bCs/>
                      <w:szCs w:val="21"/>
                      <w:lang w:eastAsia="zh-CN"/>
                    </w:rPr>
                    <w:t>)</w:t>
                  </w:r>
                </w:p>
              </w:tc>
              <w:tc>
                <w:tcPr>
                  <w:tcW w:w="921" w:type="pct"/>
                  <w:tcBorders>
                    <w:top w:val="single" w:color="auto" w:sz="12" w:space="0"/>
                    <w:left w:val="single" w:color="auto" w:sz="6" w:space="0"/>
                    <w:bottom w:val="single" w:color="auto" w:sz="12" w:space="0"/>
                    <w:right w:val="single" w:color="auto" w:sz="12" w:space="0"/>
                  </w:tcBorders>
                  <w:vAlign w:val="center"/>
                </w:tcPr>
                <w:p w14:paraId="10A1B63E">
                  <w:pPr>
                    <w:widowControl/>
                    <w:spacing w:line="360" w:lineRule="exact"/>
                    <w:jc w:val="center"/>
                    <w:rPr>
                      <w:bCs/>
                      <w:szCs w:val="21"/>
                    </w:rPr>
                  </w:pPr>
                  <w:r>
                    <w:rPr>
                      <w:rFonts w:hint="eastAsia"/>
                      <w:bCs/>
                      <w:szCs w:val="21"/>
                    </w:rPr>
                    <w:t>排放</w:t>
                  </w:r>
                </w:p>
              </w:tc>
            </w:tr>
            <w:tr w14:paraId="720F3A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3" w:hRule="atLeast"/>
                <w:jc w:val="center"/>
              </w:trPr>
              <w:tc>
                <w:tcPr>
                  <w:tcW w:w="426" w:type="pct"/>
                  <w:tcBorders>
                    <w:top w:val="single" w:color="auto" w:sz="12" w:space="0"/>
                    <w:left w:val="single" w:color="auto" w:sz="12" w:space="0"/>
                    <w:bottom w:val="single" w:color="auto" w:sz="6" w:space="0"/>
                    <w:right w:val="single" w:color="auto" w:sz="6" w:space="0"/>
                  </w:tcBorders>
                  <w:vAlign w:val="center"/>
                </w:tcPr>
                <w:p w14:paraId="721F7D27">
                  <w:pPr>
                    <w:widowControl/>
                    <w:spacing w:line="360" w:lineRule="exact"/>
                    <w:jc w:val="center"/>
                    <w:rPr>
                      <w:kern w:val="0"/>
                      <w:szCs w:val="21"/>
                    </w:rPr>
                  </w:pPr>
                  <w:r>
                    <w:rPr>
                      <w:kern w:val="0"/>
                      <w:szCs w:val="21"/>
                    </w:rPr>
                    <w:t>1</w:t>
                  </w:r>
                </w:p>
              </w:tc>
              <w:tc>
                <w:tcPr>
                  <w:tcW w:w="827" w:type="pct"/>
                  <w:tcBorders>
                    <w:top w:val="single" w:color="auto" w:sz="12" w:space="0"/>
                    <w:left w:val="single" w:color="auto" w:sz="6" w:space="0"/>
                    <w:bottom w:val="single" w:color="auto" w:sz="6" w:space="0"/>
                    <w:right w:val="single" w:color="auto" w:sz="6" w:space="0"/>
                  </w:tcBorders>
                  <w:vAlign w:val="center"/>
                </w:tcPr>
                <w:p w14:paraId="3D113070">
                  <w:pPr>
                    <w:widowControl/>
                    <w:spacing w:line="360" w:lineRule="exact"/>
                    <w:jc w:val="center"/>
                    <w:rPr>
                      <w:kern w:val="0"/>
                      <w:szCs w:val="21"/>
                    </w:rPr>
                  </w:pPr>
                  <w:r>
                    <w:rPr>
                      <w:rFonts w:hint="eastAsia"/>
                      <w:kern w:val="0"/>
                      <w:szCs w:val="21"/>
                    </w:rPr>
                    <w:t>生活垃圾</w:t>
                  </w:r>
                </w:p>
              </w:tc>
              <w:tc>
                <w:tcPr>
                  <w:tcW w:w="855" w:type="pct"/>
                  <w:tcBorders>
                    <w:top w:val="single" w:color="auto" w:sz="12" w:space="0"/>
                    <w:left w:val="single" w:color="auto" w:sz="6" w:space="0"/>
                    <w:bottom w:val="single" w:color="auto" w:sz="6" w:space="0"/>
                    <w:right w:val="single" w:color="auto" w:sz="6" w:space="0"/>
                  </w:tcBorders>
                  <w:vAlign w:val="center"/>
                </w:tcPr>
                <w:p w14:paraId="577C087C">
                  <w:pPr>
                    <w:widowControl/>
                    <w:spacing w:line="360" w:lineRule="exact"/>
                    <w:jc w:val="center"/>
                    <w:rPr>
                      <w:kern w:val="0"/>
                      <w:szCs w:val="21"/>
                    </w:rPr>
                  </w:pPr>
                  <w:r>
                    <w:rPr>
                      <w:rFonts w:hint="eastAsia"/>
                      <w:kern w:val="0"/>
                      <w:szCs w:val="21"/>
                    </w:rPr>
                    <w:t>员工（</w:t>
                  </w:r>
                  <w:r>
                    <w:rPr>
                      <w:kern w:val="0"/>
                      <w:szCs w:val="21"/>
                    </w:rPr>
                    <w:t>8</w:t>
                  </w:r>
                  <w:r>
                    <w:rPr>
                      <w:rFonts w:hint="eastAsia"/>
                      <w:kern w:val="0"/>
                      <w:szCs w:val="21"/>
                    </w:rPr>
                    <w:t>人</w:t>
                  </w:r>
                  <w:r>
                    <w:rPr>
                      <w:rFonts w:hint="eastAsia"/>
                      <w:kern w:val="0"/>
                      <w:szCs w:val="21"/>
                      <w:lang w:eastAsia="zh-CN"/>
                    </w:rPr>
                    <w:t>）</w:t>
                  </w:r>
                </w:p>
              </w:tc>
              <w:tc>
                <w:tcPr>
                  <w:tcW w:w="686" w:type="pct"/>
                  <w:tcBorders>
                    <w:top w:val="single" w:color="auto" w:sz="12" w:space="0"/>
                    <w:left w:val="single" w:color="auto" w:sz="6" w:space="0"/>
                    <w:bottom w:val="single" w:color="auto" w:sz="6" w:space="0"/>
                    <w:right w:val="single" w:color="auto" w:sz="6" w:space="0"/>
                  </w:tcBorders>
                  <w:vAlign w:val="center"/>
                </w:tcPr>
                <w:p w14:paraId="4C5E680B">
                  <w:pPr>
                    <w:widowControl/>
                    <w:spacing w:line="360" w:lineRule="exact"/>
                    <w:jc w:val="center"/>
                    <w:rPr>
                      <w:kern w:val="0"/>
                      <w:szCs w:val="21"/>
                    </w:rPr>
                  </w:pPr>
                  <w:r>
                    <w:rPr>
                      <w:rFonts w:hint="eastAsia"/>
                      <w:kern w:val="0"/>
                      <w:szCs w:val="21"/>
                    </w:rPr>
                    <w:t>间歇</w:t>
                  </w:r>
                </w:p>
              </w:tc>
              <w:tc>
                <w:tcPr>
                  <w:tcW w:w="686" w:type="pct"/>
                  <w:tcBorders>
                    <w:top w:val="single" w:color="auto" w:sz="12" w:space="0"/>
                    <w:left w:val="single" w:color="auto" w:sz="6" w:space="0"/>
                    <w:bottom w:val="single" w:color="auto" w:sz="6" w:space="0"/>
                    <w:right w:val="single" w:color="auto" w:sz="6" w:space="0"/>
                  </w:tcBorders>
                  <w:vAlign w:val="center"/>
                </w:tcPr>
                <w:p w14:paraId="5CCA5685">
                  <w:pPr>
                    <w:widowControl/>
                    <w:spacing w:line="360" w:lineRule="exact"/>
                    <w:jc w:val="center"/>
                    <w:rPr>
                      <w:kern w:val="0"/>
                      <w:szCs w:val="21"/>
                    </w:rPr>
                  </w:pPr>
                  <w:r>
                    <w:rPr>
                      <w:kern w:val="0"/>
                      <w:szCs w:val="21"/>
                    </w:rPr>
                    <w:t>0.5kg/</w:t>
                  </w:r>
                  <w:r>
                    <w:rPr>
                      <w:rFonts w:hint="eastAsia"/>
                      <w:kern w:val="0"/>
                      <w:szCs w:val="21"/>
                    </w:rPr>
                    <w:t>人</w:t>
                  </w:r>
                  <w:r>
                    <w:rPr>
                      <w:kern w:val="0"/>
                      <w:szCs w:val="21"/>
                    </w:rPr>
                    <w:t>.d</w:t>
                  </w:r>
                </w:p>
              </w:tc>
              <w:tc>
                <w:tcPr>
                  <w:tcW w:w="599" w:type="pct"/>
                  <w:tcBorders>
                    <w:top w:val="single" w:color="auto" w:sz="12" w:space="0"/>
                    <w:left w:val="single" w:color="auto" w:sz="6" w:space="0"/>
                    <w:bottom w:val="single" w:color="auto" w:sz="6" w:space="0"/>
                    <w:right w:val="single" w:color="auto" w:sz="6" w:space="0"/>
                  </w:tcBorders>
                  <w:vAlign w:val="center"/>
                </w:tcPr>
                <w:p w14:paraId="59661511">
                  <w:pPr>
                    <w:widowControl/>
                    <w:spacing w:line="360" w:lineRule="exact"/>
                    <w:jc w:val="center"/>
                    <w:rPr>
                      <w:kern w:val="0"/>
                      <w:szCs w:val="21"/>
                    </w:rPr>
                  </w:pPr>
                  <w:r>
                    <w:rPr>
                      <w:kern w:val="0"/>
                      <w:szCs w:val="21"/>
                    </w:rPr>
                    <w:t>1.2</w:t>
                  </w:r>
                </w:p>
              </w:tc>
              <w:tc>
                <w:tcPr>
                  <w:tcW w:w="921" w:type="pct"/>
                  <w:tcBorders>
                    <w:top w:val="single" w:color="auto" w:sz="12" w:space="0"/>
                    <w:left w:val="single" w:color="auto" w:sz="6" w:space="0"/>
                    <w:bottom w:val="single" w:color="auto" w:sz="6" w:space="0"/>
                    <w:right w:val="single" w:color="auto" w:sz="12" w:space="0"/>
                  </w:tcBorders>
                  <w:vAlign w:val="center"/>
                </w:tcPr>
                <w:p w14:paraId="3C430478">
                  <w:pPr>
                    <w:widowControl/>
                    <w:spacing w:line="360" w:lineRule="exact"/>
                    <w:jc w:val="center"/>
                    <w:rPr>
                      <w:kern w:val="0"/>
                      <w:szCs w:val="21"/>
                    </w:rPr>
                  </w:pPr>
                  <w:r>
                    <w:rPr>
                      <w:kern w:val="0"/>
                      <w:szCs w:val="21"/>
                    </w:rPr>
                    <w:t>自行清运至</w:t>
                  </w:r>
                  <w:r>
                    <w:rPr>
                      <w:rFonts w:hint="eastAsia"/>
                      <w:kern w:val="0"/>
                      <w:szCs w:val="21"/>
                    </w:rPr>
                    <w:t>平等乡</w:t>
                  </w:r>
                  <w:r>
                    <w:rPr>
                      <w:kern w:val="0"/>
                      <w:szCs w:val="21"/>
                    </w:rPr>
                    <w:t>垃圾收集点，由</w:t>
                  </w:r>
                  <w:r>
                    <w:rPr>
                      <w:rFonts w:hint="eastAsia"/>
                      <w:kern w:val="0"/>
                      <w:szCs w:val="21"/>
                    </w:rPr>
                    <w:t>村委会收集</w:t>
                  </w:r>
                  <w:r>
                    <w:rPr>
                      <w:kern w:val="0"/>
                      <w:szCs w:val="21"/>
                    </w:rPr>
                    <w:t>处理</w:t>
                  </w:r>
                </w:p>
              </w:tc>
            </w:tr>
            <w:tr w14:paraId="2AEA0B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3" w:hRule="atLeast"/>
                <w:jc w:val="center"/>
              </w:trPr>
              <w:tc>
                <w:tcPr>
                  <w:tcW w:w="426" w:type="pct"/>
                  <w:tcBorders>
                    <w:top w:val="single" w:color="auto" w:sz="6" w:space="0"/>
                    <w:left w:val="single" w:color="auto" w:sz="12" w:space="0"/>
                    <w:bottom w:val="single" w:color="auto" w:sz="6" w:space="0"/>
                    <w:right w:val="single" w:color="auto" w:sz="6" w:space="0"/>
                  </w:tcBorders>
                  <w:vAlign w:val="center"/>
                </w:tcPr>
                <w:p w14:paraId="39F77BF1">
                  <w:pPr>
                    <w:widowControl/>
                    <w:spacing w:line="360" w:lineRule="exact"/>
                    <w:jc w:val="center"/>
                    <w:rPr>
                      <w:kern w:val="0"/>
                      <w:szCs w:val="21"/>
                    </w:rPr>
                  </w:pPr>
                  <w:r>
                    <w:rPr>
                      <w:rFonts w:hint="eastAsia"/>
                      <w:kern w:val="0"/>
                      <w:szCs w:val="21"/>
                    </w:rPr>
                    <w:t>2</w:t>
                  </w:r>
                </w:p>
              </w:tc>
              <w:tc>
                <w:tcPr>
                  <w:tcW w:w="827" w:type="pct"/>
                  <w:tcBorders>
                    <w:top w:val="single" w:color="auto" w:sz="6" w:space="0"/>
                    <w:left w:val="single" w:color="auto" w:sz="6" w:space="0"/>
                    <w:bottom w:val="single" w:color="auto" w:sz="6" w:space="0"/>
                    <w:right w:val="single" w:color="auto" w:sz="6" w:space="0"/>
                  </w:tcBorders>
                  <w:vAlign w:val="center"/>
                </w:tcPr>
                <w:p w14:paraId="665A93BB">
                  <w:pPr>
                    <w:widowControl/>
                    <w:spacing w:line="360" w:lineRule="exact"/>
                    <w:jc w:val="center"/>
                    <w:rPr>
                      <w:kern w:val="0"/>
                      <w:szCs w:val="21"/>
                    </w:rPr>
                  </w:pPr>
                  <w:r>
                    <w:rPr>
                      <w:rFonts w:hint="eastAsia"/>
                      <w:kern w:val="0"/>
                      <w:szCs w:val="21"/>
                    </w:rPr>
                    <w:t>树皮、木材边角料</w:t>
                  </w:r>
                </w:p>
              </w:tc>
              <w:tc>
                <w:tcPr>
                  <w:tcW w:w="855" w:type="pct"/>
                  <w:vMerge w:val="restart"/>
                  <w:tcBorders>
                    <w:top w:val="single" w:color="auto" w:sz="6" w:space="0"/>
                    <w:left w:val="single" w:color="auto" w:sz="6" w:space="0"/>
                    <w:right w:val="single" w:color="auto" w:sz="6" w:space="0"/>
                  </w:tcBorders>
                  <w:vAlign w:val="center"/>
                </w:tcPr>
                <w:p w14:paraId="3BE25C34">
                  <w:pPr>
                    <w:widowControl/>
                    <w:spacing w:line="360" w:lineRule="exact"/>
                    <w:jc w:val="center"/>
                    <w:rPr>
                      <w:kern w:val="0"/>
                      <w:szCs w:val="21"/>
                    </w:rPr>
                  </w:pPr>
                  <w:r>
                    <w:rPr>
                      <w:rFonts w:hint="eastAsia"/>
                      <w:kern w:val="0"/>
                      <w:szCs w:val="21"/>
                    </w:rPr>
                    <w:t>生产车间</w:t>
                  </w:r>
                </w:p>
              </w:tc>
              <w:tc>
                <w:tcPr>
                  <w:tcW w:w="686" w:type="pct"/>
                  <w:tcBorders>
                    <w:top w:val="single" w:color="auto" w:sz="6" w:space="0"/>
                    <w:left w:val="single" w:color="auto" w:sz="6" w:space="0"/>
                    <w:bottom w:val="single" w:color="auto" w:sz="6" w:space="0"/>
                    <w:right w:val="single" w:color="auto" w:sz="6" w:space="0"/>
                  </w:tcBorders>
                  <w:vAlign w:val="center"/>
                </w:tcPr>
                <w:p w14:paraId="75F8069D">
                  <w:pPr>
                    <w:widowControl/>
                    <w:spacing w:line="360" w:lineRule="exact"/>
                    <w:jc w:val="center"/>
                    <w:rPr>
                      <w:kern w:val="0"/>
                      <w:szCs w:val="21"/>
                    </w:rPr>
                  </w:pPr>
                  <w:r>
                    <w:rPr>
                      <w:rFonts w:hint="eastAsia"/>
                      <w:kern w:val="0"/>
                      <w:szCs w:val="21"/>
                    </w:rPr>
                    <w:t>连续</w:t>
                  </w:r>
                </w:p>
              </w:tc>
              <w:tc>
                <w:tcPr>
                  <w:tcW w:w="686" w:type="pct"/>
                  <w:tcBorders>
                    <w:top w:val="single" w:color="auto" w:sz="6" w:space="0"/>
                    <w:left w:val="single" w:color="auto" w:sz="6" w:space="0"/>
                    <w:bottom w:val="single" w:color="auto" w:sz="6" w:space="0"/>
                    <w:right w:val="single" w:color="auto" w:sz="6" w:space="0"/>
                  </w:tcBorders>
                  <w:vAlign w:val="center"/>
                </w:tcPr>
                <w:p w14:paraId="47229910">
                  <w:pPr>
                    <w:widowControl/>
                    <w:spacing w:line="360" w:lineRule="exact"/>
                    <w:jc w:val="center"/>
                    <w:rPr>
                      <w:kern w:val="0"/>
                      <w:szCs w:val="21"/>
                    </w:rPr>
                  </w:pPr>
                  <w:r>
                    <w:rPr>
                      <w:kern w:val="0"/>
                      <w:szCs w:val="21"/>
                    </w:rPr>
                    <w:t>/</w:t>
                  </w:r>
                </w:p>
              </w:tc>
              <w:tc>
                <w:tcPr>
                  <w:tcW w:w="599" w:type="pct"/>
                  <w:tcBorders>
                    <w:top w:val="single" w:color="auto" w:sz="6" w:space="0"/>
                    <w:left w:val="single" w:color="auto" w:sz="6" w:space="0"/>
                    <w:bottom w:val="single" w:color="auto" w:sz="6" w:space="0"/>
                    <w:right w:val="single" w:color="auto" w:sz="6" w:space="0"/>
                  </w:tcBorders>
                  <w:vAlign w:val="center"/>
                </w:tcPr>
                <w:p w14:paraId="1556E789">
                  <w:pPr>
                    <w:widowControl/>
                    <w:spacing w:line="360" w:lineRule="exact"/>
                    <w:jc w:val="center"/>
                    <w:rPr>
                      <w:kern w:val="0"/>
                      <w:szCs w:val="21"/>
                    </w:rPr>
                  </w:pPr>
                  <w:r>
                    <w:rPr>
                      <w:kern w:val="0"/>
                      <w:szCs w:val="21"/>
                    </w:rPr>
                    <w:t>300</w:t>
                  </w:r>
                </w:p>
              </w:tc>
              <w:tc>
                <w:tcPr>
                  <w:tcW w:w="921" w:type="pct"/>
                  <w:vMerge w:val="restart"/>
                  <w:tcBorders>
                    <w:top w:val="single" w:color="auto" w:sz="6" w:space="0"/>
                    <w:left w:val="single" w:color="auto" w:sz="6" w:space="0"/>
                    <w:right w:val="single" w:color="auto" w:sz="12" w:space="0"/>
                  </w:tcBorders>
                  <w:vAlign w:val="center"/>
                </w:tcPr>
                <w:p w14:paraId="41FD3BC0">
                  <w:pPr>
                    <w:widowControl/>
                    <w:spacing w:line="360" w:lineRule="exact"/>
                    <w:jc w:val="center"/>
                    <w:rPr>
                      <w:kern w:val="0"/>
                      <w:szCs w:val="21"/>
                    </w:rPr>
                  </w:pPr>
                  <w:r>
                    <w:rPr>
                      <w:rFonts w:hint="eastAsia"/>
                      <w:kern w:val="0"/>
                      <w:szCs w:val="21"/>
                    </w:rPr>
                    <w:t>外售综合利用</w:t>
                  </w:r>
                </w:p>
              </w:tc>
            </w:tr>
            <w:tr w14:paraId="0C34E8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3" w:hRule="atLeast"/>
                <w:jc w:val="center"/>
              </w:trPr>
              <w:tc>
                <w:tcPr>
                  <w:tcW w:w="426" w:type="pct"/>
                  <w:tcBorders>
                    <w:top w:val="single" w:color="auto" w:sz="6" w:space="0"/>
                    <w:left w:val="single" w:color="auto" w:sz="12" w:space="0"/>
                    <w:bottom w:val="single" w:color="auto" w:sz="6" w:space="0"/>
                    <w:right w:val="single" w:color="auto" w:sz="6" w:space="0"/>
                  </w:tcBorders>
                  <w:vAlign w:val="center"/>
                </w:tcPr>
                <w:p w14:paraId="6FC5CDF5">
                  <w:pPr>
                    <w:widowControl/>
                    <w:spacing w:line="360" w:lineRule="exact"/>
                    <w:jc w:val="center"/>
                    <w:rPr>
                      <w:kern w:val="0"/>
                      <w:szCs w:val="21"/>
                    </w:rPr>
                  </w:pPr>
                  <w:r>
                    <w:rPr>
                      <w:rFonts w:hint="eastAsia"/>
                      <w:kern w:val="0"/>
                      <w:szCs w:val="21"/>
                    </w:rPr>
                    <w:t>3</w:t>
                  </w:r>
                </w:p>
              </w:tc>
              <w:tc>
                <w:tcPr>
                  <w:tcW w:w="827" w:type="pct"/>
                  <w:tcBorders>
                    <w:top w:val="single" w:color="auto" w:sz="6" w:space="0"/>
                    <w:left w:val="single" w:color="auto" w:sz="6" w:space="0"/>
                    <w:bottom w:val="single" w:color="auto" w:sz="6" w:space="0"/>
                    <w:right w:val="single" w:color="auto" w:sz="6" w:space="0"/>
                  </w:tcBorders>
                  <w:vAlign w:val="center"/>
                </w:tcPr>
                <w:p w14:paraId="127B1D07">
                  <w:pPr>
                    <w:widowControl/>
                    <w:spacing w:line="360" w:lineRule="exact"/>
                    <w:jc w:val="center"/>
                    <w:rPr>
                      <w:kern w:val="0"/>
                      <w:szCs w:val="21"/>
                    </w:rPr>
                  </w:pPr>
                  <w:r>
                    <w:rPr>
                      <w:rFonts w:hint="eastAsia"/>
                      <w:kern w:val="0"/>
                      <w:szCs w:val="21"/>
                    </w:rPr>
                    <w:t>锯末颗粒</w:t>
                  </w:r>
                </w:p>
              </w:tc>
              <w:tc>
                <w:tcPr>
                  <w:tcW w:w="855" w:type="pct"/>
                  <w:vMerge w:val="continue"/>
                  <w:tcBorders>
                    <w:left w:val="single" w:color="auto" w:sz="6" w:space="0"/>
                    <w:right w:val="single" w:color="auto" w:sz="6" w:space="0"/>
                  </w:tcBorders>
                  <w:vAlign w:val="center"/>
                </w:tcPr>
                <w:p w14:paraId="1815541C">
                  <w:pPr>
                    <w:widowControl/>
                    <w:spacing w:line="360" w:lineRule="exact"/>
                    <w:jc w:val="center"/>
                    <w:rPr>
                      <w:kern w:val="0"/>
                      <w:szCs w:val="21"/>
                    </w:rPr>
                  </w:pPr>
                </w:p>
              </w:tc>
              <w:tc>
                <w:tcPr>
                  <w:tcW w:w="686" w:type="pct"/>
                  <w:tcBorders>
                    <w:top w:val="single" w:color="auto" w:sz="6" w:space="0"/>
                    <w:left w:val="single" w:color="auto" w:sz="6" w:space="0"/>
                    <w:bottom w:val="single" w:color="auto" w:sz="6" w:space="0"/>
                    <w:right w:val="single" w:color="auto" w:sz="6" w:space="0"/>
                  </w:tcBorders>
                  <w:vAlign w:val="center"/>
                </w:tcPr>
                <w:p w14:paraId="0548835A">
                  <w:pPr>
                    <w:widowControl/>
                    <w:spacing w:line="360" w:lineRule="exact"/>
                    <w:jc w:val="center"/>
                    <w:rPr>
                      <w:kern w:val="0"/>
                      <w:szCs w:val="21"/>
                    </w:rPr>
                  </w:pPr>
                  <w:r>
                    <w:rPr>
                      <w:rFonts w:hint="eastAsia"/>
                      <w:kern w:val="0"/>
                      <w:szCs w:val="21"/>
                    </w:rPr>
                    <w:t>连续</w:t>
                  </w:r>
                </w:p>
              </w:tc>
              <w:tc>
                <w:tcPr>
                  <w:tcW w:w="686" w:type="pct"/>
                  <w:tcBorders>
                    <w:top w:val="single" w:color="auto" w:sz="6" w:space="0"/>
                    <w:left w:val="single" w:color="auto" w:sz="6" w:space="0"/>
                    <w:bottom w:val="single" w:color="auto" w:sz="6" w:space="0"/>
                    <w:right w:val="single" w:color="auto" w:sz="6" w:space="0"/>
                  </w:tcBorders>
                  <w:vAlign w:val="center"/>
                </w:tcPr>
                <w:p w14:paraId="49E3CA9E">
                  <w:pPr>
                    <w:widowControl/>
                    <w:spacing w:line="360" w:lineRule="exact"/>
                    <w:jc w:val="center"/>
                    <w:rPr>
                      <w:kern w:val="0"/>
                      <w:szCs w:val="21"/>
                    </w:rPr>
                  </w:pPr>
                  <w:r>
                    <w:rPr>
                      <w:kern w:val="0"/>
                      <w:szCs w:val="21"/>
                    </w:rPr>
                    <w:t>/</w:t>
                  </w:r>
                </w:p>
              </w:tc>
              <w:tc>
                <w:tcPr>
                  <w:tcW w:w="599" w:type="pct"/>
                  <w:tcBorders>
                    <w:top w:val="single" w:color="auto" w:sz="6" w:space="0"/>
                    <w:left w:val="single" w:color="auto" w:sz="6" w:space="0"/>
                    <w:bottom w:val="single" w:color="auto" w:sz="6" w:space="0"/>
                    <w:right w:val="single" w:color="auto" w:sz="6" w:space="0"/>
                  </w:tcBorders>
                  <w:vAlign w:val="center"/>
                </w:tcPr>
                <w:p w14:paraId="42E0EEB5">
                  <w:pPr>
                    <w:widowControl/>
                    <w:spacing w:line="360" w:lineRule="exact"/>
                    <w:jc w:val="center"/>
                    <w:rPr>
                      <w:kern w:val="0"/>
                      <w:szCs w:val="21"/>
                    </w:rPr>
                  </w:pPr>
                  <w:r>
                    <w:rPr>
                      <w:kern w:val="0"/>
                      <w:szCs w:val="21"/>
                    </w:rPr>
                    <w:t>3.65</w:t>
                  </w:r>
                </w:p>
              </w:tc>
              <w:tc>
                <w:tcPr>
                  <w:tcW w:w="921" w:type="pct"/>
                  <w:vMerge w:val="continue"/>
                  <w:tcBorders>
                    <w:left w:val="single" w:color="auto" w:sz="6" w:space="0"/>
                    <w:right w:val="single" w:color="auto" w:sz="12" w:space="0"/>
                  </w:tcBorders>
                  <w:vAlign w:val="center"/>
                </w:tcPr>
                <w:p w14:paraId="4A327164">
                  <w:pPr>
                    <w:widowControl/>
                    <w:spacing w:line="360" w:lineRule="exact"/>
                    <w:jc w:val="center"/>
                    <w:rPr>
                      <w:kern w:val="0"/>
                      <w:szCs w:val="21"/>
                    </w:rPr>
                  </w:pPr>
                </w:p>
              </w:tc>
            </w:tr>
            <w:tr w14:paraId="36F599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3" w:hRule="atLeast"/>
                <w:jc w:val="center"/>
              </w:trPr>
              <w:tc>
                <w:tcPr>
                  <w:tcW w:w="426" w:type="pct"/>
                  <w:tcBorders>
                    <w:top w:val="single" w:color="auto" w:sz="6" w:space="0"/>
                    <w:left w:val="single" w:color="auto" w:sz="12" w:space="0"/>
                    <w:bottom w:val="single" w:color="auto" w:sz="6" w:space="0"/>
                    <w:right w:val="single" w:color="auto" w:sz="6" w:space="0"/>
                  </w:tcBorders>
                  <w:vAlign w:val="center"/>
                </w:tcPr>
                <w:p w14:paraId="755BA457">
                  <w:pPr>
                    <w:widowControl/>
                    <w:spacing w:line="360" w:lineRule="exact"/>
                    <w:jc w:val="center"/>
                    <w:rPr>
                      <w:kern w:val="0"/>
                      <w:szCs w:val="21"/>
                    </w:rPr>
                  </w:pPr>
                  <w:r>
                    <w:rPr>
                      <w:rFonts w:hint="eastAsia"/>
                      <w:kern w:val="0"/>
                      <w:szCs w:val="21"/>
                    </w:rPr>
                    <w:t>4</w:t>
                  </w:r>
                </w:p>
              </w:tc>
              <w:tc>
                <w:tcPr>
                  <w:tcW w:w="827" w:type="pct"/>
                  <w:tcBorders>
                    <w:top w:val="single" w:color="auto" w:sz="6" w:space="0"/>
                    <w:left w:val="single" w:color="auto" w:sz="6" w:space="0"/>
                    <w:bottom w:val="single" w:color="auto" w:sz="6" w:space="0"/>
                    <w:right w:val="single" w:color="auto" w:sz="6" w:space="0"/>
                  </w:tcBorders>
                  <w:vAlign w:val="center"/>
                </w:tcPr>
                <w:p w14:paraId="57BC842E">
                  <w:pPr>
                    <w:widowControl/>
                    <w:spacing w:line="360" w:lineRule="exact"/>
                    <w:jc w:val="center"/>
                    <w:rPr>
                      <w:kern w:val="0"/>
                      <w:szCs w:val="21"/>
                    </w:rPr>
                  </w:pPr>
                  <w:r>
                    <w:rPr>
                      <w:rFonts w:hint="eastAsia"/>
                      <w:kern w:val="0"/>
                      <w:szCs w:val="21"/>
                    </w:rPr>
                    <w:t>废木屑</w:t>
                  </w:r>
                </w:p>
              </w:tc>
              <w:tc>
                <w:tcPr>
                  <w:tcW w:w="855" w:type="pct"/>
                  <w:vMerge w:val="continue"/>
                  <w:tcBorders>
                    <w:left w:val="single" w:color="auto" w:sz="6" w:space="0"/>
                    <w:bottom w:val="single" w:color="auto" w:sz="6" w:space="0"/>
                    <w:right w:val="single" w:color="auto" w:sz="6" w:space="0"/>
                  </w:tcBorders>
                  <w:vAlign w:val="center"/>
                </w:tcPr>
                <w:p w14:paraId="7627CC2C">
                  <w:pPr>
                    <w:widowControl/>
                    <w:spacing w:line="360" w:lineRule="exact"/>
                    <w:jc w:val="center"/>
                    <w:rPr>
                      <w:kern w:val="0"/>
                      <w:szCs w:val="21"/>
                    </w:rPr>
                  </w:pPr>
                </w:p>
              </w:tc>
              <w:tc>
                <w:tcPr>
                  <w:tcW w:w="686" w:type="pct"/>
                  <w:tcBorders>
                    <w:top w:val="single" w:color="auto" w:sz="6" w:space="0"/>
                    <w:left w:val="single" w:color="auto" w:sz="6" w:space="0"/>
                    <w:bottom w:val="single" w:color="auto" w:sz="6" w:space="0"/>
                    <w:right w:val="single" w:color="auto" w:sz="6" w:space="0"/>
                  </w:tcBorders>
                  <w:vAlign w:val="center"/>
                </w:tcPr>
                <w:p w14:paraId="6FD0B0AA">
                  <w:pPr>
                    <w:widowControl/>
                    <w:spacing w:line="360" w:lineRule="exact"/>
                    <w:jc w:val="center"/>
                    <w:rPr>
                      <w:kern w:val="0"/>
                      <w:szCs w:val="21"/>
                    </w:rPr>
                  </w:pPr>
                  <w:r>
                    <w:rPr>
                      <w:rFonts w:hint="eastAsia"/>
                      <w:kern w:val="0"/>
                      <w:szCs w:val="21"/>
                    </w:rPr>
                    <w:t>连续</w:t>
                  </w:r>
                </w:p>
              </w:tc>
              <w:tc>
                <w:tcPr>
                  <w:tcW w:w="686" w:type="pct"/>
                  <w:tcBorders>
                    <w:top w:val="single" w:color="auto" w:sz="6" w:space="0"/>
                    <w:left w:val="single" w:color="auto" w:sz="6" w:space="0"/>
                    <w:bottom w:val="single" w:color="auto" w:sz="6" w:space="0"/>
                    <w:right w:val="single" w:color="auto" w:sz="6" w:space="0"/>
                  </w:tcBorders>
                  <w:vAlign w:val="center"/>
                </w:tcPr>
                <w:p w14:paraId="34164D30">
                  <w:pPr>
                    <w:widowControl/>
                    <w:spacing w:line="360" w:lineRule="exact"/>
                    <w:jc w:val="center"/>
                    <w:rPr>
                      <w:kern w:val="0"/>
                      <w:szCs w:val="21"/>
                    </w:rPr>
                  </w:pPr>
                  <w:r>
                    <w:rPr>
                      <w:rFonts w:hint="eastAsia"/>
                      <w:kern w:val="0"/>
                      <w:szCs w:val="21"/>
                    </w:rPr>
                    <w:t>/</w:t>
                  </w:r>
                </w:p>
              </w:tc>
              <w:tc>
                <w:tcPr>
                  <w:tcW w:w="599" w:type="pct"/>
                  <w:tcBorders>
                    <w:top w:val="single" w:color="auto" w:sz="6" w:space="0"/>
                    <w:left w:val="single" w:color="auto" w:sz="6" w:space="0"/>
                    <w:bottom w:val="single" w:color="auto" w:sz="6" w:space="0"/>
                    <w:right w:val="single" w:color="auto" w:sz="6" w:space="0"/>
                  </w:tcBorders>
                  <w:vAlign w:val="center"/>
                </w:tcPr>
                <w:p w14:paraId="569C05C6">
                  <w:pPr>
                    <w:widowControl/>
                    <w:spacing w:line="360" w:lineRule="exact"/>
                    <w:jc w:val="center"/>
                    <w:rPr>
                      <w:kern w:val="0"/>
                      <w:szCs w:val="21"/>
                    </w:rPr>
                  </w:pPr>
                  <w:r>
                    <w:rPr>
                      <w:kern w:val="0"/>
                      <w:szCs w:val="21"/>
                    </w:rPr>
                    <w:t>263.82</w:t>
                  </w:r>
                </w:p>
              </w:tc>
              <w:tc>
                <w:tcPr>
                  <w:tcW w:w="921" w:type="pct"/>
                  <w:vMerge w:val="continue"/>
                  <w:tcBorders>
                    <w:left w:val="single" w:color="auto" w:sz="6" w:space="0"/>
                    <w:bottom w:val="single" w:color="auto" w:sz="6" w:space="0"/>
                    <w:right w:val="single" w:color="auto" w:sz="12" w:space="0"/>
                  </w:tcBorders>
                  <w:vAlign w:val="center"/>
                </w:tcPr>
                <w:p w14:paraId="3A9666E1">
                  <w:pPr>
                    <w:widowControl/>
                    <w:spacing w:line="360" w:lineRule="exact"/>
                    <w:jc w:val="center"/>
                    <w:rPr>
                      <w:kern w:val="0"/>
                      <w:szCs w:val="21"/>
                    </w:rPr>
                  </w:pPr>
                </w:p>
              </w:tc>
            </w:tr>
            <w:tr w14:paraId="0D243D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3" w:hRule="atLeast"/>
                <w:jc w:val="center"/>
              </w:trPr>
              <w:tc>
                <w:tcPr>
                  <w:tcW w:w="426" w:type="pct"/>
                  <w:tcBorders>
                    <w:top w:val="single" w:color="auto" w:sz="6" w:space="0"/>
                    <w:left w:val="single" w:color="auto" w:sz="12" w:space="0"/>
                    <w:bottom w:val="single" w:color="auto" w:sz="6" w:space="0"/>
                    <w:right w:val="single" w:color="auto" w:sz="6" w:space="0"/>
                  </w:tcBorders>
                  <w:vAlign w:val="center"/>
                </w:tcPr>
                <w:p w14:paraId="64D35097">
                  <w:pPr>
                    <w:widowControl/>
                    <w:spacing w:line="360" w:lineRule="exact"/>
                    <w:jc w:val="center"/>
                    <w:rPr>
                      <w:kern w:val="0"/>
                      <w:szCs w:val="21"/>
                    </w:rPr>
                  </w:pPr>
                  <w:r>
                    <w:rPr>
                      <w:rFonts w:hint="eastAsia"/>
                      <w:kern w:val="0"/>
                      <w:szCs w:val="21"/>
                    </w:rPr>
                    <w:t>5</w:t>
                  </w:r>
                </w:p>
              </w:tc>
              <w:tc>
                <w:tcPr>
                  <w:tcW w:w="827" w:type="pct"/>
                  <w:tcBorders>
                    <w:top w:val="single" w:color="auto" w:sz="6" w:space="0"/>
                    <w:left w:val="single" w:color="auto" w:sz="6" w:space="0"/>
                    <w:bottom w:val="single" w:color="auto" w:sz="6" w:space="0"/>
                    <w:right w:val="single" w:color="auto" w:sz="6" w:space="0"/>
                  </w:tcBorders>
                  <w:vAlign w:val="center"/>
                </w:tcPr>
                <w:p w14:paraId="19C7AE70">
                  <w:pPr>
                    <w:widowControl/>
                    <w:spacing w:line="360" w:lineRule="exact"/>
                    <w:jc w:val="center"/>
                    <w:rPr>
                      <w:kern w:val="0"/>
                      <w:szCs w:val="21"/>
                    </w:rPr>
                  </w:pPr>
                  <w:r>
                    <w:rPr>
                      <w:rFonts w:hint="eastAsia"/>
                      <w:kern w:val="0"/>
                      <w:szCs w:val="21"/>
                    </w:rPr>
                    <w:t>损坏设备零件</w:t>
                  </w:r>
                </w:p>
              </w:tc>
              <w:tc>
                <w:tcPr>
                  <w:tcW w:w="855" w:type="pct"/>
                  <w:tcBorders>
                    <w:top w:val="single" w:color="auto" w:sz="6" w:space="0"/>
                    <w:left w:val="single" w:color="auto" w:sz="6" w:space="0"/>
                    <w:bottom w:val="single" w:color="auto" w:sz="6" w:space="0"/>
                    <w:right w:val="single" w:color="auto" w:sz="6" w:space="0"/>
                  </w:tcBorders>
                  <w:vAlign w:val="center"/>
                </w:tcPr>
                <w:p w14:paraId="1C7BC2A6">
                  <w:pPr>
                    <w:widowControl/>
                    <w:spacing w:line="360" w:lineRule="exact"/>
                    <w:jc w:val="center"/>
                    <w:rPr>
                      <w:kern w:val="0"/>
                      <w:szCs w:val="21"/>
                    </w:rPr>
                  </w:pPr>
                  <w:r>
                    <w:rPr>
                      <w:rFonts w:hint="eastAsia"/>
                      <w:kern w:val="0"/>
                      <w:szCs w:val="21"/>
                    </w:rPr>
                    <w:t>生产车间</w:t>
                  </w:r>
                </w:p>
              </w:tc>
              <w:tc>
                <w:tcPr>
                  <w:tcW w:w="686" w:type="pct"/>
                  <w:tcBorders>
                    <w:top w:val="single" w:color="auto" w:sz="6" w:space="0"/>
                    <w:left w:val="single" w:color="auto" w:sz="6" w:space="0"/>
                    <w:bottom w:val="single" w:color="auto" w:sz="6" w:space="0"/>
                    <w:right w:val="single" w:color="auto" w:sz="6" w:space="0"/>
                  </w:tcBorders>
                  <w:vAlign w:val="center"/>
                </w:tcPr>
                <w:p w14:paraId="52E72A7A">
                  <w:pPr>
                    <w:widowControl/>
                    <w:spacing w:line="360" w:lineRule="exact"/>
                    <w:jc w:val="center"/>
                    <w:rPr>
                      <w:kern w:val="0"/>
                      <w:szCs w:val="21"/>
                    </w:rPr>
                  </w:pPr>
                  <w:r>
                    <w:rPr>
                      <w:rFonts w:hint="eastAsia"/>
                      <w:kern w:val="0"/>
                      <w:szCs w:val="21"/>
                    </w:rPr>
                    <w:t>间断</w:t>
                  </w:r>
                </w:p>
              </w:tc>
              <w:tc>
                <w:tcPr>
                  <w:tcW w:w="686" w:type="pct"/>
                  <w:tcBorders>
                    <w:top w:val="single" w:color="auto" w:sz="6" w:space="0"/>
                    <w:left w:val="single" w:color="auto" w:sz="6" w:space="0"/>
                    <w:bottom w:val="single" w:color="auto" w:sz="6" w:space="0"/>
                    <w:right w:val="single" w:color="auto" w:sz="6" w:space="0"/>
                  </w:tcBorders>
                  <w:vAlign w:val="center"/>
                </w:tcPr>
                <w:p w14:paraId="095571CD">
                  <w:pPr>
                    <w:widowControl/>
                    <w:spacing w:line="360" w:lineRule="exact"/>
                    <w:jc w:val="center"/>
                    <w:rPr>
                      <w:kern w:val="0"/>
                      <w:szCs w:val="21"/>
                    </w:rPr>
                  </w:pPr>
                  <w:r>
                    <w:rPr>
                      <w:kern w:val="0"/>
                      <w:szCs w:val="21"/>
                    </w:rPr>
                    <w:t>/</w:t>
                  </w:r>
                </w:p>
              </w:tc>
              <w:tc>
                <w:tcPr>
                  <w:tcW w:w="599" w:type="pct"/>
                  <w:tcBorders>
                    <w:top w:val="single" w:color="auto" w:sz="6" w:space="0"/>
                    <w:left w:val="single" w:color="auto" w:sz="6" w:space="0"/>
                    <w:bottom w:val="single" w:color="auto" w:sz="6" w:space="0"/>
                    <w:right w:val="single" w:color="auto" w:sz="6" w:space="0"/>
                  </w:tcBorders>
                  <w:vAlign w:val="center"/>
                </w:tcPr>
                <w:p w14:paraId="2DFB7308">
                  <w:pPr>
                    <w:widowControl/>
                    <w:spacing w:line="360" w:lineRule="exact"/>
                    <w:jc w:val="center"/>
                    <w:rPr>
                      <w:kern w:val="0"/>
                      <w:szCs w:val="21"/>
                    </w:rPr>
                  </w:pPr>
                  <w:r>
                    <w:rPr>
                      <w:kern w:val="0"/>
                      <w:szCs w:val="21"/>
                    </w:rPr>
                    <w:t>0.5</w:t>
                  </w:r>
                </w:p>
              </w:tc>
              <w:tc>
                <w:tcPr>
                  <w:tcW w:w="921" w:type="pct"/>
                  <w:tcBorders>
                    <w:top w:val="single" w:color="auto" w:sz="6" w:space="0"/>
                    <w:left w:val="single" w:color="auto" w:sz="6" w:space="0"/>
                    <w:bottom w:val="single" w:color="auto" w:sz="6" w:space="0"/>
                    <w:right w:val="single" w:color="auto" w:sz="12" w:space="0"/>
                  </w:tcBorders>
                  <w:vAlign w:val="center"/>
                </w:tcPr>
                <w:p w14:paraId="2278BE2B">
                  <w:pPr>
                    <w:widowControl/>
                    <w:spacing w:line="360" w:lineRule="exact"/>
                    <w:jc w:val="center"/>
                    <w:rPr>
                      <w:kern w:val="0"/>
                      <w:szCs w:val="21"/>
                    </w:rPr>
                  </w:pPr>
                  <w:r>
                    <w:rPr>
                      <w:rFonts w:hint="eastAsia"/>
                      <w:kern w:val="0"/>
                      <w:szCs w:val="21"/>
                    </w:rPr>
                    <w:t>外售综合利用</w:t>
                  </w:r>
                </w:p>
              </w:tc>
            </w:tr>
            <w:tr w14:paraId="256F7A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3" w:hRule="atLeast"/>
                <w:jc w:val="center"/>
              </w:trPr>
              <w:tc>
                <w:tcPr>
                  <w:tcW w:w="5000" w:type="pct"/>
                  <w:gridSpan w:val="7"/>
                  <w:tcBorders>
                    <w:top w:val="single" w:color="auto" w:sz="6" w:space="0"/>
                    <w:left w:val="single" w:color="auto" w:sz="12" w:space="0"/>
                    <w:bottom w:val="single" w:color="auto" w:sz="12" w:space="0"/>
                    <w:right w:val="single" w:color="auto" w:sz="12" w:space="0"/>
                  </w:tcBorders>
                  <w:vAlign w:val="center"/>
                </w:tcPr>
                <w:p w14:paraId="0832F1B6">
                  <w:pPr>
                    <w:widowControl/>
                    <w:spacing w:line="360" w:lineRule="exact"/>
                    <w:jc w:val="center"/>
                    <w:rPr>
                      <w:kern w:val="0"/>
                      <w:szCs w:val="21"/>
                    </w:rPr>
                  </w:pPr>
                  <w:r>
                    <w:rPr>
                      <w:rFonts w:hint="eastAsia"/>
                      <w:kern w:val="0"/>
                      <w:szCs w:val="21"/>
                    </w:rPr>
                    <w:t>合计：</w:t>
                  </w:r>
                  <w:r>
                    <w:rPr>
                      <w:kern w:val="0"/>
                      <w:szCs w:val="21"/>
                    </w:rPr>
                    <w:t>569.17</w:t>
                  </w:r>
                  <w:r>
                    <w:rPr>
                      <w:rFonts w:hint="eastAsia"/>
                      <w:kern w:val="0"/>
                      <w:szCs w:val="21"/>
                    </w:rPr>
                    <w:t>（</w:t>
                  </w:r>
                  <w:r>
                    <w:rPr>
                      <w:kern w:val="0"/>
                      <w:szCs w:val="21"/>
                    </w:rPr>
                    <w:t>t/a</w:t>
                  </w:r>
                  <w:r>
                    <w:rPr>
                      <w:rFonts w:hint="eastAsia"/>
                      <w:kern w:val="0"/>
                      <w:szCs w:val="21"/>
                    </w:rPr>
                    <w:t>）</w:t>
                  </w:r>
                </w:p>
              </w:tc>
            </w:tr>
          </w:tbl>
          <w:p w14:paraId="3C40D5F6">
            <w:pPr>
              <w:spacing w:line="360" w:lineRule="auto"/>
              <w:rPr>
                <w:b/>
                <w:sz w:val="24"/>
              </w:rPr>
            </w:pPr>
            <w:r>
              <w:rPr>
                <w:rFonts w:hint="eastAsia"/>
                <w:b/>
                <w:bCs/>
                <w:sz w:val="24"/>
              </w:rPr>
              <w:t>四、环保投资估算一览表</w:t>
            </w:r>
          </w:p>
          <w:p w14:paraId="1E5D19C8">
            <w:pPr>
              <w:spacing w:line="360" w:lineRule="auto"/>
              <w:ind w:firstLine="480" w:firstLineChars="200"/>
              <w:jc w:val="left"/>
              <w:rPr>
                <w:sz w:val="24"/>
              </w:rPr>
            </w:pPr>
            <w:r>
              <w:rPr>
                <w:rFonts w:hint="eastAsia"/>
                <w:sz w:val="24"/>
              </w:rPr>
              <w:t>本项目总投资</w:t>
            </w:r>
            <w:r>
              <w:rPr>
                <w:sz w:val="24"/>
              </w:rPr>
              <w:t>50</w:t>
            </w:r>
            <w:r>
              <w:rPr>
                <w:rFonts w:hint="eastAsia"/>
                <w:sz w:val="24"/>
              </w:rPr>
              <w:t>万元，为确保污染物达标排放，项目新增环保投资</w:t>
            </w:r>
            <w:r>
              <w:rPr>
                <w:sz w:val="24"/>
              </w:rPr>
              <w:t>2.75</w:t>
            </w:r>
            <w:r>
              <w:rPr>
                <w:rFonts w:hint="eastAsia"/>
                <w:sz w:val="24"/>
              </w:rPr>
              <w:t>万元，占总投资的</w:t>
            </w:r>
            <w:r>
              <w:rPr>
                <w:sz w:val="24"/>
              </w:rPr>
              <w:t>5.5%</w:t>
            </w:r>
            <w:r>
              <w:rPr>
                <w:rFonts w:hint="eastAsia"/>
                <w:sz w:val="24"/>
              </w:rPr>
              <w:t>。项目环保投资见表</w:t>
            </w:r>
            <w:r>
              <w:rPr>
                <w:sz w:val="24"/>
              </w:rPr>
              <w:t>5-4</w:t>
            </w:r>
            <w:r>
              <w:rPr>
                <w:rFonts w:hint="eastAsia"/>
                <w:sz w:val="24"/>
              </w:rPr>
              <w:t>。</w:t>
            </w:r>
          </w:p>
          <w:p w14:paraId="74B2D835">
            <w:pPr>
              <w:spacing w:line="276" w:lineRule="auto"/>
              <w:jc w:val="center"/>
              <w:rPr>
                <w:rFonts w:ascii="黑体" w:hAnsi="黑体" w:eastAsia="黑体"/>
                <w:bCs/>
                <w:sz w:val="24"/>
              </w:rPr>
            </w:pPr>
            <w:r>
              <w:rPr>
                <w:rFonts w:hint="eastAsia" w:ascii="黑体" w:hAnsi="黑体" w:eastAsia="黑体"/>
                <w:bCs/>
                <w:sz w:val="24"/>
              </w:rPr>
              <w:t>表</w:t>
            </w:r>
            <w:r>
              <w:rPr>
                <w:rFonts w:ascii="黑体" w:hAnsi="黑体" w:eastAsia="黑体"/>
                <w:bCs/>
                <w:sz w:val="24"/>
              </w:rPr>
              <w:t xml:space="preserve">5-4 </w:t>
            </w:r>
            <w:r>
              <w:rPr>
                <w:rFonts w:hint="eastAsia" w:ascii="黑体" w:hAnsi="黑体" w:eastAsia="黑体"/>
                <w:bCs/>
                <w:sz w:val="24"/>
              </w:rPr>
              <w:t>新增环保设施（措施）及投资估算一览表</w:t>
            </w:r>
          </w:p>
          <w:tbl>
            <w:tblPr>
              <w:tblStyle w:val="25"/>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131"/>
              <w:gridCol w:w="1570"/>
              <w:gridCol w:w="3374"/>
              <w:gridCol w:w="1021"/>
              <w:gridCol w:w="1201"/>
            </w:tblGrid>
            <w:tr w14:paraId="5F1662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82" w:type="pct"/>
                  <w:tcBorders>
                    <w:top w:val="single" w:color="auto" w:sz="12" w:space="0"/>
                    <w:left w:val="single" w:color="auto" w:sz="12" w:space="0"/>
                    <w:bottom w:val="single" w:color="auto" w:sz="12" w:space="0"/>
                    <w:right w:val="single" w:color="auto" w:sz="6" w:space="0"/>
                  </w:tcBorders>
                  <w:vAlign w:val="center"/>
                </w:tcPr>
                <w:p w14:paraId="0C1D5F32">
                  <w:pPr>
                    <w:widowControl/>
                    <w:ind w:firstLine="10" w:firstLineChars="5"/>
                    <w:jc w:val="center"/>
                    <w:rPr>
                      <w:kern w:val="0"/>
                      <w:szCs w:val="21"/>
                    </w:rPr>
                  </w:pPr>
                  <w:r>
                    <w:rPr>
                      <w:rFonts w:hint="eastAsia"/>
                      <w:kern w:val="0"/>
                      <w:szCs w:val="21"/>
                    </w:rPr>
                    <w:t>项目</w:t>
                  </w:r>
                </w:p>
              </w:tc>
              <w:tc>
                <w:tcPr>
                  <w:tcW w:w="946" w:type="pct"/>
                  <w:tcBorders>
                    <w:top w:val="single" w:color="auto" w:sz="12" w:space="0"/>
                    <w:left w:val="single" w:color="auto" w:sz="6" w:space="0"/>
                    <w:bottom w:val="single" w:color="auto" w:sz="12" w:space="0"/>
                    <w:right w:val="single" w:color="auto" w:sz="6" w:space="0"/>
                  </w:tcBorders>
                  <w:vAlign w:val="center"/>
                </w:tcPr>
                <w:p w14:paraId="5DD9B10B">
                  <w:pPr>
                    <w:widowControl/>
                    <w:ind w:leftChars="-8" w:hanging="16" w:hangingChars="8"/>
                    <w:jc w:val="center"/>
                    <w:rPr>
                      <w:kern w:val="0"/>
                      <w:szCs w:val="21"/>
                    </w:rPr>
                  </w:pPr>
                  <w:r>
                    <w:rPr>
                      <w:rFonts w:hint="eastAsia"/>
                      <w:kern w:val="0"/>
                      <w:szCs w:val="21"/>
                    </w:rPr>
                    <w:t>污染源</w:t>
                  </w:r>
                </w:p>
              </w:tc>
              <w:tc>
                <w:tcPr>
                  <w:tcW w:w="2033" w:type="pct"/>
                  <w:tcBorders>
                    <w:top w:val="single" w:color="auto" w:sz="12" w:space="0"/>
                    <w:left w:val="single" w:color="auto" w:sz="6" w:space="0"/>
                    <w:bottom w:val="single" w:color="auto" w:sz="12" w:space="0"/>
                    <w:right w:val="single" w:color="auto" w:sz="6" w:space="0"/>
                  </w:tcBorders>
                  <w:vAlign w:val="center"/>
                </w:tcPr>
                <w:p w14:paraId="0369CF76">
                  <w:pPr>
                    <w:widowControl/>
                    <w:ind w:firstLine="25" w:firstLineChars="12"/>
                    <w:jc w:val="center"/>
                    <w:rPr>
                      <w:kern w:val="0"/>
                      <w:szCs w:val="21"/>
                    </w:rPr>
                  </w:pPr>
                  <w:r>
                    <w:rPr>
                      <w:rFonts w:hint="eastAsia"/>
                      <w:kern w:val="0"/>
                      <w:szCs w:val="21"/>
                    </w:rPr>
                    <w:t>治理措施</w:t>
                  </w:r>
                </w:p>
              </w:tc>
              <w:tc>
                <w:tcPr>
                  <w:tcW w:w="615" w:type="pct"/>
                  <w:tcBorders>
                    <w:top w:val="single" w:color="auto" w:sz="12" w:space="0"/>
                    <w:left w:val="single" w:color="auto" w:sz="6" w:space="0"/>
                    <w:bottom w:val="single" w:color="auto" w:sz="12" w:space="0"/>
                    <w:right w:val="single" w:color="auto" w:sz="6" w:space="0"/>
                  </w:tcBorders>
                  <w:vAlign w:val="center"/>
                </w:tcPr>
                <w:p w14:paraId="0D489AE4">
                  <w:pPr>
                    <w:widowControl/>
                    <w:ind w:hanging="2"/>
                    <w:jc w:val="center"/>
                    <w:rPr>
                      <w:kern w:val="0"/>
                      <w:szCs w:val="21"/>
                    </w:rPr>
                  </w:pPr>
                  <w:r>
                    <w:rPr>
                      <w:rFonts w:hint="eastAsia"/>
                      <w:kern w:val="0"/>
                      <w:szCs w:val="21"/>
                    </w:rPr>
                    <w:t>环保投资（万元）</w:t>
                  </w:r>
                </w:p>
              </w:tc>
              <w:tc>
                <w:tcPr>
                  <w:tcW w:w="724" w:type="pct"/>
                  <w:tcBorders>
                    <w:top w:val="single" w:color="auto" w:sz="12" w:space="0"/>
                    <w:left w:val="single" w:color="auto" w:sz="6" w:space="0"/>
                    <w:bottom w:val="single" w:color="auto" w:sz="12" w:space="0"/>
                    <w:right w:val="single" w:color="auto" w:sz="12" w:space="0"/>
                  </w:tcBorders>
                  <w:vAlign w:val="center"/>
                </w:tcPr>
                <w:p w14:paraId="356AD912">
                  <w:pPr>
                    <w:widowControl/>
                    <w:ind w:hanging="2"/>
                    <w:jc w:val="center"/>
                    <w:rPr>
                      <w:kern w:val="0"/>
                      <w:szCs w:val="21"/>
                    </w:rPr>
                  </w:pPr>
                  <w:r>
                    <w:rPr>
                      <w:rFonts w:hint="eastAsia"/>
                      <w:kern w:val="0"/>
                      <w:szCs w:val="21"/>
                    </w:rPr>
                    <w:t>备注</w:t>
                  </w:r>
                </w:p>
              </w:tc>
            </w:tr>
            <w:tr w14:paraId="3071AE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82" w:type="pct"/>
                  <w:tcBorders>
                    <w:top w:val="single" w:color="auto" w:sz="6" w:space="0"/>
                    <w:left w:val="single" w:color="auto" w:sz="12" w:space="0"/>
                    <w:bottom w:val="single" w:color="auto" w:sz="6" w:space="0"/>
                    <w:right w:val="single" w:color="auto" w:sz="6" w:space="0"/>
                  </w:tcBorders>
                  <w:vAlign w:val="center"/>
                </w:tcPr>
                <w:p w14:paraId="09D364D6">
                  <w:pPr>
                    <w:widowControl/>
                    <w:ind w:firstLine="29" w:firstLineChars="14"/>
                    <w:jc w:val="center"/>
                    <w:rPr>
                      <w:kern w:val="0"/>
                      <w:szCs w:val="21"/>
                    </w:rPr>
                  </w:pPr>
                  <w:r>
                    <w:rPr>
                      <w:rFonts w:hint="eastAsia"/>
                      <w:kern w:val="0"/>
                      <w:szCs w:val="21"/>
                    </w:rPr>
                    <w:t>废气</w:t>
                  </w:r>
                </w:p>
              </w:tc>
              <w:tc>
                <w:tcPr>
                  <w:tcW w:w="946" w:type="pct"/>
                  <w:tcBorders>
                    <w:top w:val="single" w:color="auto" w:sz="6" w:space="0"/>
                    <w:left w:val="single" w:color="auto" w:sz="6" w:space="0"/>
                    <w:bottom w:val="single" w:color="auto" w:sz="6" w:space="0"/>
                    <w:right w:val="single" w:color="auto" w:sz="6" w:space="0"/>
                  </w:tcBorders>
                  <w:vAlign w:val="center"/>
                </w:tcPr>
                <w:p w14:paraId="0DD0237D">
                  <w:pPr>
                    <w:jc w:val="center"/>
                    <w:rPr>
                      <w:kern w:val="0"/>
                      <w:szCs w:val="21"/>
                    </w:rPr>
                  </w:pPr>
                  <w:r>
                    <w:rPr>
                      <w:rFonts w:hint="eastAsia"/>
                      <w:kern w:val="0"/>
                      <w:szCs w:val="21"/>
                    </w:rPr>
                    <w:t>锯末粉尘</w:t>
                  </w:r>
                </w:p>
              </w:tc>
              <w:tc>
                <w:tcPr>
                  <w:tcW w:w="2033" w:type="pct"/>
                  <w:tcBorders>
                    <w:top w:val="single" w:color="auto" w:sz="6" w:space="0"/>
                    <w:left w:val="single" w:color="auto" w:sz="6" w:space="0"/>
                    <w:bottom w:val="single" w:color="auto" w:sz="6" w:space="0"/>
                    <w:right w:val="single" w:color="auto" w:sz="6" w:space="0"/>
                  </w:tcBorders>
                  <w:vAlign w:val="center"/>
                </w:tcPr>
                <w:p w14:paraId="04EE194D">
                  <w:pPr>
                    <w:widowControl/>
                    <w:ind w:firstLine="10" w:firstLineChars="5"/>
                    <w:jc w:val="center"/>
                    <w:rPr>
                      <w:kern w:val="0"/>
                      <w:szCs w:val="21"/>
                    </w:rPr>
                  </w:pPr>
                  <w:r>
                    <w:rPr>
                      <w:rFonts w:hint="eastAsia"/>
                      <w:kern w:val="0"/>
                      <w:szCs w:val="21"/>
                    </w:rPr>
                    <w:t>洒水降尘、清洁清扫、堆场覆盖</w:t>
                  </w:r>
                </w:p>
              </w:tc>
              <w:tc>
                <w:tcPr>
                  <w:tcW w:w="615" w:type="pct"/>
                  <w:tcBorders>
                    <w:top w:val="single" w:color="auto" w:sz="6" w:space="0"/>
                    <w:left w:val="single" w:color="auto" w:sz="6" w:space="0"/>
                    <w:bottom w:val="single" w:color="auto" w:sz="6" w:space="0"/>
                    <w:right w:val="single" w:color="auto" w:sz="6" w:space="0"/>
                  </w:tcBorders>
                  <w:vAlign w:val="center"/>
                </w:tcPr>
                <w:p w14:paraId="3D4D5CDD">
                  <w:pPr>
                    <w:widowControl/>
                    <w:ind w:firstLine="10" w:firstLineChars="5"/>
                    <w:jc w:val="center"/>
                    <w:rPr>
                      <w:kern w:val="0"/>
                      <w:szCs w:val="21"/>
                    </w:rPr>
                  </w:pPr>
                  <w:r>
                    <w:rPr>
                      <w:kern w:val="0"/>
                      <w:szCs w:val="21"/>
                    </w:rPr>
                    <w:t>0.5</w:t>
                  </w:r>
                </w:p>
              </w:tc>
              <w:tc>
                <w:tcPr>
                  <w:tcW w:w="724" w:type="pct"/>
                  <w:tcBorders>
                    <w:top w:val="single" w:color="auto" w:sz="6" w:space="0"/>
                    <w:left w:val="single" w:color="auto" w:sz="6" w:space="0"/>
                    <w:bottom w:val="single" w:color="auto" w:sz="6" w:space="0"/>
                    <w:right w:val="single" w:color="auto" w:sz="12" w:space="0"/>
                  </w:tcBorders>
                  <w:vAlign w:val="center"/>
                </w:tcPr>
                <w:p w14:paraId="5BF06579">
                  <w:pPr>
                    <w:widowControl/>
                    <w:ind w:firstLine="10" w:firstLineChars="5"/>
                    <w:jc w:val="center"/>
                    <w:rPr>
                      <w:kern w:val="0"/>
                      <w:szCs w:val="21"/>
                    </w:rPr>
                  </w:pPr>
                  <w:r>
                    <w:rPr>
                      <w:rFonts w:hint="eastAsia"/>
                      <w:kern w:val="0"/>
                      <w:szCs w:val="21"/>
                    </w:rPr>
                    <w:t>每年持续投入</w:t>
                  </w:r>
                </w:p>
              </w:tc>
            </w:tr>
            <w:tr w14:paraId="44295C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82" w:type="pct"/>
                  <w:tcBorders>
                    <w:top w:val="single" w:color="auto" w:sz="6" w:space="0"/>
                    <w:left w:val="single" w:color="auto" w:sz="12" w:space="0"/>
                    <w:bottom w:val="single" w:color="auto" w:sz="6" w:space="0"/>
                    <w:right w:val="single" w:color="auto" w:sz="6" w:space="0"/>
                  </w:tcBorders>
                  <w:vAlign w:val="center"/>
                </w:tcPr>
                <w:p w14:paraId="796838E9">
                  <w:pPr>
                    <w:widowControl/>
                    <w:ind w:firstLine="29" w:firstLineChars="14"/>
                    <w:jc w:val="center"/>
                    <w:rPr>
                      <w:kern w:val="0"/>
                      <w:szCs w:val="21"/>
                    </w:rPr>
                  </w:pPr>
                  <w:r>
                    <w:rPr>
                      <w:rFonts w:hint="eastAsia"/>
                      <w:kern w:val="0"/>
                      <w:szCs w:val="21"/>
                    </w:rPr>
                    <w:t>废水</w:t>
                  </w:r>
                </w:p>
              </w:tc>
              <w:tc>
                <w:tcPr>
                  <w:tcW w:w="946" w:type="pct"/>
                  <w:tcBorders>
                    <w:top w:val="single" w:color="auto" w:sz="6" w:space="0"/>
                    <w:left w:val="single" w:color="auto" w:sz="6" w:space="0"/>
                    <w:bottom w:val="single" w:color="auto" w:sz="6" w:space="0"/>
                    <w:right w:val="single" w:color="auto" w:sz="6" w:space="0"/>
                  </w:tcBorders>
                  <w:vAlign w:val="center"/>
                </w:tcPr>
                <w:p w14:paraId="2E5C4180">
                  <w:pPr>
                    <w:jc w:val="center"/>
                    <w:rPr>
                      <w:kern w:val="0"/>
                      <w:szCs w:val="21"/>
                    </w:rPr>
                  </w:pPr>
                  <w:r>
                    <w:rPr>
                      <w:rFonts w:hint="eastAsia"/>
                      <w:kern w:val="0"/>
                      <w:szCs w:val="21"/>
                    </w:rPr>
                    <w:t>雨水</w:t>
                  </w:r>
                </w:p>
              </w:tc>
              <w:tc>
                <w:tcPr>
                  <w:tcW w:w="2033" w:type="pct"/>
                  <w:tcBorders>
                    <w:top w:val="single" w:color="auto" w:sz="6" w:space="0"/>
                    <w:left w:val="single" w:color="auto" w:sz="6" w:space="0"/>
                    <w:bottom w:val="single" w:color="auto" w:sz="6" w:space="0"/>
                    <w:right w:val="single" w:color="auto" w:sz="6" w:space="0"/>
                  </w:tcBorders>
                  <w:vAlign w:val="center"/>
                </w:tcPr>
                <w:p w14:paraId="244992E9">
                  <w:pPr>
                    <w:widowControl/>
                    <w:ind w:firstLine="10" w:firstLineChars="5"/>
                    <w:jc w:val="center"/>
                    <w:rPr>
                      <w:kern w:val="0"/>
                      <w:szCs w:val="21"/>
                    </w:rPr>
                  </w:pPr>
                  <w:r>
                    <w:rPr>
                      <w:rFonts w:hint="eastAsia"/>
                      <w:kern w:val="0"/>
                      <w:szCs w:val="21"/>
                    </w:rPr>
                    <w:t>雨水沉淀池</w:t>
                  </w:r>
                </w:p>
              </w:tc>
              <w:tc>
                <w:tcPr>
                  <w:tcW w:w="615" w:type="pct"/>
                  <w:tcBorders>
                    <w:top w:val="single" w:color="auto" w:sz="6" w:space="0"/>
                    <w:left w:val="single" w:color="auto" w:sz="6" w:space="0"/>
                    <w:bottom w:val="single" w:color="auto" w:sz="6" w:space="0"/>
                    <w:right w:val="single" w:color="auto" w:sz="6" w:space="0"/>
                  </w:tcBorders>
                  <w:vAlign w:val="center"/>
                </w:tcPr>
                <w:p w14:paraId="3595AC18">
                  <w:pPr>
                    <w:widowControl/>
                    <w:ind w:firstLine="10" w:firstLineChars="5"/>
                    <w:jc w:val="center"/>
                    <w:rPr>
                      <w:kern w:val="0"/>
                      <w:szCs w:val="21"/>
                    </w:rPr>
                  </w:pPr>
                  <w:r>
                    <w:rPr>
                      <w:rFonts w:hint="eastAsia"/>
                      <w:kern w:val="0"/>
                      <w:szCs w:val="21"/>
                    </w:rPr>
                    <w:t>1</w:t>
                  </w:r>
                </w:p>
              </w:tc>
              <w:tc>
                <w:tcPr>
                  <w:tcW w:w="724" w:type="pct"/>
                  <w:tcBorders>
                    <w:top w:val="single" w:color="auto" w:sz="6" w:space="0"/>
                    <w:left w:val="single" w:color="auto" w:sz="6" w:space="0"/>
                    <w:bottom w:val="single" w:color="auto" w:sz="6" w:space="0"/>
                    <w:right w:val="single" w:color="auto" w:sz="12" w:space="0"/>
                  </w:tcBorders>
                  <w:vAlign w:val="center"/>
                </w:tcPr>
                <w:p w14:paraId="49F7D814">
                  <w:pPr>
                    <w:widowControl/>
                    <w:ind w:firstLine="10" w:firstLineChars="5"/>
                    <w:jc w:val="center"/>
                    <w:rPr>
                      <w:kern w:val="0"/>
                      <w:szCs w:val="21"/>
                    </w:rPr>
                  </w:pPr>
                  <w:r>
                    <w:rPr>
                      <w:rFonts w:hint="eastAsia"/>
                      <w:kern w:val="0"/>
                      <w:szCs w:val="21"/>
                    </w:rPr>
                    <w:t>/</w:t>
                  </w:r>
                </w:p>
              </w:tc>
            </w:tr>
            <w:tr w14:paraId="0AA86C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82" w:type="pct"/>
                  <w:tcBorders>
                    <w:top w:val="single" w:color="auto" w:sz="6" w:space="0"/>
                    <w:left w:val="single" w:color="auto" w:sz="12" w:space="0"/>
                    <w:bottom w:val="single" w:color="auto" w:sz="6" w:space="0"/>
                    <w:right w:val="single" w:color="auto" w:sz="6" w:space="0"/>
                  </w:tcBorders>
                  <w:vAlign w:val="center"/>
                </w:tcPr>
                <w:p w14:paraId="14523C09">
                  <w:pPr>
                    <w:widowControl/>
                    <w:ind w:firstLine="29" w:firstLineChars="14"/>
                    <w:jc w:val="center"/>
                    <w:rPr>
                      <w:kern w:val="0"/>
                      <w:szCs w:val="21"/>
                    </w:rPr>
                  </w:pPr>
                  <w:r>
                    <w:rPr>
                      <w:rFonts w:hint="eastAsia"/>
                      <w:kern w:val="0"/>
                      <w:szCs w:val="21"/>
                    </w:rPr>
                    <w:t>噪声</w:t>
                  </w:r>
                </w:p>
              </w:tc>
              <w:tc>
                <w:tcPr>
                  <w:tcW w:w="946" w:type="pct"/>
                  <w:tcBorders>
                    <w:top w:val="single" w:color="auto" w:sz="6" w:space="0"/>
                    <w:left w:val="single" w:color="auto" w:sz="6" w:space="0"/>
                    <w:bottom w:val="single" w:color="auto" w:sz="6" w:space="0"/>
                    <w:right w:val="single" w:color="auto" w:sz="6" w:space="0"/>
                  </w:tcBorders>
                  <w:vAlign w:val="center"/>
                </w:tcPr>
                <w:p w14:paraId="31D5D3E0">
                  <w:pPr>
                    <w:jc w:val="center"/>
                    <w:rPr>
                      <w:kern w:val="0"/>
                      <w:szCs w:val="21"/>
                    </w:rPr>
                  </w:pPr>
                  <w:r>
                    <w:rPr>
                      <w:rFonts w:hint="eastAsia"/>
                      <w:kern w:val="0"/>
                      <w:szCs w:val="21"/>
                    </w:rPr>
                    <w:t>设备、人员活动噪声</w:t>
                  </w:r>
                </w:p>
              </w:tc>
              <w:tc>
                <w:tcPr>
                  <w:tcW w:w="2033" w:type="pct"/>
                  <w:tcBorders>
                    <w:top w:val="single" w:color="auto" w:sz="6" w:space="0"/>
                    <w:left w:val="single" w:color="auto" w:sz="6" w:space="0"/>
                    <w:bottom w:val="single" w:color="auto" w:sz="6" w:space="0"/>
                    <w:right w:val="single" w:color="auto" w:sz="6" w:space="0"/>
                  </w:tcBorders>
                  <w:vAlign w:val="center"/>
                </w:tcPr>
                <w:p w14:paraId="732E1176">
                  <w:pPr>
                    <w:widowControl/>
                    <w:ind w:firstLine="10" w:firstLineChars="5"/>
                    <w:jc w:val="center"/>
                    <w:rPr>
                      <w:kern w:val="0"/>
                      <w:szCs w:val="21"/>
                    </w:rPr>
                  </w:pPr>
                  <w:r>
                    <w:rPr>
                      <w:rFonts w:hint="eastAsia"/>
                      <w:kern w:val="0"/>
                      <w:szCs w:val="21"/>
                    </w:rPr>
                    <w:t>低噪设备、基座减震、墙体隔声、距离衰减、加强管理</w:t>
                  </w:r>
                </w:p>
              </w:tc>
              <w:tc>
                <w:tcPr>
                  <w:tcW w:w="615" w:type="pct"/>
                  <w:tcBorders>
                    <w:top w:val="single" w:color="auto" w:sz="6" w:space="0"/>
                    <w:left w:val="single" w:color="auto" w:sz="6" w:space="0"/>
                    <w:bottom w:val="single" w:color="auto" w:sz="6" w:space="0"/>
                    <w:right w:val="single" w:color="auto" w:sz="6" w:space="0"/>
                  </w:tcBorders>
                  <w:vAlign w:val="center"/>
                </w:tcPr>
                <w:p w14:paraId="4960DAF2">
                  <w:pPr>
                    <w:widowControl/>
                    <w:ind w:firstLine="10" w:firstLineChars="5"/>
                    <w:jc w:val="center"/>
                    <w:rPr>
                      <w:kern w:val="0"/>
                      <w:szCs w:val="21"/>
                    </w:rPr>
                  </w:pPr>
                  <w:r>
                    <w:rPr>
                      <w:kern w:val="0"/>
                      <w:szCs w:val="21"/>
                    </w:rPr>
                    <w:t>0.2</w:t>
                  </w:r>
                </w:p>
              </w:tc>
              <w:tc>
                <w:tcPr>
                  <w:tcW w:w="724" w:type="pct"/>
                  <w:tcBorders>
                    <w:top w:val="single" w:color="auto" w:sz="6" w:space="0"/>
                    <w:left w:val="single" w:color="auto" w:sz="6" w:space="0"/>
                    <w:bottom w:val="single" w:color="auto" w:sz="6" w:space="0"/>
                    <w:right w:val="single" w:color="auto" w:sz="12" w:space="0"/>
                  </w:tcBorders>
                  <w:vAlign w:val="center"/>
                </w:tcPr>
                <w:p w14:paraId="23BC5227">
                  <w:pPr>
                    <w:widowControl/>
                    <w:ind w:firstLine="10" w:firstLineChars="5"/>
                    <w:jc w:val="center"/>
                    <w:rPr>
                      <w:kern w:val="0"/>
                      <w:szCs w:val="21"/>
                    </w:rPr>
                  </w:pPr>
                  <w:r>
                    <w:rPr>
                      <w:kern w:val="0"/>
                      <w:szCs w:val="21"/>
                    </w:rPr>
                    <w:t>/</w:t>
                  </w:r>
                </w:p>
              </w:tc>
            </w:tr>
            <w:tr w14:paraId="1074E4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82" w:type="pct"/>
                  <w:vMerge w:val="restart"/>
                  <w:tcBorders>
                    <w:top w:val="single" w:color="auto" w:sz="6" w:space="0"/>
                    <w:left w:val="single" w:color="auto" w:sz="12" w:space="0"/>
                    <w:bottom w:val="single" w:color="auto" w:sz="6" w:space="0"/>
                    <w:right w:val="single" w:color="auto" w:sz="6" w:space="0"/>
                  </w:tcBorders>
                  <w:vAlign w:val="center"/>
                </w:tcPr>
                <w:p w14:paraId="7A5CE4E8">
                  <w:pPr>
                    <w:widowControl/>
                    <w:ind w:firstLine="29" w:firstLineChars="14"/>
                    <w:jc w:val="center"/>
                    <w:rPr>
                      <w:kern w:val="0"/>
                      <w:szCs w:val="21"/>
                    </w:rPr>
                  </w:pPr>
                  <w:r>
                    <w:rPr>
                      <w:rFonts w:hint="eastAsia"/>
                      <w:kern w:val="0"/>
                      <w:szCs w:val="21"/>
                    </w:rPr>
                    <w:t>固废</w:t>
                  </w:r>
                </w:p>
              </w:tc>
              <w:tc>
                <w:tcPr>
                  <w:tcW w:w="946" w:type="pct"/>
                  <w:tcBorders>
                    <w:top w:val="single" w:color="auto" w:sz="6" w:space="0"/>
                    <w:left w:val="single" w:color="auto" w:sz="6" w:space="0"/>
                    <w:bottom w:val="single" w:color="auto" w:sz="6" w:space="0"/>
                    <w:right w:val="single" w:color="auto" w:sz="6" w:space="0"/>
                  </w:tcBorders>
                  <w:vAlign w:val="center"/>
                </w:tcPr>
                <w:p w14:paraId="58C698DB">
                  <w:pPr>
                    <w:jc w:val="center"/>
                    <w:rPr>
                      <w:kern w:val="0"/>
                      <w:szCs w:val="21"/>
                    </w:rPr>
                  </w:pPr>
                  <w:r>
                    <w:rPr>
                      <w:rFonts w:hint="eastAsia"/>
                      <w:kern w:val="0"/>
                      <w:szCs w:val="21"/>
                    </w:rPr>
                    <w:t>生活垃圾</w:t>
                  </w:r>
                </w:p>
              </w:tc>
              <w:tc>
                <w:tcPr>
                  <w:tcW w:w="2033" w:type="pct"/>
                  <w:tcBorders>
                    <w:top w:val="single" w:color="auto" w:sz="6" w:space="0"/>
                    <w:left w:val="single" w:color="auto" w:sz="6" w:space="0"/>
                    <w:bottom w:val="single" w:color="auto" w:sz="6" w:space="0"/>
                    <w:right w:val="single" w:color="auto" w:sz="6" w:space="0"/>
                  </w:tcBorders>
                  <w:vAlign w:val="center"/>
                </w:tcPr>
                <w:p w14:paraId="55E2FE12">
                  <w:pPr>
                    <w:widowControl/>
                    <w:ind w:firstLine="10" w:firstLineChars="5"/>
                    <w:jc w:val="center"/>
                    <w:rPr>
                      <w:kern w:val="0"/>
                      <w:szCs w:val="21"/>
                    </w:rPr>
                  </w:pPr>
                  <w:r>
                    <w:rPr>
                      <w:szCs w:val="21"/>
                    </w:rPr>
                    <w:t>生活垃圾设置垃圾桶收集后自行清运至</w:t>
                  </w:r>
                  <w:r>
                    <w:rPr>
                      <w:rFonts w:hint="eastAsia"/>
                      <w:szCs w:val="21"/>
                    </w:rPr>
                    <w:t>平等乡</w:t>
                  </w:r>
                  <w:r>
                    <w:rPr>
                      <w:szCs w:val="21"/>
                    </w:rPr>
                    <w:t>垃圾收集点，由村委会</w:t>
                  </w:r>
                  <w:r>
                    <w:rPr>
                      <w:rFonts w:hint="eastAsia"/>
                      <w:szCs w:val="21"/>
                    </w:rPr>
                    <w:t>收集</w:t>
                  </w:r>
                  <w:r>
                    <w:rPr>
                      <w:szCs w:val="21"/>
                    </w:rPr>
                    <w:t>处理</w:t>
                  </w:r>
                </w:p>
              </w:tc>
              <w:tc>
                <w:tcPr>
                  <w:tcW w:w="615" w:type="pct"/>
                  <w:tcBorders>
                    <w:top w:val="single" w:color="auto" w:sz="6" w:space="0"/>
                    <w:left w:val="single" w:color="auto" w:sz="6" w:space="0"/>
                    <w:bottom w:val="single" w:color="auto" w:sz="6" w:space="0"/>
                    <w:right w:val="single" w:color="auto" w:sz="6" w:space="0"/>
                  </w:tcBorders>
                  <w:vAlign w:val="center"/>
                </w:tcPr>
                <w:p w14:paraId="0039E3B1">
                  <w:pPr>
                    <w:widowControl/>
                    <w:ind w:firstLine="10" w:firstLineChars="5"/>
                    <w:jc w:val="center"/>
                    <w:rPr>
                      <w:kern w:val="0"/>
                      <w:szCs w:val="21"/>
                    </w:rPr>
                  </w:pPr>
                  <w:r>
                    <w:rPr>
                      <w:kern w:val="0"/>
                      <w:szCs w:val="21"/>
                    </w:rPr>
                    <w:t>0.05</w:t>
                  </w:r>
                </w:p>
              </w:tc>
              <w:tc>
                <w:tcPr>
                  <w:tcW w:w="724" w:type="pct"/>
                  <w:tcBorders>
                    <w:top w:val="single" w:color="auto" w:sz="6" w:space="0"/>
                    <w:left w:val="single" w:color="auto" w:sz="6" w:space="0"/>
                    <w:bottom w:val="single" w:color="auto" w:sz="6" w:space="0"/>
                    <w:right w:val="single" w:color="auto" w:sz="12" w:space="0"/>
                  </w:tcBorders>
                  <w:vAlign w:val="center"/>
                </w:tcPr>
                <w:p w14:paraId="47E0A709">
                  <w:pPr>
                    <w:widowControl/>
                    <w:ind w:firstLine="10" w:firstLineChars="5"/>
                    <w:jc w:val="center"/>
                    <w:rPr>
                      <w:kern w:val="0"/>
                      <w:szCs w:val="21"/>
                    </w:rPr>
                  </w:pPr>
                  <w:r>
                    <w:rPr>
                      <w:rFonts w:hint="eastAsia"/>
                      <w:kern w:val="0"/>
                      <w:szCs w:val="21"/>
                    </w:rPr>
                    <w:t>每年持续投入</w:t>
                  </w:r>
                </w:p>
              </w:tc>
            </w:tr>
            <w:tr w14:paraId="5713C2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82" w:type="pct"/>
                  <w:vMerge w:val="continue"/>
                  <w:tcBorders>
                    <w:top w:val="single" w:color="auto" w:sz="6" w:space="0"/>
                    <w:left w:val="single" w:color="auto" w:sz="12" w:space="0"/>
                    <w:bottom w:val="single" w:color="auto" w:sz="6" w:space="0"/>
                    <w:right w:val="single" w:color="auto" w:sz="6" w:space="0"/>
                  </w:tcBorders>
                  <w:vAlign w:val="center"/>
                </w:tcPr>
                <w:p w14:paraId="4355F441">
                  <w:pPr>
                    <w:widowControl/>
                    <w:ind w:firstLine="29" w:firstLineChars="14"/>
                    <w:jc w:val="center"/>
                    <w:rPr>
                      <w:kern w:val="0"/>
                      <w:szCs w:val="21"/>
                    </w:rPr>
                  </w:pPr>
                </w:p>
              </w:tc>
              <w:tc>
                <w:tcPr>
                  <w:tcW w:w="946" w:type="pct"/>
                  <w:tcBorders>
                    <w:top w:val="single" w:color="auto" w:sz="6" w:space="0"/>
                    <w:left w:val="single" w:color="auto" w:sz="6" w:space="0"/>
                    <w:bottom w:val="single" w:color="auto" w:sz="6" w:space="0"/>
                    <w:right w:val="single" w:color="auto" w:sz="6" w:space="0"/>
                  </w:tcBorders>
                  <w:vAlign w:val="center"/>
                </w:tcPr>
                <w:p w14:paraId="53883A97">
                  <w:pPr>
                    <w:jc w:val="center"/>
                    <w:rPr>
                      <w:kern w:val="0"/>
                      <w:szCs w:val="21"/>
                    </w:rPr>
                  </w:pPr>
                  <w:r>
                    <w:rPr>
                      <w:rFonts w:hint="eastAsia"/>
                      <w:kern w:val="0"/>
                      <w:szCs w:val="21"/>
                    </w:rPr>
                    <w:t>一般固废堆场</w:t>
                  </w:r>
                </w:p>
              </w:tc>
              <w:tc>
                <w:tcPr>
                  <w:tcW w:w="2033" w:type="pct"/>
                  <w:tcBorders>
                    <w:top w:val="single" w:color="auto" w:sz="6" w:space="0"/>
                    <w:left w:val="single" w:color="auto" w:sz="6" w:space="0"/>
                    <w:bottom w:val="single" w:color="auto" w:sz="6" w:space="0"/>
                    <w:right w:val="single" w:color="auto" w:sz="6" w:space="0"/>
                  </w:tcBorders>
                  <w:vAlign w:val="center"/>
                </w:tcPr>
                <w:p w14:paraId="2B10AD47">
                  <w:pPr>
                    <w:widowControl/>
                    <w:ind w:firstLine="10" w:firstLineChars="5"/>
                    <w:jc w:val="center"/>
                    <w:rPr>
                      <w:szCs w:val="21"/>
                    </w:rPr>
                  </w:pPr>
                  <w:r>
                    <w:rPr>
                      <w:rFonts w:hint="eastAsia"/>
                      <w:szCs w:val="21"/>
                    </w:rPr>
                    <w:t>新建一般固废堆场，暂存点修建做到三围一挡，及时清扫。</w:t>
                  </w:r>
                </w:p>
              </w:tc>
              <w:tc>
                <w:tcPr>
                  <w:tcW w:w="615" w:type="pct"/>
                  <w:tcBorders>
                    <w:top w:val="single" w:color="auto" w:sz="6" w:space="0"/>
                    <w:left w:val="single" w:color="auto" w:sz="6" w:space="0"/>
                    <w:bottom w:val="single" w:color="auto" w:sz="6" w:space="0"/>
                    <w:right w:val="single" w:color="auto" w:sz="6" w:space="0"/>
                  </w:tcBorders>
                  <w:vAlign w:val="center"/>
                </w:tcPr>
                <w:p w14:paraId="39D43597">
                  <w:pPr>
                    <w:widowControl/>
                    <w:ind w:firstLine="10" w:firstLineChars="5"/>
                    <w:jc w:val="center"/>
                    <w:rPr>
                      <w:kern w:val="0"/>
                      <w:szCs w:val="21"/>
                    </w:rPr>
                  </w:pPr>
                  <w:r>
                    <w:rPr>
                      <w:kern w:val="0"/>
                      <w:szCs w:val="21"/>
                    </w:rPr>
                    <w:t>1</w:t>
                  </w:r>
                </w:p>
              </w:tc>
              <w:tc>
                <w:tcPr>
                  <w:tcW w:w="724" w:type="pct"/>
                  <w:tcBorders>
                    <w:top w:val="single" w:color="auto" w:sz="6" w:space="0"/>
                    <w:left w:val="single" w:color="auto" w:sz="6" w:space="0"/>
                    <w:bottom w:val="single" w:color="auto" w:sz="6" w:space="0"/>
                    <w:right w:val="single" w:color="auto" w:sz="12" w:space="0"/>
                  </w:tcBorders>
                  <w:vAlign w:val="center"/>
                </w:tcPr>
                <w:p w14:paraId="1D18AF8F">
                  <w:pPr>
                    <w:widowControl/>
                    <w:ind w:firstLine="10" w:firstLineChars="5"/>
                    <w:jc w:val="center"/>
                    <w:rPr>
                      <w:kern w:val="0"/>
                      <w:szCs w:val="21"/>
                    </w:rPr>
                  </w:pPr>
                  <w:r>
                    <w:rPr>
                      <w:rFonts w:hint="eastAsia"/>
                      <w:kern w:val="0"/>
                      <w:szCs w:val="21"/>
                    </w:rPr>
                    <w:t>每年持续投入</w:t>
                  </w:r>
                </w:p>
              </w:tc>
            </w:tr>
            <w:tr w14:paraId="141663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8" w:type="pct"/>
                  <w:gridSpan w:val="2"/>
                  <w:tcBorders>
                    <w:top w:val="single" w:color="auto" w:sz="6" w:space="0"/>
                    <w:left w:val="single" w:color="auto" w:sz="12" w:space="0"/>
                    <w:bottom w:val="single" w:color="auto" w:sz="6" w:space="0"/>
                    <w:right w:val="single" w:color="auto" w:sz="6" w:space="0"/>
                  </w:tcBorders>
                  <w:vAlign w:val="center"/>
                </w:tcPr>
                <w:p w14:paraId="2C115359">
                  <w:pPr>
                    <w:jc w:val="center"/>
                    <w:rPr>
                      <w:kern w:val="0"/>
                      <w:szCs w:val="21"/>
                    </w:rPr>
                  </w:pPr>
                  <w:r>
                    <w:rPr>
                      <w:rFonts w:hint="eastAsia"/>
                      <w:kern w:val="0"/>
                      <w:szCs w:val="21"/>
                    </w:rPr>
                    <w:t>环境风险</w:t>
                  </w:r>
                </w:p>
              </w:tc>
              <w:tc>
                <w:tcPr>
                  <w:tcW w:w="2033" w:type="pct"/>
                  <w:tcBorders>
                    <w:top w:val="single" w:color="auto" w:sz="6" w:space="0"/>
                    <w:left w:val="single" w:color="auto" w:sz="6" w:space="0"/>
                    <w:bottom w:val="single" w:color="auto" w:sz="6" w:space="0"/>
                    <w:right w:val="single" w:color="auto" w:sz="6" w:space="0"/>
                  </w:tcBorders>
                  <w:vAlign w:val="center"/>
                </w:tcPr>
                <w:p w14:paraId="2FB7353B">
                  <w:pPr>
                    <w:widowControl/>
                    <w:ind w:firstLine="10" w:firstLineChars="5"/>
                    <w:jc w:val="center"/>
                    <w:rPr>
                      <w:szCs w:val="21"/>
                    </w:rPr>
                  </w:pPr>
                  <w:r>
                    <w:rPr>
                      <w:rFonts w:hint="eastAsia"/>
                      <w:szCs w:val="21"/>
                    </w:rPr>
                    <w:t>灭火器、消防栓、降尘设施</w:t>
                  </w:r>
                </w:p>
              </w:tc>
              <w:tc>
                <w:tcPr>
                  <w:tcW w:w="615" w:type="pct"/>
                  <w:tcBorders>
                    <w:top w:val="single" w:color="auto" w:sz="6" w:space="0"/>
                    <w:left w:val="single" w:color="auto" w:sz="6" w:space="0"/>
                    <w:bottom w:val="single" w:color="auto" w:sz="6" w:space="0"/>
                    <w:right w:val="single" w:color="auto" w:sz="6" w:space="0"/>
                  </w:tcBorders>
                  <w:vAlign w:val="center"/>
                </w:tcPr>
                <w:p w14:paraId="2281DF3E">
                  <w:pPr>
                    <w:widowControl/>
                    <w:ind w:firstLine="10" w:firstLineChars="5"/>
                    <w:jc w:val="center"/>
                    <w:rPr>
                      <w:kern w:val="0"/>
                      <w:szCs w:val="21"/>
                    </w:rPr>
                  </w:pPr>
                  <w:r>
                    <w:rPr>
                      <w:kern w:val="0"/>
                      <w:szCs w:val="21"/>
                    </w:rPr>
                    <w:t>/</w:t>
                  </w:r>
                </w:p>
              </w:tc>
              <w:tc>
                <w:tcPr>
                  <w:tcW w:w="724" w:type="pct"/>
                  <w:tcBorders>
                    <w:top w:val="single" w:color="auto" w:sz="6" w:space="0"/>
                    <w:left w:val="single" w:color="auto" w:sz="6" w:space="0"/>
                    <w:bottom w:val="single" w:color="auto" w:sz="6" w:space="0"/>
                    <w:right w:val="single" w:color="auto" w:sz="12" w:space="0"/>
                  </w:tcBorders>
                  <w:vAlign w:val="center"/>
                </w:tcPr>
                <w:p w14:paraId="6B5E19F3">
                  <w:pPr>
                    <w:widowControl/>
                    <w:ind w:firstLine="10" w:firstLineChars="5"/>
                    <w:jc w:val="center"/>
                    <w:rPr>
                      <w:kern w:val="0"/>
                      <w:szCs w:val="21"/>
                    </w:rPr>
                  </w:pPr>
                  <w:r>
                    <w:rPr>
                      <w:rFonts w:hint="eastAsia"/>
                      <w:kern w:val="0"/>
                      <w:szCs w:val="21"/>
                    </w:rPr>
                    <w:t>计入基建</w:t>
                  </w:r>
                </w:p>
              </w:tc>
            </w:tr>
            <w:tr w14:paraId="2E72CB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8" w:type="pct"/>
                  <w:gridSpan w:val="2"/>
                  <w:tcBorders>
                    <w:top w:val="single" w:color="auto" w:sz="6" w:space="0"/>
                    <w:left w:val="single" w:color="auto" w:sz="12" w:space="0"/>
                    <w:bottom w:val="single" w:color="auto" w:sz="6" w:space="0"/>
                    <w:right w:val="single" w:color="auto" w:sz="6" w:space="0"/>
                  </w:tcBorders>
                  <w:vAlign w:val="center"/>
                </w:tcPr>
                <w:p w14:paraId="39F8138A">
                  <w:pPr>
                    <w:widowControl/>
                    <w:ind w:firstLine="420"/>
                    <w:jc w:val="center"/>
                    <w:rPr>
                      <w:kern w:val="0"/>
                      <w:szCs w:val="21"/>
                    </w:rPr>
                  </w:pPr>
                  <w:r>
                    <w:rPr>
                      <w:rFonts w:hint="eastAsia"/>
                      <w:kern w:val="0"/>
                      <w:szCs w:val="21"/>
                    </w:rPr>
                    <w:t>合计</w:t>
                  </w:r>
                </w:p>
              </w:tc>
              <w:tc>
                <w:tcPr>
                  <w:tcW w:w="2033" w:type="pct"/>
                  <w:tcBorders>
                    <w:top w:val="single" w:color="auto" w:sz="6" w:space="0"/>
                    <w:left w:val="single" w:color="auto" w:sz="6" w:space="0"/>
                    <w:bottom w:val="single" w:color="auto" w:sz="6" w:space="0"/>
                    <w:right w:val="single" w:color="auto" w:sz="6" w:space="0"/>
                  </w:tcBorders>
                  <w:vAlign w:val="center"/>
                </w:tcPr>
                <w:p w14:paraId="7D1273FD">
                  <w:pPr>
                    <w:widowControl/>
                    <w:ind w:firstLine="420"/>
                    <w:jc w:val="center"/>
                    <w:rPr>
                      <w:kern w:val="0"/>
                      <w:szCs w:val="21"/>
                    </w:rPr>
                  </w:pPr>
                  <w:r>
                    <w:rPr>
                      <w:kern w:val="0"/>
                      <w:szCs w:val="21"/>
                    </w:rPr>
                    <w:t>/</w:t>
                  </w:r>
                </w:p>
              </w:tc>
              <w:tc>
                <w:tcPr>
                  <w:tcW w:w="615" w:type="pct"/>
                  <w:tcBorders>
                    <w:top w:val="single" w:color="auto" w:sz="6" w:space="0"/>
                    <w:left w:val="single" w:color="auto" w:sz="6" w:space="0"/>
                    <w:bottom w:val="single" w:color="auto" w:sz="6" w:space="0"/>
                    <w:right w:val="single" w:color="auto" w:sz="6" w:space="0"/>
                  </w:tcBorders>
                  <w:vAlign w:val="center"/>
                </w:tcPr>
                <w:p w14:paraId="47F8AF77">
                  <w:pPr>
                    <w:widowControl/>
                    <w:jc w:val="center"/>
                    <w:rPr>
                      <w:kern w:val="0"/>
                      <w:szCs w:val="21"/>
                    </w:rPr>
                  </w:pPr>
                  <w:r>
                    <w:rPr>
                      <w:kern w:val="0"/>
                      <w:szCs w:val="21"/>
                    </w:rPr>
                    <w:t>2.75</w:t>
                  </w:r>
                </w:p>
              </w:tc>
              <w:tc>
                <w:tcPr>
                  <w:tcW w:w="724" w:type="pct"/>
                  <w:tcBorders>
                    <w:top w:val="single" w:color="auto" w:sz="6" w:space="0"/>
                    <w:left w:val="single" w:color="auto" w:sz="6" w:space="0"/>
                    <w:bottom w:val="single" w:color="auto" w:sz="6" w:space="0"/>
                    <w:right w:val="single" w:color="auto" w:sz="12" w:space="0"/>
                  </w:tcBorders>
                  <w:vAlign w:val="center"/>
                </w:tcPr>
                <w:p w14:paraId="2A703A21">
                  <w:pPr>
                    <w:widowControl/>
                    <w:ind w:firstLine="420"/>
                    <w:rPr>
                      <w:kern w:val="0"/>
                      <w:szCs w:val="21"/>
                    </w:rPr>
                  </w:pPr>
                  <w:r>
                    <w:rPr>
                      <w:kern w:val="0"/>
                      <w:szCs w:val="21"/>
                    </w:rPr>
                    <w:t>/</w:t>
                  </w:r>
                </w:p>
              </w:tc>
            </w:tr>
            <w:tr w14:paraId="4D3960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000" w:type="pct"/>
                  <w:gridSpan w:val="5"/>
                  <w:tcBorders>
                    <w:top w:val="single" w:color="auto" w:sz="6" w:space="0"/>
                    <w:left w:val="single" w:color="auto" w:sz="12" w:space="0"/>
                    <w:bottom w:val="single" w:color="auto" w:sz="12" w:space="0"/>
                    <w:right w:val="single" w:color="auto" w:sz="12" w:space="0"/>
                  </w:tcBorders>
                  <w:vAlign w:val="center"/>
                </w:tcPr>
                <w:p w14:paraId="0505DE9A">
                  <w:pPr>
                    <w:widowControl/>
                    <w:ind w:firstLine="422"/>
                    <w:jc w:val="center"/>
                    <w:rPr>
                      <w:b/>
                      <w:bCs/>
                      <w:kern w:val="0"/>
                      <w:szCs w:val="21"/>
                    </w:rPr>
                  </w:pPr>
                  <w:r>
                    <w:rPr>
                      <w:rFonts w:hint="eastAsia"/>
                      <w:b/>
                      <w:bCs/>
                      <w:kern w:val="0"/>
                      <w:szCs w:val="21"/>
                    </w:rPr>
                    <w:t>项目总投资</w:t>
                  </w:r>
                  <w:r>
                    <w:rPr>
                      <w:b/>
                      <w:bCs/>
                      <w:kern w:val="0"/>
                      <w:szCs w:val="21"/>
                    </w:rPr>
                    <w:t>50</w:t>
                  </w:r>
                  <w:r>
                    <w:rPr>
                      <w:rFonts w:hint="eastAsia"/>
                      <w:b/>
                      <w:bCs/>
                      <w:kern w:val="0"/>
                      <w:szCs w:val="21"/>
                    </w:rPr>
                    <w:t>万元，环保投资</w:t>
                  </w:r>
                  <w:r>
                    <w:rPr>
                      <w:b/>
                      <w:bCs/>
                      <w:kern w:val="0"/>
                      <w:szCs w:val="21"/>
                    </w:rPr>
                    <w:t>2.75</w:t>
                  </w:r>
                  <w:r>
                    <w:rPr>
                      <w:rFonts w:hint="eastAsia"/>
                      <w:b/>
                      <w:bCs/>
                      <w:kern w:val="0"/>
                      <w:szCs w:val="21"/>
                    </w:rPr>
                    <w:t>万元，占总投资</w:t>
                  </w:r>
                  <w:r>
                    <w:rPr>
                      <w:b/>
                      <w:bCs/>
                      <w:kern w:val="0"/>
                      <w:szCs w:val="21"/>
                    </w:rPr>
                    <w:t>5.5%</w:t>
                  </w:r>
                </w:p>
              </w:tc>
            </w:tr>
          </w:tbl>
          <w:p w14:paraId="412DD77E">
            <w:pPr>
              <w:widowControl/>
              <w:adjustRightInd w:val="0"/>
              <w:snapToGrid w:val="0"/>
              <w:spacing w:line="480" w:lineRule="exact"/>
              <w:ind w:right="92" w:rightChars="44" w:firstLine="480" w:firstLineChars="200"/>
              <w:rPr>
                <w:sz w:val="24"/>
              </w:rPr>
            </w:pPr>
          </w:p>
          <w:p w14:paraId="1A56C900">
            <w:pPr>
              <w:widowControl/>
              <w:adjustRightInd w:val="0"/>
              <w:snapToGrid w:val="0"/>
              <w:spacing w:line="480" w:lineRule="exact"/>
              <w:ind w:right="92" w:rightChars="44" w:firstLine="480" w:firstLineChars="200"/>
              <w:rPr>
                <w:sz w:val="24"/>
              </w:rPr>
            </w:pPr>
          </w:p>
          <w:p w14:paraId="0C4C4A2A">
            <w:pPr>
              <w:widowControl/>
              <w:adjustRightInd w:val="0"/>
              <w:snapToGrid w:val="0"/>
              <w:spacing w:line="480" w:lineRule="exact"/>
              <w:ind w:right="92" w:rightChars="44" w:firstLine="480" w:firstLineChars="200"/>
              <w:rPr>
                <w:sz w:val="24"/>
              </w:rPr>
            </w:pPr>
          </w:p>
          <w:p w14:paraId="54F3E628">
            <w:pPr>
              <w:widowControl/>
              <w:adjustRightInd w:val="0"/>
              <w:snapToGrid w:val="0"/>
              <w:spacing w:line="480" w:lineRule="exact"/>
              <w:ind w:right="92" w:rightChars="44" w:firstLine="480" w:firstLineChars="200"/>
              <w:rPr>
                <w:sz w:val="24"/>
              </w:rPr>
            </w:pPr>
          </w:p>
          <w:p w14:paraId="2E86A86B">
            <w:pPr>
              <w:widowControl/>
              <w:adjustRightInd w:val="0"/>
              <w:snapToGrid w:val="0"/>
              <w:spacing w:line="480" w:lineRule="exact"/>
              <w:ind w:right="92" w:rightChars="44" w:firstLine="480" w:firstLineChars="200"/>
              <w:rPr>
                <w:sz w:val="24"/>
              </w:rPr>
            </w:pPr>
          </w:p>
          <w:p w14:paraId="78651519">
            <w:pPr>
              <w:widowControl/>
              <w:adjustRightInd w:val="0"/>
              <w:snapToGrid w:val="0"/>
              <w:spacing w:line="480" w:lineRule="exact"/>
              <w:ind w:right="92" w:rightChars="44" w:firstLine="480" w:firstLineChars="200"/>
              <w:rPr>
                <w:sz w:val="24"/>
              </w:rPr>
            </w:pPr>
          </w:p>
          <w:p w14:paraId="41066F70">
            <w:pPr>
              <w:widowControl/>
              <w:adjustRightInd w:val="0"/>
              <w:snapToGrid w:val="0"/>
              <w:spacing w:line="480" w:lineRule="exact"/>
              <w:ind w:right="92" w:rightChars="44" w:firstLine="480" w:firstLineChars="200"/>
              <w:rPr>
                <w:sz w:val="24"/>
              </w:rPr>
            </w:pPr>
          </w:p>
          <w:p w14:paraId="7C4F926C">
            <w:pPr>
              <w:widowControl/>
              <w:adjustRightInd w:val="0"/>
              <w:snapToGrid w:val="0"/>
              <w:spacing w:line="480" w:lineRule="exact"/>
              <w:ind w:right="92" w:rightChars="44" w:firstLine="480" w:firstLineChars="200"/>
              <w:rPr>
                <w:sz w:val="24"/>
              </w:rPr>
            </w:pPr>
          </w:p>
          <w:p w14:paraId="12CF9A06">
            <w:pPr>
              <w:widowControl/>
              <w:adjustRightInd w:val="0"/>
              <w:snapToGrid w:val="0"/>
              <w:spacing w:line="480" w:lineRule="exact"/>
              <w:ind w:right="92" w:rightChars="44" w:firstLine="480" w:firstLineChars="200"/>
              <w:rPr>
                <w:sz w:val="24"/>
              </w:rPr>
            </w:pPr>
          </w:p>
          <w:p w14:paraId="06A6A8CB">
            <w:pPr>
              <w:widowControl/>
              <w:adjustRightInd w:val="0"/>
              <w:snapToGrid w:val="0"/>
              <w:spacing w:line="480" w:lineRule="exact"/>
              <w:ind w:right="92" w:rightChars="44" w:firstLine="480" w:firstLineChars="200"/>
              <w:rPr>
                <w:sz w:val="24"/>
              </w:rPr>
            </w:pPr>
          </w:p>
          <w:p w14:paraId="30D29F92">
            <w:pPr>
              <w:widowControl/>
              <w:adjustRightInd w:val="0"/>
              <w:snapToGrid w:val="0"/>
              <w:spacing w:line="480" w:lineRule="exact"/>
              <w:ind w:right="92" w:rightChars="44" w:firstLine="480" w:firstLineChars="200"/>
              <w:rPr>
                <w:sz w:val="24"/>
              </w:rPr>
            </w:pPr>
          </w:p>
        </w:tc>
      </w:tr>
    </w:tbl>
    <w:p w14:paraId="113BB42B">
      <w:pPr>
        <w:outlineLvl w:val="0"/>
        <w:rPr>
          <w:b/>
          <w:sz w:val="32"/>
          <w:szCs w:val="32"/>
        </w:rPr>
      </w:pPr>
      <w:r>
        <w:rPr>
          <w:b/>
          <w:sz w:val="32"/>
          <w:szCs w:val="32"/>
        </w:rPr>
        <w:br w:type="page"/>
      </w:r>
      <w:r>
        <w:rPr>
          <w:rFonts w:hint="eastAsia"/>
          <w:b/>
          <w:sz w:val="32"/>
          <w:szCs w:val="32"/>
        </w:rPr>
        <w:t>项目主要污染物产生及预计排放情况</w:t>
      </w:r>
      <w:r>
        <w:rPr>
          <w:b/>
          <w:sz w:val="32"/>
          <w:szCs w:val="32"/>
        </w:rPr>
        <w:t xml:space="preserve">             </w:t>
      </w:r>
      <w:r>
        <w:rPr>
          <w:rFonts w:hint="eastAsia"/>
          <w:b/>
          <w:sz w:val="32"/>
          <w:szCs w:val="32"/>
          <w:lang w:eastAsia="zh-CN"/>
        </w:rPr>
        <w:t>（</w:t>
      </w:r>
      <w:r>
        <w:rPr>
          <w:rFonts w:hint="eastAsia"/>
          <w:b/>
          <w:sz w:val="32"/>
          <w:szCs w:val="32"/>
        </w:rPr>
        <w:t>表六</w:t>
      </w:r>
      <w:r>
        <w:rPr>
          <w:rFonts w:hint="eastAsia"/>
          <w:b/>
          <w:sz w:val="32"/>
          <w:szCs w:val="32"/>
          <w:lang w:eastAsia="zh-CN"/>
        </w:rPr>
        <w:t>）</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022"/>
        <w:gridCol w:w="1407"/>
        <w:gridCol w:w="1177"/>
        <w:gridCol w:w="2218"/>
        <w:gridCol w:w="2544"/>
      </w:tblGrid>
      <w:tr w14:paraId="359A6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11" w:type="pct"/>
            <w:tcBorders>
              <w:tl2br w:val="single" w:color="auto" w:sz="4" w:space="0"/>
            </w:tcBorders>
          </w:tcPr>
          <w:p w14:paraId="3A7B8A12">
            <w:pPr>
              <w:ind w:left="434" w:leftChars="-85" w:hanging="612" w:hangingChars="255"/>
              <w:rPr>
                <w:b/>
                <w:sz w:val="24"/>
              </w:rPr>
            </w:pPr>
            <w:r>
              <w:rPr>
                <w:sz w:val="24"/>
              </w:rPr>
              <mc:AlternateContent>
                <mc:Choice Requires="wps">
                  <w:drawing>
                    <wp:anchor distT="0" distB="0" distL="114300" distR="114300" simplePos="0" relativeHeight="251660288" behindDoc="0" locked="0" layoutInCell="0" allowOverlap="1">
                      <wp:simplePos x="0" y="0"/>
                      <wp:positionH relativeFrom="column">
                        <wp:posOffset>-68580</wp:posOffset>
                      </wp:positionH>
                      <wp:positionV relativeFrom="paragraph">
                        <wp:posOffset>-6350</wp:posOffset>
                      </wp:positionV>
                      <wp:extent cx="635" cy="0"/>
                      <wp:effectExtent l="7620" t="12700" r="10795" b="6350"/>
                      <wp:wrapNone/>
                      <wp:docPr id="5" name="Line 4284"/>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wps:spPr>
                            <wps:bodyPr/>
                          </wps:wsp>
                        </a:graphicData>
                      </a:graphic>
                    </wp:anchor>
                  </w:drawing>
                </mc:Choice>
                <mc:Fallback>
                  <w:pict>
                    <v:line id="Line 4284" o:spid="_x0000_s1026" o:spt="20" style="position:absolute;left:0pt;margin-left:-5.4pt;margin-top:-0.5pt;height:0pt;width:0.05pt;z-index:251660288;mso-width-relative:page;mso-height-relative:page;" filled="f" stroked="t" coordsize="21600,21600" o:allowincell="f" o:gfxdata="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g33XktQAAAAJAQAADwAAAAAAAAABACAAAAAiAAAAZHJzL2Rvd25y&#10;ZXYueG1sUEsBAhQAFAAAAAgAh07iQNaQ1bfJAQAAngMAAA4AAAAAAAAAAQAgAAAAIwEAAGRycy9l&#10;Mm9Eb2MueG1sUEsFBgAAAAAGAAYAWQEAAF4FAAAAAA==&#10;">
                      <v:fill on="f" focussize="0,0"/>
                      <v:stroke color="#000000" joinstyle="round"/>
                      <v:imagedata o:title=""/>
                      <o:lock v:ext="edit" aspectratio="f"/>
                    </v:line>
                  </w:pict>
                </mc:Fallback>
              </mc:AlternateContent>
            </w:r>
            <w:r>
              <w:rPr>
                <w:b/>
                <w:sz w:val="24"/>
              </w:rPr>
              <w:t xml:space="preserve">    </w:t>
            </w:r>
            <w:r>
              <w:rPr>
                <w:rFonts w:hint="eastAsia"/>
                <w:b/>
                <w:sz w:val="24"/>
              </w:rPr>
              <w:t>内容</w:t>
            </w:r>
          </w:p>
          <w:p w14:paraId="542D83B9">
            <w:pPr>
              <w:rPr>
                <w:b/>
                <w:sz w:val="24"/>
              </w:rPr>
            </w:pPr>
            <w:r>
              <w:rPr>
                <w:rFonts w:hint="eastAsia"/>
                <w:b/>
                <w:sz w:val="24"/>
              </w:rPr>
              <w:t>类型</w:t>
            </w:r>
          </w:p>
        </w:tc>
        <w:tc>
          <w:tcPr>
            <w:tcW w:w="841" w:type="pct"/>
          </w:tcPr>
          <w:p w14:paraId="71233AE7">
            <w:pPr>
              <w:jc w:val="center"/>
              <w:rPr>
                <w:b/>
                <w:sz w:val="24"/>
              </w:rPr>
            </w:pPr>
            <w:r>
              <w:rPr>
                <w:rFonts w:hint="eastAsia"/>
                <w:b/>
                <w:sz w:val="24"/>
              </w:rPr>
              <w:t>排放源</w:t>
            </w:r>
          </w:p>
          <w:p w14:paraId="6F97A2EE">
            <w:pPr>
              <w:jc w:val="center"/>
              <w:rPr>
                <w:b/>
                <w:sz w:val="24"/>
              </w:rPr>
            </w:pPr>
            <w:r>
              <w:rPr>
                <w:rFonts w:hint="eastAsia"/>
                <w:b/>
                <w:sz w:val="24"/>
                <w:lang w:eastAsia="zh-CN"/>
              </w:rPr>
              <w:t>（</w:t>
            </w:r>
            <w:r>
              <w:rPr>
                <w:rFonts w:hint="eastAsia"/>
                <w:b/>
                <w:sz w:val="24"/>
              </w:rPr>
              <w:t>编号</w:t>
            </w:r>
            <w:r>
              <w:rPr>
                <w:rFonts w:hint="eastAsia"/>
                <w:b/>
                <w:sz w:val="24"/>
                <w:lang w:eastAsia="zh-CN"/>
              </w:rPr>
              <w:t>）</w:t>
            </w:r>
          </w:p>
        </w:tc>
        <w:tc>
          <w:tcPr>
            <w:tcW w:w="703" w:type="pct"/>
            <w:vAlign w:val="center"/>
          </w:tcPr>
          <w:p w14:paraId="27527DC6">
            <w:pPr>
              <w:jc w:val="center"/>
              <w:rPr>
                <w:b/>
                <w:sz w:val="24"/>
              </w:rPr>
            </w:pPr>
            <w:r>
              <w:rPr>
                <w:rFonts w:hint="eastAsia"/>
                <w:b/>
                <w:sz w:val="24"/>
              </w:rPr>
              <w:t>污染物名称</w:t>
            </w:r>
          </w:p>
        </w:tc>
        <w:tc>
          <w:tcPr>
            <w:tcW w:w="1325" w:type="pct"/>
          </w:tcPr>
          <w:p w14:paraId="22AFCB68">
            <w:pPr>
              <w:jc w:val="center"/>
              <w:rPr>
                <w:b/>
                <w:sz w:val="24"/>
              </w:rPr>
            </w:pPr>
            <w:r>
              <w:rPr>
                <w:rFonts w:hint="eastAsia"/>
                <w:b/>
                <w:sz w:val="24"/>
              </w:rPr>
              <w:t>处理前产生浓度</w:t>
            </w:r>
          </w:p>
          <w:p w14:paraId="4D1B0A48">
            <w:pPr>
              <w:jc w:val="center"/>
              <w:rPr>
                <w:b/>
                <w:sz w:val="24"/>
              </w:rPr>
            </w:pPr>
            <w:r>
              <w:rPr>
                <w:rFonts w:hint="eastAsia"/>
                <w:b/>
                <w:sz w:val="24"/>
              </w:rPr>
              <w:t>及产生量</w:t>
            </w:r>
            <w:r>
              <w:rPr>
                <w:rFonts w:hint="eastAsia"/>
                <w:b/>
                <w:sz w:val="24"/>
                <w:lang w:eastAsia="zh-CN"/>
              </w:rPr>
              <w:t>（</w:t>
            </w:r>
            <w:r>
              <w:rPr>
                <w:rFonts w:hint="eastAsia"/>
                <w:b/>
                <w:sz w:val="24"/>
              </w:rPr>
              <w:t>单位</w:t>
            </w:r>
            <w:r>
              <w:rPr>
                <w:rFonts w:hint="eastAsia"/>
                <w:b/>
                <w:sz w:val="24"/>
                <w:lang w:eastAsia="zh-CN"/>
              </w:rPr>
              <w:t>）</w:t>
            </w:r>
          </w:p>
        </w:tc>
        <w:tc>
          <w:tcPr>
            <w:tcW w:w="1520" w:type="pct"/>
            <w:vAlign w:val="center"/>
          </w:tcPr>
          <w:p w14:paraId="21663A29">
            <w:pPr>
              <w:jc w:val="center"/>
              <w:rPr>
                <w:b/>
                <w:sz w:val="24"/>
              </w:rPr>
            </w:pPr>
            <w:r>
              <w:rPr>
                <w:rFonts w:hint="eastAsia"/>
                <w:b/>
                <w:sz w:val="24"/>
              </w:rPr>
              <w:t>处理后排放浓度</w:t>
            </w:r>
          </w:p>
          <w:p w14:paraId="69D1EDBD">
            <w:pPr>
              <w:jc w:val="center"/>
              <w:rPr>
                <w:b/>
                <w:sz w:val="24"/>
              </w:rPr>
            </w:pPr>
            <w:r>
              <w:rPr>
                <w:rFonts w:hint="eastAsia"/>
                <w:b/>
                <w:sz w:val="24"/>
              </w:rPr>
              <w:t>及排放量</w:t>
            </w:r>
            <w:r>
              <w:rPr>
                <w:rFonts w:hint="eastAsia"/>
                <w:b/>
                <w:sz w:val="24"/>
                <w:lang w:eastAsia="zh-CN"/>
              </w:rPr>
              <w:t>（</w:t>
            </w:r>
            <w:r>
              <w:rPr>
                <w:rFonts w:hint="eastAsia"/>
                <w:b/>
                <w:sz w:val="24"/>
              </w:rPr>
              <w:t>单位</w:t>
            </w:r>
            <w:r>
              <w:rPr>
                <w:rFonts w:hint="eastAsia"/>
                <w:b/>
                <w:sz w:val="24"/>
                <w:lang w:eastAsia="zh-CN"/>
              </w:rPr>
              <w:t>）</w:t>
            </w:r>
          </w:p>
        </w:tc>
      </w:tr>
      <w:tr w14:paraId="63CB8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11" w:type="pct"/>
            <w:vMerge w:val="restart"/>
            <w:vAlign w:val="center"/>
          </w:tcPr>
          <w:p w14:paraId="7FEF518A">
            <w:pPr>
              <w:jc w:val="center"/>
              <w:rPr>
                <w:sz w:val="24"/>
              </w:rPr>
            </w:pPr>
            <w:r>
              <w:rPr>
                <w:rFonts w:hint="eastAsia"/>
                <w:sz w:val="24"/>
              </w:rPr>
              <w:t>大气</w:t>
            </w:r>
          </w:p>
          <w:p w14:paraId="1B182095">
            <w:pPr>
              <w:jc w:val="center"/>
              <w:rPr>
                <w:sz w:val="24"/>
              </w:rPr>
            </w:pPr>
            <w:r>
              <w:rPr>
                <w:rFonts w:hint="eastAsia"/>
                <w:sz w:val="24"/>
              </w:rPr>
              <w:t>污染物</w:t>
            </w:r>
          </w:p>
        </w:tc>
        <w:tc>
          <w:tcPr>
            <w:tcW w:w="841" w:type="pct"/>
            <w:vMerge w:val="restart"/>
            <w:vAlign w:val="center"/>
          </w:tcPr>
          <w:p w14:paraId="07A6BAF1">
            <w:pPr>
              <w:jc w:val="center"/>
              <w:rPr>
                <w:sz w:val="24"/>
              </w:rPr>
            </w:pPr>
            <w:r>
              <w:rPr>
                <w:rFonts w:hint="eastAsia"/>
                <w:sz w:val="24"/>
              </w:rPr>
              <w:t>施工期</w:t>
            </w:r>
          </w:p>
        </w:tc>
        <w:tc>
          <w:tcPr>
            <w:tcW w:w="703" w:type="pct"/>
            <w:vAlign w:val="center"/>
          </w:tcPr>
          <w:p w14:paraId="225E559E">
            <w:pPr>
              <w:jc w:val="center"/>
              <w:rPr>
                <w:sz w:val="24"/>
              </w:rPr>
            </w:pPr>
            <w:r>
              <w:rPr>
                <w:sz w:val="24"/>
              </w:rPr>
              <w:t>施工扬尘</w:t>
            </w:r>
          </w:p>
        </w:tc>
        <w:tc>
          <w:tcPr>
            <w:tcW w:w="1325" w:type="pct"/>
            <w:vAlign w:val="center"/>
          </w:tcPr>
          <w:p w14:paraId="18074C5E">
            <w:pPr>
              <w:jc w:val="center"/>
              <w:rPr>
                <w:sz w:val="24"/>
              </w:rPr>
            </w:pPr>
            <w:r>
              <w:rPr>
                <w:sz w:val="24"/>
                <w:lang w:val="de-DE"/>
              </w:rPr>
              <w:t>产生量极少</w:t>
            </w:r>
          </w:p>
        </w:tc>
        <w:tc>
          <w:tcPr>
            <w:tcW w:w="1520" w:type="pct"/>
            <w:vAlign w:val="center"/>
          </w:tcPr>
          <w:p w14:paraId="6B096DF0">
            <w:pPr>
              <w:snapToGrid w:val="0"/>
              <w:jc w:val="center"/>
              <w:rPr>
                <w:sz w:val="24"/>
              </w:rPr>
            </w:pPr>
            <w:r>
              <w:rPr>
                <w:sz w:val="24"/>
                <w:lang w:val="de-DE"/>
              </w:rPr>
              <w:t>呈无组织排放，</w:t>
            </w:r>
            <w:r>
              <w:rPr>
                <w:sz w:val="24"/>
              </w:rPr>
              <w:t>&lt;1.0mg/m</w:t>
            </w:r>
            <w:r>
              <w:rPr>
                <w:sz w:val="24"/>
                <w:vertAlign w:val="superscript"/>
              </w:rPr>
              <w:t>3</w:t>
            </w:r>
            <w:r>
              <w:rPr>
                <w:sz w:val="24"/>
              </w:rPr>
              <w:t>；</w:t>
            </w:r>
          </w:p>
        </w:tc>
      </w:tr>
      <w:tr w14:paraId="26368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11" w:type="pct"/>
            <w:vMerge w:val="continue"/>
            <w:vAlign w:val="center"/>
          </w:tcPr>
          <w:p w14:paraId="111274A3">
            <w:pPr>
              <w:jc w:val="center"/>
              <w:rPr>
                <w:sz w:val="24"/>
              </w:rPr>
            </w:pPr>
          </w:p>
        </w:tc>
        <w:tc>
          <w:tcPr>
            <w:tcW w:w="841" w:type="pct"/>
            <w:vMerge w:val="continue"/>
            <w:vAlign w:val="center"/>
          </w:tcPr>
          <w:p w14:paraId="0C11425F">
            <w:pPr>
              <w:jc w:val="center"/>
              <w:rPr>
                <w:sz w:val="24"/>
              </w:rPr>
            </w:pPr>
          </w:p>
        </w:tc>
        <w:tc>
          <w:tcPr>
            <w:tcW w:w="703" w:type="pct"/>
            <w:vAlign w:val="center"/>
          </w:tcPr>
          <w:p w14:paraId="0D2BEFFC">
            <w:pPr>
              <w:jc w:val="center"/>
              <w:rPr>
                <w:sz w:val="24"/>
              </w:rPr>
            </w:pPr>
            <w:r>
              <w:rPr>
                <w:sz w:val="24"/>
              </w:rPr>
              <w:t>汽车尾气</w:t>
            </w:r>
          </w:p>
        </w:tc>
        <w:tc>
          <w:tcPr>
            <w:tcW w:w="1325" w:type="pct"/>
            <w:vAlign w:val="center"/>
          </w:tcPr>
          <w:p w14:paraId="69A2563C">
            <w:pPr>
              <w:jc w:val="center"/>
              <w:rPr>
                <w:sz w:val="24"/>
              </w:rPr>
            </w:pPr>
            <w:r>
              <w:rPr>
                <w:sz w:val="24"/>
                <w:lang w:val="de-DE"/>
              </w:rPr>
              <w:t>产生量极少</w:t>
            </w:r>
          </w:p>
        </w:tc>
        <w:tc>
          <w:tcPr>
            <w:tcW w:w="1520" w:type="pct"/>
            <w:vAlign w:val="center"/>
          </w:tcPr>
          <w:p w14:paraId="13D324C6">
            <w:pPr>
              <w:snapToGrid w:val="0"/>
              <w:jc w:val="center"/>
              <w:rPr>
                <w:sz w:val="24"/>
              </w:rPr>
            </w:pPr>
            <w:r>
              <w:rPr>
                <w:sz w:val="24"/>
                <w:lang w:val="de-DE"/>
              </w:rPr>
              <w:t>呈无组织排放</w:t>
            </w:r>
          </w:p>
        </w:tc>
      </w:tr>
      <w:tr w14:paraId="478E5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11" w:type="pct"/>
            <w:vMerge w:val="continue"/>
            <w:vAlign w:val="center"/>
          </w:tcPr>
          <w:p w14:paraId="52B7A0B4">
            <w:pPr>
              <w:jc w:val="center"/>
              <w:rPr>
                <w:sz w:val="24"/>
              </w:rPr>
            </w:pPr>
          </w:p>
        </w:tc>
        <w:tc>
          <w:tcPr>
            <w:tcW w:w="841" w:type="pct"/>
            <w:vMerge w:val="restart"/>
            <w:vAlign w:val="center"/>
          </w:tcPr>
          <w:p w14:paraId="699D06B5">
            <w:pPr>
              <w:jc w:val="center"/>
              <w:rPr>
                <w:sz w:val="24"/>
              </w:rPr>
            </w:pPr>
            <w:r>
              <w:rPr>
                <w:rFonts w:hint="eastAsia"/>
                <w:sz w:val="24"/>
              </w:rPr>
              <w:t>运营期</w:t>
            </w:r>
          </w:p>
        </w:tc>
        <w:tc>
          <w:tcPr>
            <w:tcW w:w="703" w:type="pct"/>
            <w:vAlign w:val="center"/>
          </w:tcPr>
          <w:p w14:paraId="48174E7B">
            <w:pPr>
              <w:jc w:val="center"/>
              <w:rPr>
                <w:sz w:val="24"/>
              </w:rPr>
            </w:pPr>
            <w:r>
              <w:rPr>
                <w:rFonts w:hint="eastAsia"/>
                <w:sz w:val="24"/>
              </w:rPr>
              <w:t>锯末粉尘</w:t>
            </w:r>
          </w:p>
        </w:tc>
        <w:tc>
          <w:tcPr>
            <w:tcW w:w="1325" w:type="pct"/>
            <w:vAlign w:val="center"/>
          </w:tcPr>
          <w:p w14:paraId="412AA0C5">
            <w:pPr>
              <w:jc w:val="center"/>
              <w:rPr>
                <w:sz w:val="24"/>
              </w:rPr>
            </w:pPr>
            <w:r>
              <w:rPr>
                <w:rFonts w:hint="eastAsia"/>
                <w:sz w:val="24"/>
              </w:rPr>
              <w:t>约</w:t>
            </w:r>
            <w:r>
              <w:rPr>
                <w:sz w:val="24"/>
              </w:rPr>
              <w:t>0.07t/a</w:t>
            </w:r>
            <w:r>
              <w:rPr>
                <w:rFonts w:hint="eastAsia"/>
                <w:sz w:val="24"/>
              </w:rPr>
              <w:t>，呈无组织排放</w:t>
            </w:r>
          </w:p>
        </w:tc>
        <w:tc>
          <w:tcPr>
            <w:tcW w:w="1520" w:type="pct"/>
            <w:vAlign w:val="center"/>
          </w:tcPr>
          <w:p w14:paraId="1B668879">
            <w:pPr>
              <w:snapToGrid w:val="0"/>
              <w:jc w:val="center"/>
              <w:rPr>
                <w:sz w:val="24"/>
              </w:rPr>
            </w:pPr>
            <w:r>
              <w:rPr>
                <w:rFonts w:hint="eastAsia"/>
                <w:sz w:val="24"/>
              </w:rPr>
              <w:t>达标排放</w:t>
            </w:r>
          </w:p>
        </w:tc>
      </w:tr>
      <w:tr w14:paraId="7B1B6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11" w:type="pct"/>
            <w:vMerge w:val="continue"/>
            <w:vAlign w:val="center"/>
          </w:tcPr>
          <w:p w14:paraId="684C7680">
            <w:pPr>
              <w:jc w:val="center"/>
              <w:rPr>
                <w:sz w:val="24"/>
              </w:rPr>
            </w:pPr>
          </w:p>
        </w:tc>
        <w:tc>
          <w:tcPr>
            <w:tcW w:w="841" w:type="pct"/>
            <w:vMerge w:val="continue"/>
            <w:vAlign w:val="center"/>
          </w:tcPr>
          <w:p w14:paraId="586AF65F">
            <w:pPr>
              <w:jc w:val="center"/>
              <w:rPr>
                <w:sz w:val="24"/>
              </w:rPr>
            </w:pPr>
          </w:p>
        </w:tc>
        <w:tc>
          <w:tcPr>
            <w:tcW w:w="703" w:type="pct"/>
            <w:vAlign w:val="center"/>
          </w:tcPr>
          <w:p w14:paraId="1A7A8D9B">
            <w:pPr>
              <w:jc w:val="center"/>
              <w:rPr>
                <w:sz w:val="24"/>
              </w:rPr>
            </w:pPr>
            <w:r>
              <w:rPr>
                <w:rFonts w:hint="eastAsia"/>
                <w:sz w:val="24"/>
              </w:rPr>
              <w:t>车辆尾气</w:t>
            </w:r>
          </w:p>
        </w:tc>
        <w:tc>
          <w:tcPr>
            <w:tcW w:w="1325" w:type="pct"/>
            <w:vAlign w:val="center"/>
          </w:tcPr>
          <w:p w14:paraId="6A9726C8">
            <w:pPr>
              <w:jc w:val="center"/>
              <w:rPr>
                <w:sz w:val="24"/>
              </w:rPr>
            </w:pPr>
            <w:r>
              <w:rPr>
                <w:rFonts w:hint="eastAsia"/>
                <w:sz w:val="24"/>
              </w:rPr>
              <w:t>产生量较少，无组织排放</w:t>
            </w:r>
          </w:p>
        </w:tc>
        <w:tc>
          <w:tcPr>
            <w:tcW w:w="1520" w:type="pct"/>
            <w:vAlign w:val="center"/>
          </w:tcPr>
          <w:p w14:paraId="43B7BEB1">
            <w:pPr>
              <w:snapToGrid w:val="0"/>
              <w:jc w:val="center"/>
              <w:rPr>
                <w:sz w:val="24"/>
              </w:rPr>
            </w:pPr>
            <w:r>
              <w:rPr>
                <w:rFonts w:hint="eastAsia"/>
                <w:sz w:val="24"/>
              </w:rPr>
              <w:t>产生量较少，无组织排放</w:t>
            </w:r>
          </w:p>
        </w:tc>
      </w:tr>
      <w:tr w14:paraId="249A3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11" w:type="pct"/>
            <w:vMerge w:val="restart"/>
            <w:vAlign w:val="center"/>
          </w:tcPr>
          <w:p w14:paraId="700121C7">
            <w:pPr>
              <w:jc w:val="center"/>
              <w:rPr>
                <w:sz w:val="24"/>
              </w:rPr>
            </w:pPr>
            <w:r>
              <w:rPr>
                <w:rFonts w:hint="eastAsia"/>
                <w:sz w:val="24"/>
              </w:rPr>
              <w:t>水污染物</w:t>
            </w:r>
          </w:p>
        </w:tc>
        <w:tc>
          <w:tcPr>
            <w:tcW w:w="841" w:type="pct"/>
            <w:vAlign w:val="center"/>
          </w:tcPr>
          <w:p w14:paraId="7679D483">
            <w:pPr>
              <w:jc w:val="center"/>
              <w:rPr>
                <w:sz w:val="24"/>
              </w:rPr>
            </w:pPr>
            <w:r>
              <w:rPr>
                <w:sz w:val="24"/>
              </w:rPr>
              <w:t>施工期</w:t>
            </w:r>
          </w:p>
        </w:tc>
        <w:tc>
          <w:tcPr>
            <w:tcW w:w="703" w:type="pct"/>
            <w:vAlign w:val="center"/>
          </w:tcPr>
          <w:p w14:paraId="3ADAA44B">
            <w:pPr>
              <w:jc w:val="center"/>
              <w:rPr>
                <w:sz w:val="24"/>
              </w:rPr>
            </w:pPr>
            <w:r>
              <w:rPr>
                <w:sz w:val="24"/>
              </w:rPr>
              <w:t>施工人员生活污水</w:t>
            </w:r>
          </w:p>
        </w:tc>
        <w:tc>
          <w:tcPr>
            <w:tcW w:w="1325" w:type="pct"/>
            <w:vAlign w:val="center"/>
          </w:tcPr>
          <w:p w14:paraId="70DDB114">
            <w:pPr>
              <w:jc w:val="center"/>
              <w:rPr>
                <w:sz w:val="24"/>
              </w:rPr>
            </w:pPr>
            <w:r>
              <w:rPr>
                <w:sz w:val="24"/>
              </w:rPr>
              <w:t>0.4m</w:t>
            </w:r>
            <w:r>
              <w:rPr>
                <w:sz w:val="24"/>
                <w:vertAlign w:val="superscript"/>
              </w:rPr>
              <w:t>3</w:t>
            </w:r>
            <w:r>
              <w:rPr>
                <w:sz w:val="24"/>
              </w:rPr>
              <w:t>/d</w:t>
            </w:r>
          </w:p>
        </w:tc>
        <w:tc>
          <w:tcPr>
            <w:tcW w:w="1520" w:type="pct"/>
            <w:vAlign w:val="center"/>
          </w:tcPr>
          <w:p w14:paraId="03DF3252">
            <w:pPr>
              <w:jc w:val="center"/>
              <w:rPr>
                <w:sz w:val="24"/>
              </w:rPr>
            </w:pPr>
            <w:r>
              <w:rPr>
                <w:sz w:val="24"/>
              </w:rPr>
              <w:t>依托现有设施处理</w:t>
            </w:r>
          </w:p>
        </w:tc>
      </w:tr>
      <w:tr w14:paraId="02C22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11" w:type="pct"/>
            <w:vMerge w:val="continue"/>
            <w:vAlign w:val="center"/>
          </w:tcPr>
          <w:p w14:paraId="5364FB64">
            <w:pPr>
              <w:jc w:val="center"/>
              <w:rPr>
                <w:sz w:val="24"/>
              </w:rPr>
            </w:pPr>
          </w:p>
        </w:tc>
        <w:tc>
          <w:tcPr>
            <w:tcW w:w="841" w:type="pct"/>
            <w:vAlign w:val="center"/>
          </w:tcPr>
          <w:p w14:paraId="640D0FE1">
            <w:pPr>
              <w:jc w:val="center"/>
              <w:rPr>
                <w:sz w:val="24"/>
              </w:rPr>
            </w:pPr>
            <w:r>
              <w:rPr>
                <w:rFonts w:hint="eastAsia"/>
                <w:sz w:val="24"/>
              </w:rPr>
              <w:t>运营期</w:t>
            </w:r>
          </w:p>
        </w:tc>
        <w:tc>
          <w:tcPr>
            <w:tcW w:w="703" w:type="pct"/>
            <w:vAlign w:val="center"/>
          </w:tcPr>
          <w:p w14:paraId="642721CC">
            <w:pPr>
              <w:jc w:val="center"/>
              <w:rPr>
                <w:sz w:val="24"/>
              </w:rPr>
            </w:pPr>
            <w:r>
              <w:rPr>
                <w:rFonts w:hint="eastAsia"/>
                <w:sz w:val="24"/>
              </w:rPr>
              <w:t>生活污水</w:t>
            </w:r>
          </w:p>
        </w:tc>
        <w:tc>
          <w:tcPr>
            <w:tcW w:w="1325" w:type="pct"/>
            <w:vAlign w:val="center"/>
          </w:tcPr>
          <w:p w14:paraId="4C488100">
            <w:pPr>
              <w:jc w:val="center"/>
              <w:rPr>
                <w:sz w:val="24"/>
              </w:rPr>
            </w:pPr>
            <w:r>
              <w:rPr>
                <w:sz w:val="24"/>
              </w:rPr>
              <w:t>0.384m</w:t>
            </w:r>
            <w:r>
              <w:rPr>
                <w:sz w:val="24"/>
                <w:vertAlign w:val="superscript"/>
              </w:rPr>
              <w:t>3</w:t>
            </w:r>
            <w:r>
              <w:rPr>
                <w:sz w:val="24"/>
              </w:rPr>
              <w:t>/d</w:t>
            </w:r>
          </w:p>
        </w:tc>
        <w:tc>
          <w:tcPr>
            <w:tcW w:w="1520" w:type="pct"/>
            <w:vAlign w:val="center"/>
          </w:tcPr>
          <w:p w14:paraId="1489BA70">
            <w:pPr>
              <w:jc w:val="center"/>
              <w:rPr>
                <w:sz w:val="24"/>
              </w:rPr>
            </w:pPr>
            <w:r>
              <w:rPr>
                <w:rFonts w:hint="eastAsia"/>
                <w:sz w:val="24"/>
              </w:rPr>
              <w:t>依托现有污水预处理池处理后，回用农肥</w:t>
            </w:r>
          </w:p>
        </w:tc>
      </w:tr>
      <w:tr w14:paraId="3DB66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11" w:type="pct"/>
            <w:vMerge w:val="restart"/>
            <w:vAlign w:val="center"/>
          </w:tcPr>
          <w:p w14:paraId="3EEBAD6D">
            <w:pPr>
              <w:jc w:val="center"/>
              <w:rPr>
                <w:sz w:val="24"/>
              </w:rPr>
            </w:pPr>
            <w:r>
              <w:rPr>
                <w:rFonts w:hint="eastAsia"/>
                <w:sz w:val="24"/>
              </w:rPr>
              <w:t>固体</w:t>
            </w:r>
          </w:p>
          <w:p w14:paraId="7268FF5E">
            <w:pPr>
              <w:jc w:val="center"/>
              <w:rPr>
                <w:sz w:val="24"/>
              </w:rPr>
            </w:pPr>
            <w:r>
              <w:rPr>
                <w:rFonts w:hint="eastAsia"/>
                <w:sz w:val="24"/>
              </w:rPr>
              <w:t>废物</w:t>
            </w:r>
          </w:p>
          <w:p w14:paraId="2E1BC23A">
            <w:pPr>
              <w:jc w:val="center"/>
              <w:rPr>
                <w:sz w:val="24"/>
              </w:rPr>
            </w:pPr>
          </w:p>
        </w:tc>
        <w:tc>
          <w:tcPr>
            <w:tcW w:w="841" w:type="pct"/>
            <w:vMerge w:val="restart"/>
            <w:vAlign w:val="center"/>
          </w:tcPr>
          <w:p w14:paraId="79F6F300">
            <w:pPr>
              <w:jc w:val="center"/>
              <w:rPr>
                <w:sz w:val="24"/>
              </w:rPr>
            </w:pPr>
            <w:r>
              <w:rPr>
                <w:sz w:val="24"/>
              </w:rPr>
              <w:t>施工期</w:t>
            </w:r>
          </w:p>
        </w:tc>
        <w:tc>
          <w:tcPr>
            <w:tcW w:w="703" w:type="pct"/>
            <w:vAlign w:val="center"/>
          </w:tcPr>
          <w:p w14:paraId="11D52F3A">
            <w:pPr>
              <w:jc w:val="center"/>
              <w:rPr>
                <w:sz w:val="24"/>
              </w:rPr>
            </w:pPr>
            <w:r>
              <w:rPr>
                <w:sz w:val="24"/>
              </w:rPr>
              <w:t>施工人员生活垃圾</w:t>
            </w:r>
          </w:p>
        </w:tc>
        <w:tc>
          <w:tcPr>
            <w:tcW w:w="1325" w:type="pct"/>
            <w:vAlign w:val="center"/>
          </w:tcPr>
          <w:p w14:paraId="3A819106">
            <w:pPr>
              <w:jc w:val="center"/>
              <w:rPr>
                <w:sz w:val="24"/>
              </w:rPr>
            </w:pPr>
            <w:r>
              <w:rPr>
                <w:sz w:val="24"/>
              </w:rPr>
              <w:t>5kg/d</w:t>
            </w:r>
          </w:p>
        </w:tc>
        <w:tc>
          <w:tcPr>
            <w:tcW w:w="1520" w:type="pct"/>
            <w:vAlign w:val="center"/>
          </w:tcPr>
          <w:p w14:paraId="17A55B90">
            <w:pPr>
              <w:jc w:val="center"/>
              <w:rPr>
                <w:sz w:val="24"/>
              </w:rPr>
            </w:pPr>
            <w:r>
              <w:rPr>
                <w:sz w:val="24"/>
              </w:rPr>
              <w:t>由</w:t>
            </w:r>
            <w:r>
              <w:rPr>
                <w:rFonts w:hint="eastAsia"/>
                <w:sz w:val="24"/>
              </w:rPr>
              <w:t>村委会收集处理</w:t>
            </w:r>
          </w:p>
        </w:tc>
      </w:tr>
      <w:tr w14:paraId="2D3DC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11" w:type="pct"/>
            <w:vMerge w:val="continue"/>
            <w:vAlign w:val="center"/>
          </w:tcPr>
          <w:p w14:paraId="73A8EF94">
            <w:pPr>
              <w:jc w:val="center"/>
              <w:rPr>
                <w:sz w:val="24"/>
              </w:rPr>
            </w:pPr>
          </w:p>
        </w:tc>
        <w:tc>
          <w:tcPr>
            <w:tcW w:w="841" w:type="pct"/>
            <w:vMerge w:val="continue"/>
            <w:vAlign w:val="center"/>
          </w:tcPr>
          <w:p w14:paraId="32FBE5EC">
            <w:pPr>
              <w:jc w:val="center"/>
              <w:rPr>
                <w:sz w:val="24"/>
              </w:rPr>
            </w:pPr>
          </w:p>
        </w:tc>
        <w:tc>
          <w:tcPr>
            <w:tcW w:w="703" w:type="pct"/>
            <w:vAlign w:val="center"/>
          </w:tcPr>
          <w:p w14:paraId="04B04A9B">
            <w:pPr>
              <w:jc w:val="center"/>
              <w:rPr>
                <w:sz w:val="24"/>
              </w:rPr>
            </w:pPr>
            <w:r>
              <w:rPr>
                <w:sz w:val="24"/>
              </w:rPr>
              <w:t>建筑垃圾及弃渣</w:t>
            </w:r>
          </w:p>
        </w:tc>
        <w:tc>
          <w:tcPr>
            <w:tcW w:w="1325" w:type="pct"/>
            <w:vAlign w:val="center"/>
          </w:tcPr>
          <w:p w14:paraId="7A2AD4CD">
            <w:pPr>
              <w:jc w:val="center"/>
              <w:rPr>
                <w:sz w:val="24"/>
              </w:rPr>
            </w:pPr>
            <w:r>
              <w:rPr>
                <w:sz w:val="24"/>
              </w:rPr>
              <w:t>少量</w:t>
            </w:r>
          </w:p>
        </w:tc>
        <w:tc>
          <w:tcPr>
            <w:tcW w:w="1520" w:type="pct"/>
            <w:vAlign w:val="center"/>
          </w:tcPr>
          <w:p w14:paraId="5832BB07">
            <w:pPr>
              <w:jc w:val="center"/>
              <w:rPr>
                <w:sz w:val="24"/>
              </w:rPr>
            </w:pPr>
            <w:r>
              <w:rPr>
                <w:sz w:val="24"/>
              </w:rPr>
              <w:t>运往政府</w:t>
            </w:r>
            <w:r>
              <w:rPr>
                <w:rFonts w:hint="eastAsia"/>
                <w:sz w:val="24"/>
                <w:lang w:eastAsia="zh-CN"/>
              </w:rPr>
              <w:t>指定</w:t>
            </w:r>
            <w:r>
              <w:rPr>
                <w:sz w:val="24"/>
              </w:rPr>
              <w:t>地点</w:t>
            </w:r>
          </w:p>
        </w:tc>
      </w:tr>
      <w:tr w14:paraId="65039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611" w:type="pct"/>
            <w:vMerge w:val="continue"/>
            <w:vAlign w:val="center"/>
          </w:tcPr>
          <w:p w14:paraId="6EC6D1DC">
            <w:pPr>
              <w:jc w:val="center"/>
              <w:rPr>
                <w:sz w:val="24"/>
              </w:rPr>
            </w:pPr>
          </w:p>
        </w:tc>
        <w:tc>
          <w:tcPr>
            <w:tcW w:w="841" w:type="pct"/>
            <w:vMerge w:val="restart"/>
            <w:vAlign w:val="center"/>
          </w:tcPr>
          <w:p w14:paraId="5C6DDEFB">
            <w:pPr>
              <w:jc w:val="center"/>
              <w:rPr>
                <w:sz w:val="24"/>
              </w:rPr>
            </w:pPr>
            <w:r>
              <w:rPr>
                <w:rFonts w:hint="eastAsia"/>
                <w:sz w:val="24"/>
              </w:rPr>
              <w:t>运营期</w:t>
            </w:r>
          </w:p>
        </w:tc>
        <w:tc>
          <w:tcPr>
            <w:tcW w:w="703" w:type="pct"/>
            <w:vAlign w:val="center"/>
          </w:tcPr>
          <w:p w14:paraId="7E1018F9">
            <w:pPr>
              <w:jc w:val="center"/>
              <w:rPr>
                <w:sz w:val="24"/>
              </w:rPr>
            </w:pPr>
            <w:r>
              <w:rPr>
                <w:rFonts w:hint="eastAsia"/>
                <w:kern w:val="0"/>
                <w:sz w:val="24"/>
              </w:rPr>
              <w:t>生活垃圾</w:t>
            </w:r>
          </w:p>
        </w:tc>
        <w:tc>
          <w:tcPr>
            <w:tcW w:w="1325" w:type="pct"/>
            <w:vAlign w:val="center"/>
          </w:tcPr>
          <w:p w14:paraId="4A9B07D6">
            <w:pPr>
              <w:jc w:val="center"/>
              <w:rPr>
                <w:sz w:val="24"/>
              </w:rPr>
            </w:pPr>
            <w:r>
              <w:rPr>
                <w:kern w:val="0"/>
                <w:sz w:val="24"/>
              </w:rPr>
              <w:t>1.2 t/a</w:t>
            </w:r>
          </w:p>
        </w:tc>
        <w:tc>
          <w:tcPr>
            <w:tcW w:w="1520" w:type="pct"/>
            <w:vAlign w:val="center"/>
          </w:tcPr>
          <w:p w14:paraId="38886E7D">
            <w:pPr>
              <w:jc w:val="center"/>
              <w:rPr>
                <w:sz w:val="24"/>
              </w:rPr>
            </w:pPr>
            <w:r>
              <w:rPr>
                <w:rFonts w:hint="eastAsia"/>
                <w:sz w:val="24"/>
              </w:rPr>
              <w:t>集中收集后委托当地村委会进行处理</w:t>
            </w:r>
          </w:p>
        </w:tc>
      </w:tr>
      <w:tr w14:paraId="4C212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611" w:type="pct"/>
            <w:vMerge w:val="continue"/>
            <w:vAlign w:val="center"/>
          </w:tcPr>
          <w:p w14:paraId="7A13F1E5">
            <w:pPr>
              <w:jc w:val="center"/>
              <w:rPr>
                <w:sz w:val="24"/>
              </w:rPr>
            </w:pPr>
          </w:p>
        </w:tc>
        <w:tc>
          <w:tcPr>
            <w:tcW w:w="841" w:type="pct"/>
            <w:vMerge w:val="continue"/>
            <w:vAlign w:val="center"/>
          </w:tcPr>
          <w:p w14:paraId="6A33D03B">
            <w:pPr>
              <w:jc w:val="center"/>
              <w:rPr>
                <w:sz w:val="24"/>
              </w:rPr>
            </w:pPr>
          </w:p>
        </w:tc>
        <w:tc>
          <w:tcPr>
            <w:tcW w:w="703" w:type="pct"/>
            <w:vAlign w:val="center"/>
          </w:tcPr>
          <w:p w14:paraId="60C852F4">
            <w:pPr>
              <w:jc w:val="center"/>
              <w:rPr>
                <w:sz w:val="24"/>
              </w:rPr>
            </w:pPr>
            <w:r>
              <w:rPr>
                <w:rFonts w:hint="eastAsia"/>
                <w:kern w:val="0"/>
                <w:sz w:val="24"/>
              </w:rPr>
              <w:t>树皮、木材边角料</w:t>
            </w:r>
          </w:p>
        </w:tc>
        <w:tc>
          <w:tcPr>
            <w:tcW w:w="1325" w:type="pct"/>
            <w:vAlign w:val="center"/>
          </w:tcPr>
          <w:p w14:paraId="00234D96">
            <w:pPr>
              <w:jc w:val="center"/>
              <w:rPr>
                <w:sz w:val="24"/>
              </w:rPr>
            </w:pPr>
            <w:r>
              <w:rPr>
                <w:kern w:val="0"/>
                <w:sz w:val="24"/>
              </w:rPr>
              <w:t>300 t/a</w:t>
            </w:r>
          </w:p>
        </w:tc>
        <w:tc>
          <w:tcPr>
            <w:tcW w:w="1520" w:type="pct"/>
            <w:vAlign w:val="center"/>
          </w:tcPr>
          <w:p w14:paraId="65641908">
            <w:pPr>
              <w:jc w:val="center"/>
              <w:rPr>
                <w:sz w:val="24"/>
              </w:rPr>
            </w:pPr>
            <w:r>
              <w:rPr>
                <w:rFonts w:hint="eastAsia"/>
                <w:kern w:val="0"/>
                <w:sz w:val="24"/>
              </w:rPr>
              <w:t>外售综合利用</w:t>
            </w:r>
          </w:p>
        </w:tc>
      </w:tr>
      <w:tr w14:paraId="0A7C7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611" w:type="pct"/>
            <w:vMerge w:val="continue"/>
            <w:vAlign w:val="center"/>
          </w:tcPr>
          <w:p w14:paraId="2E1B5C51">
            <w:pPr>
              <w:jc w:val="center"/>
              <w:rPr>
                <w:sz w:val="24"/>
              </w:rPr>
            </w:pPr>
          </w:p>
        </w:tc>
        <w:tc>
          <w:tcPr>
            <w:tcW w:w="841" w:type="pct"/>
            <w:vMerge w:val="continue"/>
            <w:vAlign w:val="center"/>
          </w:tcPr>
          <w:p w14:paraId="6AB15FE6">
            <w:pPr>
              <w:jc w:val="center"/>
              <w:rPr>
                <w:sz w:val="24"/>
              </w:rPr>
            </w:pPr>
          </w:p>
        </w:tc>
        <w:tc>
          <w:tcPr>
            <w:tcW w:w="703" w:type="pct"/>
            <w:vAlign w:val="center"/>
          </w:tcPr>
          <w:p w14:paraId="31B8D78B">
            <w:pPr>
              <w:jc w:val="center"/>
              <w:rPr>
                <w:sz w:val="24"/>
              </w:rPr>
            </w:pPr>
            <w:r>
              <w:rPr>
                <w:rFonts w:hint="eastAsia"/>
                <w:kern w:val="0"/>
                <w:sz w:val="24"/>
              </w:rPr>
              <w:t>锯末颗粒</w:t>
            </w:r>
          </w:p>
        </w:tc>
        <w:tc>
          <w:tcPr>
            <w:tcW w:w="1325" w:type="pct"/>
            <w:vAlign w:val="center"/>
          </w:tcPr>
          <w:p w14:paraId="1B31B2EF">
            <w:pPr>
              <w:jc w:val="center"/>
              <w:rPr>
                <w:sz w:val="24"/>
              </w:rPr>
            </w:pPr>
            <w:r>
              <w:rPr>
                <w:kern w:val="0"/>
                <w:sz w:val="24"/>
              </w:rPr>
              <w:t>3.65t/a</w:t>
            </w:r>
          </w:p>
        </w:tc>
        <w:tc>
          <w:tcPr>
            <w:tcW w:w="1520" w:type="pct"/>
            <w:vAlign w:val="center"/>
          </w:tcPr>
          <w:p w14:paraId="5CAA4095">
            <w:pPr>
              <w:jc w:val="center"/>
              <w:rPr>
                <w:sz w:val="24"/>
              </w:rPr>
            </w:pPr>
            <w:r>
              <w:rPr>
                <w:rFonts w:hint="eastAsia"/>
                <w:kern w:val="0"/>
                <w:sz w:val="24"/>
              </w:rPr>
              <w:t>外售综合利用</w:t>
            </w:r>
          </w:p>
        </w:tc>
      </w:tr>
      <w:tr w14:paraId="31C25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611" w:type="pct"/>
            <w:vMerge w:val="continue"/>
            <w:vAlign w:val="center"/>
          </w:tcPr>
          <w:p w14:paraId="6F48E185">
            <w:pPr>
              <w:jc w:val="center"/>
              <w:rPr>
                <w:sz w:val="24"/>
              </w:rPr>
            </w:pPr>
          </w:p>
        </w:tc>
        <w:tc>
          <w:tcPr>
            <w:tcW w:w="841" w:type="pct"/>
            <w:vMerge w:val="continue"/>
            <w:vAlign w:val="center"/>
          </w:tcPr>
          <w:p w14:paraId="5A008C1F">
            <w:pPr>
              <w:jc w:val="center"/>
              <w:rPr>
                <w:kern w:val="0"/>
                <w:sz w:val="24"/>
              </w:rPr>
            </w:pPr>
          </w:p>
        </w:tc>
        <w:tc>
          <w:tcPr>
            <w:tcW w:w="703" w:type="pct"/>
            <w:vAlign w:val="center"/>
          </w:tcPr>
          <w:p w14:paraId="620C752D">
            <w:pPr>
              <w:jc w:val="center"/>
              <w:rPr>
                <w:sz w:val="24"/>
              </w:rPr>
            </w:pPr>
            <w:r>
              <w:rPr>
                <w:rFonts w:hint="eastAsia"/>
                <w:kern w:val="0"/>
                <w:sz w:val="24"/>
              </w:rPr>
              <w:t>废木屑</w:t>
            </w:r>
          </w:p>
        </w:tc>
        <w:tc>
          <w:tcPr>
            <w:tcW w:w="1325" w:type="pct"/>
            <w:vAlign w:val="center"/>
          </w:tcPr>
          <w:p w14:paraId="12F8191D">
            <w:pPr>
              <w:jc w:val="center"/>
              <w:rPr>
                <w:kern w:val="0"/>
                <w:sz w:val="24"/>
              </w:rPr>
            </w:pPr>
            <w:r>
              <w:rPr>
                <w:kern w:val="0"/>
                <w:sz w:val="24"/>
              </w:rPr>
              <w:t>263.82 t/a</w:t>
            </w:r>
          </w:p>
        </w:tc>
        <w:tc>
          <w:tcPr>
            <w:tcW w:w="1520" w:type="pct"/>
            <w:vAlign w:val="center"/>
          </w:tcPr>
          <w:p w14:paraId="52E8383D">
            <w:pPr>
              <w:jc w:val="center"/>
              <w:rPr>
                <w:kern w:val="0"/>
                <w:sz w:val="24"/>
              </w:rPr>
            </w:pPr>
            <w:r>
              <w:rPr>
                <w:rFonts w:hint="eastAsia"/>
                <w:kern w:val="0"/>
                <w:sz w:val="24"/>
              </w:rPr>
              <w:t>外售综合利用</w:t>
            </w:r>
          </w:p>
        </w:tc>
      </w:tr>
      <w:tr w14:paraId="7EA08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611" w:type="pct"/>
            <w:vMerge w:val="continue"/>
            <w:vAlign w:val="center"/>
          </w:tcPr>
          <w:p w14:paraId="6331ADA7">
            <w:pPr>
              <w:jc w:val="center"/>
              <w:rPr>
                <w:sz w:val="24"/>
              </w:rPr>
            </w:pPr>
          </w:p>
        </w:tc>
        <w:tc>
          <w:tcPr>
            <w:tcW w:w="841" w:type="pct"/>
            <w:vMerge w:val="continue"/>
            <w:vAlign w:val="center"/>
          </w:tcPr>
          <w:p w14:paraId="03DFBC95">
            <w:pPr>
              <w:jc w:val="center"/>
              <w:rPr>
                <w:sz w:val="24"/>
              </w:rPr>
            </w:pPr>
          </w:p>
        </w:tc>
        <w:tc>
          <w:tcPr>
            <w:tcW w:w="703" w:type="pct"/>
            <w:vAlign w:val="center"/>
          </w:tcPr>
          <w:p w14:paraId="39525C99">
            <w:pPr>
              <w:jc w:val="center"/>
              <w:rPr>
                <w:sz w:val="24"/>
              </w:rPr>
            </w:pPr>
            <w:r>
              <w:rPr>
                <w:rFonts w:hint="eastAsia"/>
                <w:kern w:val="0"/>
                <w:sz w:val="24"/>
              </w:rPr>
              <w:t>损坏设备零件</w:t>
            </w:r>
          </w:p>
        </w:tc>
        <w:tc>
          <w:tcPr>
            <w:tcW w:w="1325" w:type="pct"/>
            <w:vAlign w:val="center"/>
          </w:tcPr>
          <w:p w14:paraId="27B72377">
            <w:pPr>
              <w:jc w:val="center"/>
              <w:rPr>
                <w:sz w:val="24"/>
              </w:rPr>
            </w:pPr>
            <w:r>
              <w:rPr>
                <w:kern w:val="0"/>
                <w:sz w:val="24"/>
              </w:rPr>
              <w:t>0.5 t/a</w:t>
            </w:r>
          </w:p>
        </w:tc>
        <w:tc>
          <w:tcPr>
            <w:tcW w:w="1520" w:type="pct"/>
            <w:vAlign w:val="center"/>
          </w:tcPr>
          <w:p w14:paraId="37D84374">
            <w:pPr>
              <w:jc w:val="center"/>
              <w:rPr>
                <w:sz w:val="24"/>
              </w:rPr>
            </w:pPr>
            <w:r>
              <w:rPr>
                <w:rFonts w:hint="eastAsia"/>
                <w:kern w:val="0"/>
                <w:sz w:val="24"/>
              </w:rPr>
              <w:t>外售综合利用</w:t>
            </w:r>
          </w:p>
        </w:tc>
      </w:tr>
      <w:tr w14:paraId="6E471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11" w:type="pct"/>
            <w:vMerge w:val="restart"/>
            <w:vAlign w:val="center"/>
          </w:tcPr>
          <w:p w14:paraId="5228F59A">
            <w:pPr>
              <w:ind w:left="105" w:leftChars="50"/>
              <w:jc w:val="center"/>
              <w:rPr>
                <w:sz w:val="24"/>
              </w:rPr>
            </w:pPr>
            <w:r>
              <w:rPr>
                <w:rFonts w:hint="eastAsia"/>
                <w:sz w:val="24"/>
              </w:rPr>
              <w:t>噪声</w:t>
            </w:r>
          </w:p>
        </w:tc>
        <w:tc>
          <w:tcPr>
            <w:tcW w:w="841" w:type="pct"/>
            <w:vAlign w:val="center"/>
          </w:tcPr>
          <w:p w14:paraId="0863086A">
            <w:pPr>
              <w:jc w:val="center"/>
              <w:rPr>
                <w:sz w:val="24"/>
              </w:rPr>
            </w:pPr>
            <w:r>
              <w:rPr>
                <w:sz w:val="24"/>
              </w:rPr>
              <w:t>施工期</w:t>
            </w:r>
          </w:p>
        </w:tc>
        <w:tc>
          <w:tcPr>
            <w:tcW w:w="703" w:type="pct"/>
            <w:vAlign w:val="center"/>
          </w:tcPr>
          <w:p w14:paraId="5A467A76">
            <w:pPr>
              <w:jc w:val="center"/>
              <w:rPr>
                <w:sz w:val="24"/>
              </w:rPr>
            </w:pPr>
            <w:r>
              <w:rPr>
                <w:sz w:val="24"/>
              </w:rPr>
              <w:t>施工噪声</w:t>
            </w:r>
          </w:p>
        </w:tc>
        <w:tc>
          <w:tcPr>
            <w:tcW w:w="2845" w:type="pct"/>
            <w:gridSpan w:val="2"/>
            <w:vAlign w:val="center"/>
          </w:tcPr>
          <w:p w14:paraId="5CD4E44C">
            <w:pPr>
              <w:jc w:val="center"/>
              <w:rPr>
                <w:sz w:val="24"/>
              </w:rPr>
            </w:pPr>
            <w:r>
              <w:rPr>
                <w:sz w:val="24"/>
              </w:rPr>
              <w:t>昼间≤70dB（A），夜间≤55dB（A）</w:t>
            </w:r>
          </w:p>
        </w:tc>
      </w:tr>
      <w:tr w14:paraId="00485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11" w:type="pct"/>
            <w:vMerge w:val="continue"/>
            <w:vAlign w:val="center"/>
          </w:tcPr>
          <w:p w14:paraId="7FDA592C">
            <w:pPr>
              <w:ind w:left="105" w:leftChars="50"/>
              <w:jc w:val="center"/>
              <w:rPr>
                <w:sz w:val="24"/>
              </w:rPr>
            </w:pPr>
          </w:p>
        </w:tc>
        <w:tc>
          <w:tcPr>
            <w:tcW w:w="841" w:type="pct"/>
            <w:vAlign w:val="center"/>
          </w:tcPr>
          <w:p w14:paraId="769BF1C1">
            <w:pPr>
              <w:jc w:val="center"/>
              <w:rPr>
                <w:sz w:val="24"/>
              </w:rPr>
            </w:pPr>
            <w:r>
              <w:rPr>
                <w:sz w:val="24"/>
              </w:rPr>
              <w:t>运营期</w:t>
            </w:r>
          </w:p>
        </w:tc>
        <w:tc>
          <w:tcPr>
            <w:tcW w:w="703" w:type="pct"/>
            <w:vAlign w:val="center"/>
          </w:tcPr>
          <w:p w14:paraId="57967438">
            <w:pPr>
              <w:jc w:val="center"/>
              <w:rPr>
                <w:sz w:val="24"/>
              </w:rPr>
            </w:pPr>
            <w:r>
              <w:rPr>
                <w:sz w:val="24"/>
              </w:rPr>
              <w:t>场界噪声</w:t>
            </w:r>
          </w:p>
        </w:tc>
        <w:tc>
          <w:tcPr>
            <w:tcW w:w="2845" w:type="pct"/>
            <w:gridSpan w:val="2"/>
            <w:vAlign w:val="center"/>
          </w:tcPr>
          <w:p w14:paraId="41F572F8">
            <w:pPr>
              <w:jc w:val="center"/>
              <w:rPr>
                <w:sz w:val="24"/>
              </w:rPr>
            </w:pPr>
            <w:r>
              <w:rPr>
                <w:sz w:val="24"/>
              </w:rPr>
              <w:t>场界内：昼间≤60dB</w:t>
            </w:r>
            <w:r>
              <w:rPr>
                <w:spacing w:val="-6"/>
                <w:sz w:val="24"/>
              </w:rPr>
              <w:t>（A）</w:t>
            </w:r>
            <w:r>
              <w:rPr>
                <w:sz w:val="24"/>
              </w:rPr>
              <w:t>，夜间≤50dB</w:t>
            </w:r>
            <w:r>
              <w:rPr>
                <w:spacing w:val="-6"/>
                <w:sz w:val="24"/>
              </w:rPr>
              <w:t>（A）</w:t>
            </w:r>
          </w:p>
        </w:tc>
      </w:tr>
      <w:tr w14:paraId="41384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8" w:hRule="atLeast"/>
          <w:jc w:val="center"/>
        </w:trPr>
        <w:tc>
          <w:tcPr>
            <w:tcW w:w="5000" w:type="pct"/>
            <w:gridSpan w:val="5"/>
          </w:tcPr>
          <w:p w14:paraId="37ABD7FE">
            <w:pPr>
              <w:spacing w:line="360" w:lineRule="auto"/>
              <w:ind w:firstLine="480" w:firstLineChars="200"/>
              <w:rPr>
                <w:b/>
                <w:bCs/>
                <w:sz w:val="24"/>
              </w:rPr>
            </w:pPr>
            <w:r>
              <w:rPr>
                <w:rFonts w:hint="eastAsia"/>
                <w:b/>
                <w:bCs/>
                <w:sz w:val="24"/>
              </w:rPr>
              <w:t>主要生态影响：</w:t>
            </w:r>
          </w:p>
          <w:p w14:paraId="6E0D0C54">
            <w:pPr>
              <w:spacing w:line="360" w:lineRule="auto"/>
              <w:ind w:firstLine="480" w:firstLineChars="200"/>
              <w:rPr>
                <w:sz w:val="24"/>
              </w:rPr>
            </w:pPr>
            <w:r>
              <w:rPr>
                <w:rFonts w:hint="eastAsia"/>
                <w:bCs/>
                <w:sz w:val="24"/>
              </w:rPr>
              <w:t>本项目位于峨边彝族自治县平等乡观慈村三组，</w:t>
            </w:r>
            <w:r>
              <w:rPr>
                <w:sz w:val="24"/>
              </w:rPr>
              <w:t>该区域人类活动频繁，无珍稀保护动植物。</w:t>
            </w:r>
            <w:r>
              <w:rPr>
                <w:rFonts w:hint="eastAsia"/>
                <w:bCs/>
                <w:sz w:val="24"/>
              </w:rPr>
              <w:t>项目在现有厂房内进行改建</w:t>
            </w:r>
            <w:r>
              <w:rPr>
                <w:bCs/>
                <w:sz w:val="24"/>
              </w:rPr>
              <w:t>，项目的建设不破坏现有植被，对周边生态环境影响较小。</w:t>
            </w:r>
            <w:r>
              <w:rPr>
                <w:sz w:val="24"/>
              </w:rPr>
              <w:t>项目生产过程中产生的各类污染物均得到有效</w:t>
            </w:r>
            <w:r>
              <w:rPr>
                <w:rFonts w:hint="eastAsia"/>
                <w:sz w:val="24"/>
                <w:lang w:eastAsia="zh-CN"/>
              </w:rPr>
              <w:t>地</w:t>
            </w:r>
            <w:r>
              <w:rPr>
                <w:sz w:val="24"/>
              </w:rPr>
              <w:t>处理，不会对周边环境造成污染；本工程对现有的生物群落及动物活动场所不会造成大的影响。区内的动物种类较少，没有珍稀动物的存在，项目的建设不会对动物的活动造成大影响。项目区内的植物也均为常见种类，附近分布很广，项目建设不会造成任何一个物种的灭绝。</w:t>
            </w:r>
          </w:p>
          <w:p w14:paraId="059EEE87">
            <w:pPr>
              <w:spacing w:line="360" w:lineRule="auto"/>
              <w:ind w:firstLine="480" w:firstLineChars="200"/>
              <w:rPr>
                <w:sz w:val="24"/>
              </w:rPr>
            </w:pPr>
            <w:r>
              <w:rPr>
                <w:sz w:val="24"/>
              </w:rPr>
              <w:t>因此，项目的建设对生态环境不会产生较大影响。本项目在营运期对生态环境不会产生明显影响。</w:t>
            </w:r>
          </w:p>
          <w:p w14:paraId="568A032A">
            <w:pPr>
              <w:spacing w:line="480" w:lineRule="exact"/>
              <w:ind w:firstLine="480" w:firstLineChars="200"/>
              <w:rPr>
                <w:bCs/>
                <w:sz w:val="24"/>
              </w:rPr>
            </w:pPr>
          </w:p>
          <w:p w14:paraId="07A83E93">
            <w:pPr>
              <w:spacing w:line="360" w:lineRule="auto"/>
              <w:rPr>
                <w:sz w:val="24"/>
              </w:rPr>
            </w:pPr>
          </w:p>
          <w:p w14:paraId="5C75387C">
            <w:pPr>
              <w:spacing w:line="360" w:lineRule="auto"/>
              <w:rPr>
                <w:sz w:val="24"/>
              </w:rPr>
            </w:pPr>
          </w:p>
          <w:p w14:paraId="2D13FDF6">
            <w:pPr>
              <w:spacing w:line="360" w:lineRule="auto"/>
              <w:rPr>
                <w:sz w:val="24"/>
              </w:rPr>
            </w:pPr>
          </w:p>
          <w:p w14:paraId="43FA4342">
            <w:pPr>
              <w:spacing w:line="360" w:lineRule="auto"/>
              <w:rPr>
                <w:sz w:val="24"/>
              </w:rPr>
            </w:pPr>
          </w:p>
          <w:p w14:paraId="718C71F1">
            <w:pPr>
              <w:spacing w:line="360" w:lineRule="auto"/>
              <w:rPr>
                <w:sz w:val="24"/>
              </w:rPr>
            </w:pPr>
          </w:p>
          <w:p w14:paraId="699F9B46">
            <w:pPr>
              <w:spacing w:line="360" w:lineRule="auto"/>
              <w:rPr>
                <w:sz w:val="24"/>
              </w:rPr>
            </w:pPr>
          </w:p>
          <w:p w14:paraId="57A7D846">
            <w:pPr>
              <w:spacing w:line="360" w:lineRule="auto"/>
              <w:rPr>
                <w:sz w:val="24"/>
              </w:rPr>
            </w:pPr>
          </w:p>
          <w:p w14:paraId="4F54B4E2">
            <w:pPr>
              <w:spacing w:line="360" w:lineRule="auto"/>
              <w:rPr>
                <w:sz w:val="24"/>
              </w:rPr>
            </w:pPr>
          </w:p>
          <w:p w14:paraId="0A6ACAB3">
            <w:pPr>
              <w:spacing w:line="360" w:lineRule="auto"/>
              <w:rPr>
                <w:sz w:val="24"/>
              </w:rPr>
            </w:pPr>
          </w:p>
          <w:p w14:paraId="10073DCC">
            <w:pPr>
              <w:spacing w:line="360" w:lineRule="auto"/>
              <w:rPr>
                <w:sz w:val="24"/>
              </w:rPr>
            </w:pPr>
          </w:p>
          <w:p w14:paraId="5AA29631">
            <w:pPr>
              <w:spacing w:line="360" w:lineRule="auto"/>
              <w:rPr>
                <w:sz w:val="24"/>
              </w:rPr>
            </w:pPr>
          </w:p>
          <w:p w14:paraId="0FD324F0">
            <w:pPr>
              <w:spacing w:line="360" w:lineRule="auto"/>
              <w:rPr>
                <w:sz w:val="24"/>
              </w:rPr>
            </w:pPr>
          </w:p>
          <w:p w14:paraId="60A4A355">
            <w:pPr>
              <w:spacing w:line="360" w:lineRule="auto"/>
              <w:rPr>
                <w:sz w:val="24"/>
              </w:rPr>
            </w:pPr>
          </w:p>
          <w:p w14:paraId="4BEDEB06">
            <w:pPr>
              <w:spacing w:line="360" w:lineRule="auto"/>
              <w:rPr>
                <w:sz w:val="24"/>
              </w:rPr>
            </w:pPr>
          </w:p>
          <w:p w14:paraId="10B3CD31">
            <w:pPr>
              <w:spacing w:line="360" w:lineRule="auto"/>
              <w:rPr>
                <w:sz w:val="24"/>
              </w:rPr>
            </w:pPr>
          </w:p>
          <w:p w14:paraId="3C6EF379">
            <w:pPr>
              <w:spacing w:line="360" w:lineRule="auto"/>
              <w:rPr>
                <w:sz w:val="24"/>
              </w:rPr>
            </w:pPr>
          </w:p>
          <w:p w14:paraId="359A5BA8">
            <w:pPr>
              <w:spacing w:line="360" w:lineRule="auto"/>
              <w:rPr>
                <w:sz w:val="24"/>
              </w:rPr>
            </w:pPr>
          </w:p>
          <w:p w14:paraId="0C208AC0">
            <w:pPr>
              <w:spacing w:line="360" w:lineRule="auto"/>
              <w:rPr>
                <w:sz w:val="24"/>
              </w:rPr>
            </w:pPr>
          </w:p>
          <w:p w14:paraId="219F1C59">
            <w:pPr>
              <w:spacing w:line="360" w:lineRule="auto"/>
              <w:rPr>
                <w:sz w:val="24"/>
              </w:rPr>
            </w:pPr>
          </w:p>
          <w:p w14:paraId="1724E31C">
            <w:pPr>
              <w:spacing w:line="360" w:lineRule="auto"/>
              <w:rPr>
                <w:sz w:val="24"/>
              </w:rPr>
            </w:pPr>
          </w:p>
          <w:p w14:paraId="37C5931D">
            <w:pPr>
              <w:spacing w:line="360" w:lineRule="auto"/>
              <w:rPr>
                <w:sz w:val="24"/>
              </w:rPr>
            </w:pPr>
          </w:p>
          <w:p w14:paraId="523FCB9E">
            <w:pPr>
              <w:spacing w:line="360" w:lineRule="auto"/>
              <w:rPr>
                <w:sz w:val="24"/>
              </w:rPr>
            </w:pPr>
          </w:p>
          <w:p w14:paraId="435A1FDB">
            <w:pPr>
              <w:spacing w:line="360" w:lineRule="auto"/>
              <w:rPr>
                <w:sz w:val="24"/>
              </w:rPr>
            </w:pPr>
          </w:p>
          <w:p w14:paraId="1FCE1CEC">
            <w:pPr>
              <w:spacing w:line="360" w:lineRule="auto"/>
              <w:rPr>
                <w:sz w:val="24"/>
              </w:rPr>
            </w:pPr>
          </w:p>
        </w:tc>
      </w:tr>
    </w:tbl>
    <w:p w14:paraId="271AE093">
      <w:pPr>
        <w:outlineLvl w:val="0"/>
        <w:rPr>
          <w:b/>
          <w:sz w:val="32"/>
          <w:szCs w:val="32"/>
        </w:rPr>
      </w:pPr>
      <w:r>
        <w:rPr>
          <w:sz w:val="32"/>
          <w:szCs w:val="32"/>
        </w:rPr>
        <w:br w:type="page"/>
      </w:r>
      <w:r>
        <w:rPr>
          <w:rFonts w:hint="eastAsia"/>
          <w:b/>
          <w:sz w:val="32"/>
          <w:szCs w:val="32"/>
        </w:rPr>
        <w:t>环境影响分析</w:t>
      </w:r>
      <w:r>
        <w:rPr>
          <w:b/>
          <w:sz w:val="32"/>
          <w:szCs w:val="32"/>
        </w:rPr>
        <w:t xml:space="preserve">                                 </w:t>
      </w:r>
      <w:r>
        <w:rPr>
          <w:rFonts w:hint="eastAsia"/>
          <w:b/>
          <w:sz w:val="32"/>
          <w:szCs w:val="32"/>
          <w:lang w:eastAsia="zh-CN"/>
        </w:rPr>
        <w:t>（</w:t>
      </w:r>
      <w:r>
        <w:rPr>
          <w:rFonts w:hint="eastAsia"/>
          <w:b/>
          <w:sz w:val="30"/>
          <w:szCs w:val="30"/>
        </w:rPr>
        <w:t>表七</w:t>
      </w:r>
      <w:r>
        <w:rPr>
          <w:rFonts w:hint="eastAsia"/>
          <w:b/>
          <w:sz w:val="30"/>
          <w:szCs w:val="30"/>
          <w:lang w:eastAsia="zh-CN"/>
        </w:rPr>
        <w:t>）</w:t>
      </w:r>
    </w:p>
    <w:tbl>
      <w:tblPr>
        <w:tblStyle w:val="25"/>
        <w:tblW w:w="85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589"/>
      </w:tblGrid>
      <w:tr w14:paraId="0E8E3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408" w:hRule="atLeast"/>
          <w:jc w:val="center"/>
        </w:trPr>
        <w:tc>
          <w:tcPr>
            <w:tcW w:w="8589" w:type="dxa"/>
          </w:tcPr>
          <w:p w14:paraId="0B000035">
            <w:pPr>
              <w:spacing w:line="360" w:lineRule="auto"/>
              <w:rPr>
                <w:b/>
                <w:sz w:val="28"/>
                <w:szCs w:val="28"/>
              </w:rPr>
            </w:pPr>
            <w:r>
              <w:rPr>
                <w:b/>
                <w:sz w:val="28"/>
                <w:szCs w:val="28"/>
              </w:rPr>
              <w:t>一、施工期环境影响简要分析：</w:t>
            </w:r>
          </w:p>
          <w:p w14:paraId="1A1499F1">
            <w:pPr>
              <w:spacing w:line="360" w:lineRule="auto"/>
              <w:textAlignment w:val="center"/>
              <w:rPr>
                <w:b/>
                <w:sz w:val="24"/>
              </w:rPr>
            </w:pPr>
            <w:r>
              <w:rPr>
                <w:b/>
                <w:sz w:val="24"/>
              </w:rPr>
              <w:t>（一）施工期大气环境影响分析</w:t>
            </w:r>
          </w:p>
          <w:p w14:paraId="23627E3B">
            <w:pPr>
              <w:spacing w:line="360" w:lineRule="auto"/>
              <w:ind w:firstLine="480" w:firstLineChars="200"/>
              <w:rPr>
                <w:sz w:val="24"/>
              </w:rPr>
            </w:pPr>
            <w:r>
              <w:rPr>
                <w:sz w:val="24"/>
              </w:rPr>
              <w:t>本项目利用现有厂房，在现有厂房基础上进行简单改造、安装设备设施后即可投入运行。项目不涉及大规模土建，施工量较小。施工期对环境影响相对营运期而言是短期和暂时影响，本项目施工工期约1个月，施工期结束后影响即告停止。</w:t>
            </w:r>
          </w:p>
          <w:p w14:paraId="14916272">
            <w:pPr>
              <w:spacing w:line="360" w:lineRule="auto"/>
              <w:ind w:firstLine="480"/>
              <w:rPr>
                <w:sz w:val="24"/>
              </w:rPr>
            </w:pPr>
            <w:r>
              <w:rPr>
                <w:sz w:val="24"/>
              </w:rPr>
              <w:t>（1）施工废气对环境影响分析</w:t>
            </w:r>
          </w:p>
          <w:p w14:paraId="287A6E0E">
            <w:pPr>
              <w:spacing w:line="360" w:lineRule="auto"/>
              <w:ind w:firstLine="480"/>
              <w:rPr>
                <w:sz w:val="24"/>
              </w:rPr>
            </w:pPr>
            <w:r>
              <w:rPr>
                <w:rFonts w:hint="eastAsia" w:ascii="宋体" w:hAnsi="宋体" w:cs="宋体"/>
                <w:sz w:val="24"/>
              </w:rPr>
              <w:t>①</w:t>
            </w:r>
            <w:r>
              <w:rPr>
                <w:sz w:val="24"/>
              </w:rPr>
              <w:t>施工扬尘</w:t>
            </w:r>
          </w:p>
          <w:p w14:paraId="7BDCE33A">
            <w:pPr>
              <w:spacing w:line="360" w:lineRule="auto"/>
              <w:ind w:firstLine="480"/>
              <w:rPr>
                <w:sz w:val="24"/>
              </w:rPr>
            </w:pPr>
            <w:r>
              <w:rPr>
                <w:sz w:val="24"/>
              </w:rPr>
              <w:t>项目在建设施工过程中产生扬尘的作业有基座回填、建材运输、露天堆放、装卸等过程，经分析项目施工量较小，产生施工期建筑扬尘产生量较小。项目从工地周边围挡、物料堆放覆盖、土方开挖湿法作业、路面硬化、出入车辆清洗、渣土车辆密闭运输“六个百分之百”等方面</w:t>
            </w:r>
            <w:bookmarkStart w:id="4" w:name="_GoBack"/>
            <w:r>
              <w:rPr>
                <w:sz w:val="24"/>
              </w:rPr>
              <w:t>作出</w:t>
            </w:r>
            <w:bookmarkEnd w:id="4"/>
            <w:r>
              <w:rPr>
                <w:sz w:val="24"/>
              </w:rPr>
              <w:t>防治措施，故项目施工扬尘在采取环评提出的防护措施后，可以实现达标排放，加之项目所在区域环境空气质量现状良好，扩散条件好，则施工扬尘对区域的大气环境影响较小，且随施工期结束而消亡。</w:t>
            </w:r>
          </w:p>
          <w:p w14:paraId="43B7457C">
            <w:pPr>
              <w:spacing w:line="360" w:lineRule="auto"/>
              <w:ind w:firstLine="480"/>
              <w:rPr>
                <w:sz w:val="24"/>
              </w:rPr>
            </w:pPr>
            <w:r>
              <w:rPr>
                <w:rFonts w:hint="eastAsia" w:ascii="宋体" w:hAnsi="宋体" w:cs="宋体"/>
                <w:sz w:val="24"/>
              </w:rPr>
              <w:t>②</w:t>
            </w:r>
            <w:r>
              <w:rPr>
                <w:sz w:val="24"/>
              </w:rPr>
              <w:t>其他废气</w:t>
            </w:r>
          </w:p>
          <w:p w14:paraId="68F16D14">
            <w:pPr>
              <w:pStyle w:val="141"/>
              <w:snapToGrid w:val="0"/>
              <w:spacing w:before="0" w:beforeLines="0" w:line="360" w:lineRule="auto"/>
              <w:ind w:firstLine="480"/>
              <w:jc w:val="both"/>
              <w:rPr>
                <w:rFonts w:eastAsia="宋体"/>
                <w:sz w:val="24"/>
                <w:szCs w:val="24"/>
              </w:rPr>
            </w:pPr>
            <w:r>
              <w:rPr>
                <w:rFonts w:eastAsia="宋体"/>
                <w:sz w:val="24"/>
                <w:szCs w:val="24"/>
              </w:rPr>
              <w:t>施工区的燃油设备主要是运输车辆和施工机械，施工机械主要有载重车、压路机、起重机、柴油动力机械等燃油机械，它们排放的污染物主要有CO、NO</w:t>
            </w:r>
            <w:r>
              <w:rPr>
                <w:rFonts w:eastAsia="宋体"/>
                <w:sz w:val="24"/>
                <w:szCs w:val="24"/>
                <w:vertAlign w:val="subscript"/>
              </w:rPr>
              <w:t>2</w:t>
            </w:r>
            <w:r>
              <w:rPr>
                <w:rFonts w:eastAsia="宋体"/>
                <w:sz w:val="24"/>
                <w:szCs w:val="24"/>
              </w:rPr>
              <w:t>、THC。运输车辆的废气是沿交通路线沿程排放。施工机械多为大型机械，单车排放系数较大，但施工机械数量少且较分散，其污染程度相对较轻。据类似道路施工现场监测结果，在距离现场50m处CO、NO</w:t>
            </w:r>
            <w:r>
              <w:rPr>
                <w:rFonts w:eastAsia="宋体"/>
                <w:sz w:val="24"/>
                <w:szCs w:val="24"/>
                <w:vertAlign w:val="subscript"/>
              </w:rPr>
              <w:t xml:space="preserve">2 </w:t>
            </w:r>
            <w:r>
              <w:rPr>
                <w:rFonts w:eastAsia="宋体"/>
                <w:sz w:val="24"/>
                <w:szCs w:val="24"/>
              </w:rPr>
              <w:t>1小时平均浓度分别为0.2mg/m</w:t>
            </w:r>
            <w:r>
              <w:rPr>
                <w:rFonts w:eastAsia="宋体"/>
                <w:sz w:val="24"/>
                <w:szCs w:val="24"/>
                <w:vertAlign w:val="superscript"/>
              </w:rPr>
              <w:t>3</w:t>
            </w:r>
            <w:r>
              <w:rPr>
                <w:rFonts w:eastAsia="宋体"/>
                <w:sz w:val="24"/>
                <w:szCs w:val="24"/>
              </w:rPr>
              <w:t>和0.13mg/m</w:t>
            </w:r>
            <w:r>
              <w:rPr>
                <w:rFonts w:eastAsia="宋体"/>
                <w:sz w:val="24"/>
                <w:szCs w:val="24"/>
                <w:vertAlign w:val="superscript"/>
              </w:rPr>
              <w:t>3</w:t>
            </w:r>
            <w:r>
              <w:rPr>
                <w:rFonts w:eastAsia="宋体"/>
                <w:sz w:val="24"/>
                <w:szCs w:val="24"/>
              </w:rPr>
              <w:t>；日平均浓度分别为0.13mg/m</w:t>
            </w:r>
            <w:r>
              <w:rPr>
                <w:rFonts w:eastAsia="宋体"/>
                <w:sz w:val="24"/>
                <w:szCs w:val="24"/>
                <w:vertAlign w:val="superscript"/>
              </w:rPr>
              <w:t>3</w:t>
            </w:r>
            <w:r>
              <w:rPr>
                <w:rFonts w:eastAsia="宋体"/>
                <w:sz w:val="24"/>
                <w:szCs w:val="24"/>
              </w:rPr>
              <w:t>和0.062mg/m</w:t>
            </w:r>
            <w:r>
              <w:rPr>
                <w:rFonts w:eastAsia="宋体"/>
                <w:sz w:val="24"/>
                <w:szCs w:val="24"/>
                <w:vertAlign w:val="superscript"/>
              </w:rPr>
              <w:t>3</w:t>
            </w:r>
            <w:r>
              <w:rPr>
                <w:rFonts w:eastAsia="宋体"/>
                <w:sz w:val="24"/>
                <w:szCs w:val="24"/>
              </w:rPr>
              <w:t>。均能满足国家环境空气质量标准二级标准的要求。不会对大气环境及敏感点造成不良影响。</w:t>
            </w:r>
          </w:p>
          <w:p w14:paraId="10F2799A">
            <w:pPr>
              <w:pStyle w:val="141"/>
              <w:adjustRightInd w:val="0"/>
              <w:snapToGrid w:val="0"/>
              <w:spacing w:before="0" w:beforeLines="0" w:line="360" w:lineRule="auto"/>
              <w:ind w:firstLine="480"/>
              <w:jc w:val="both"/>
              <w:rPr>
                <w:rFonts w:eastAsia="宋体"/>
                <w:sz w:val="24"/>
                <w:szCs w:val="24"/>
              </w:rPr>
            </w:pPr>
            <w:r>
              <w:rPr>
                <w:rFonts w:eastAsia="宋体"/>
                <w:sz w:val="24"/>
                <w:szCs w:val="24"/>
              </w:rPr>
              <w:t>综上，</w:t>
            </w:r>
            <w:r>
              <w:rPr>
                <w:rFonts w:eastAsia="宋体"/>
                <w:sz w:val="24"/>
                <w:szCs w:val="24"/>
                <w:u w:val="single"/>
              </w:rPr>
              <w:t>项目施工期将会对施工场地周围的环境空气质量造成一定影响，但这些影响随着施工期的结束也会结束。因此，项目施工期不会造成项目所在地环境空气质量明显恶化，不会对各敏感点造成不良影响。</w:t>
            </w:r>
          </w:p>
          <w:p w14:paraId="412FBA8C">
            <w:pPr>
              <w:spacing w:line="360" w:lineRule="auto"/>
              <w:textAlignment w:val="center"/>
              <w:rPr>
                <w:b/>
                <w:sz w:val="24"/>
              </w:rPr>
            </w:pPr>
            <w:r>
              <w:rPr>
                <w:b/>
                <w:sz w:val="24"/>
              </w:rPr>
              <w:t>（二）施工废水对环境影响分析</w:t>
            </w:r>
          </w:p>
          <w:p w14:paraId="5F147023">
            <w:pPr>
              <w:spacing w:line="360" w:lineRule="auto"/>
              <w:ind w:firstLine="480"/>
              <w:rPr>
                <w:sz w:val="24"/>
              </w:rPr>
            </w:pPr>
            <w:r>
              <w:rPr>
                <w:sz w:val="24"/>
              </w:rPr>
              <w:t>项目施工期废污水主要为施工员工生活污水。</w:t>
            </w:r>
          </w:p>
          <w:p w14:paraId="2E1EE268">
            <w:pPr>
              <w:spacing w:line="360" w:lineRule="auto"/>
              <w:ind w:firstLine="480"/>
              <w:rPr>
                <w:sz w:val="24"/>
              </w:rPr>
            </w:pPr>
            <w:r>
              <w:rPr>
                <w:sz w:val="24"/>
              </w:rPr>
              <w:t>项目施工人员产生生活废水约0.4m</w:t>
            </w:r>
            <w:r>
              <w:rPr>
                <w:sz w:val="24"/>
                <w:vertAlign w:val="superscript"/>
              </w:rPr>
              <w:t>3</w:t>
            </w:r>
            <w:r>
              <w:rPr>
                <w:sz w:val="24"/>
              </w:rPr>
              <w:t>/d，不在施工场所内食宿，产生的生活废水依托现有设施处理后</w:t>
            </w:r>
            <w:r>
              <w:rPr>
                <w:rFonts w:hint="eastAsia"/>
                <w:sz w:val="24"/>
              </w:rPr>
              <w:t>用作农肥处理</w:t>
            </w:r>
            <w:r>
              <w:rPr>
                <w:bCs/>
                <w:sz w:val="24"/>
              </w:rPr>
              <w:t>。</w:t>
            </w:r>
          </w:p>
          <w:p w14:paraId="71E074A3">
            <w:pPr>
              <w:spacing w:line="360" w:lineRule="auto"/>
              <w:ind w:firstLine="480"/>
              <w:rPr>
                <w:sz w:val="24"/>
                <w:u w:val="single"/>
              </w:rPr>
            </w:pPr>
            <w:r>
              <w:rPr>
                <w:sz w:val="24"/>
                <w:u w:val="single"/>
              </w:rPr>
              <w:t>通过采取上述措施后，项目施工期产生的废水可以得到妥善处理，不会对项目所在区域地表水环境产生影响。</w:t>
            </w:r>
          </w:p>
          <w:p w14:paraId="4AE78EA5">
            <w:pPr>
              <w:spacing w:line="360" w:lineRule="auto"/>
              <w:textAlignment w:val="center"/>
              <w:rPr>
                <w:b/>
                <w:sz w:val="24"/>
              </w:rPr>
            </w:pPr>
            <w:r>
              <w:rPr>
                <w:b/>
                <w:sz w:val="24"/>
              </w:rPr>
              <w:t>（三）施工噪声的影响分析</w:t>
            </w:r>
          </w:p>
          <w:p w14:paraId="30582C7B">
            <w:pPr>
              <w:spacing w:line="360" w:lineRule="auto"/>
              <w:ind w:firstLine="480"/>
              <w:rPr>
                <w:sz w:val="24"/>
              </w:rPr>
            </w:pPr>
            <w:r>
              <w:rPr>
                <w:sz w:val="24"/>
              </w:rPr>
              <w:t>项目施工期间，不同施工阶段使用不同的施工机械设备，因而产生不同施工阶段噪声。施工现场噪声源主要是施工机械的设备噪声、物料装卸碰撞噪声以及施工人员的人为噪声。噪声源声级按自由声场衰减方式传播，主要考虑距离衰减，忽略大气吸收、声屏障等因素，其衰减模式为：</w:t>
            </w:r>
          </w:p>
          <w:p w14:paraId="41AF2AAC">
            <w:pPr>
              <w:pStyle w:val="91"/>
              <w:spacing w:line="360" w:lineRule="auto"/>
              <w:ind w:left="0" w:firstLine="0"/>
              <w:jc w:val="center"/>
              <w:rPr>
                <w:szCs w:val="24"/>
              </w:rPr>
            </w:pPr>
            <w:r>
              <w:rPr>
                <w:szCs w:val="24"/>
              </w:rPr>
              <w:drawing>
                <wp:inline distT="0" distB="0" distL="0" distR="0">
                  <wp:extent cx="2252980" cy="461645"/>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252980" cy="461645"/>
                          </a:xfrm>
                          <a:prstGeom prst="rect">
                            <a:avLst/>
                          </a:prstGeom>
                          <a:noFill/>
                          <a:ln>
                            <a:noFill/>
                          </a:ln>
                        </pic:spPr>
                      </pic:pic>
                    </a:graphicData>
                  </a:graphic>
                </wp:inline>
              </w:drawing>
            </w:r>
          </w:p>
          <w:p w14:paraId="7804E6F7">
            <w:pPr>
              <w:pStyle w:val="91"/>
              <w:spacing w:line="360" w:lineRule="auto"/>
              <w:rPr>
                <w:szCs w:val="24"/>
              </w:rPr>
            </w:pPr>
            <w:r>
              <w:rPr>
                <w:szCs w:val="24"/>
              </w:rPr>
              <w:t>式中：LA（r）—距声源r米处的声级值，dB(A)；</w:t>
            </w:r>
          </w:p>
          <w:p w14:paraId="6F1D93CE">
            <w:pPr>
              <w:pStyle w:val="91"/>
              <w:spacing w:line="360" w:lineRule="auto"/>
              <w:rPr>
                <w:szCs w:val="24"/>
              </w:rPr>
            </w:pPr>
            <w:r>
              <w:rPr>
                <w:szCs w:val="24"/>
              </w:rPr>
              <w:t>LA（r0）—距声源r0米处的声级值，dB(A)；</w:t>
            </w:r>
          </w:p>
          <w:p w14:paraId="5CBC2C43">
            <w:pPr>
              <w:pStyle w:val="91"/>
              <w:spacing w:line="360" w:lineRule="auto"/>
              <w:rPr>
                <w:szCs w:val="24"/>
              </w:rPr>
            </w:pPr>
            <w:r>
              <w:rPr>
                <w:szCs w:val="24"/>
              </w:rPr>
              <w:t>r—距声源的距离，m。</w:t>
            </w:r>
          </w:p>
          <w:p w14:paraId="39FAEBDE">
            <w:pPr>
              <w:pStyle w:val="91"/>
              <w:spacing w:line="360" w:lineRule="auto"/>
              <w:ind w:left="0" w:firstLine="480" w:firstLineChars="200"/>
              <w:jc w:val="both"/>
              <w:rPr>
                <w:szCs w:val="24"/>
              </w:rPr>
            </w:pPr>
            <w:r>
              <w:rPr>
                <w:szCs w:val="24"/>
              </w:rPr>
              <w:t>由上式预测单个噪声源在评价点的贡献值，再将不同声源在该点的贡献值用对数法叠加，得出多个噪声源对该点噪声的贡献值，叠加模式为：</w:t>
            </w:r>
          </w:p>
          <w:p w14:paraId="6A378235">
            <w:pPr>
              <w:pStyle w:val="91"/>
              <w:spacing w:line="360" w:lineRule="auto"/>
              <w:ind w:left="0" w:firstLine="0"/>
              <w:jc w:val="center"/>
              <w:rPr>
                <w:szCs w:val="24"/>
              </w:rPr>
            </w:pPr>
            <w:r>
              <w:rPr>
                <w:szCs w:val="24"/>
              </w:rPr>
              <w:drawing>
                <wp:inline distT="0" distB="0" distL="0" distR="0">
                  <wp:extent cx="1574165" cy="471170"/>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574165" cy="471170"/>
                          </a:xfrm>
                          <a:prstGeom prst="rect">
                            <a:avLst/>
                          </a:prstGeom>
                          <a:noFill/>
                          <a:ln>
                            <a:noFill/>
                          </a:ln>
                        </pic:spPr>
                      </pic:pic>
                    </a:graphicData>
                  </a:graphic>
                </wp:inline>
              </w:drawing>
            </w:r>
          </w:p>
          <w:p w14:paraId="6E8B0DEF">
            <w:pPr>
              <w:pStyle w:val="91"/>
              <w:spacing w:line="360" w:lineRule="auto"/>
              <w:rPr>
                <w:szCs w:val="24"/>
              </w:rPr>
            </w:pPr>
            <w:r>
              <w:rPr>
                <w:szCs w:val="24"/>
              </w:rPr>
              <w:t>式中：L——叠加后总声压级[dB(A)]；</w:t>
            </w:r>
          </w:p>
          <w:p w14:paraId="67A26C21">
            <w:pPr>
              <w:pStyle w:val="91"/>
              <w:spacing w:line="360" w:lineRule="auto"/>
              <w:rPr>
                <w:szCs w:val="24"/>
              </w:rPr>
            </w:pPr>
            <w:r>
              <w:rPr>
                <w:szCs w:val="24"/>
              </w:rPr>
              <w:t>Li——各声源的噪声值[dB(A)]；</w:t>
            </w:r>
          </w:p>
          <w:p w14:paraId="5D1B13D0">
            <w:pPr>
              <w:pStyle w:val="91"/>
              <w:spacing w:line="360" w:lineRule="auto"/>
              <w:rPr>
                <w:szCs w:val="24"/>
              </w:rPr>
            </w:pPr>
            <w:r>
              <w:rPr>
                <w:szCs w:val="24"/>
              </w:rPr>
              <w:t>n——声源个数。</w:t>
            </w:r>
          </w:p>
          <w:p w14:paraId="72D40CFE">
            <w:pPr>
              <w:autoSpaceDE w:val="0"/>
              <w:autoSpaceDN w:val="0"/>
              <w:adjustRightInd w:val="0"/>
              <w:jc w:val="center"/>
              <w:rPr>
                <w:rFonts w:eastAsia="黑体"/>
                <w:kern w:val="0"/>
                <w:sz w:val="24"/>
              </w:rPr>
            </w:pPr>
            <w:r>
              <w:rPr>
                <w:rFonts w:eastAsia="黑体"/>
                <w:kern w:val="0"/>
                <w:sz w:val="24"/>
              </w:rPr>
              <w:t>表7-1  常用单台施工机械噪声随距离衰减情况表</w:t>
            </w: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5"/>
              <w:gridCol w:w="916"/>
              <w:gridCol w:w="916"/>
              <w:gridCol w:w="916"/>
              <w:gridCol w:w="931"/>
              <w:gridCol w:w="940"/>
              <w:gridCol w:w="932"/>
              <w:gridCol w:w="940"/>
            </w:tblGrid>
            <w:tr w14:paraId="6C9579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05" w:type="dxa"/>
                  <w:vMerge w:val="restart"/>
                  <w:shd w:val="clear" w:color="auto" w:fill="auto"/>
                  <w:vAlign w:val="center"/>
                </w:tcPr>
                <w:p w14:paraId="4C0364D5">
                  <w:pPr>
                    <w:pStyle w:val="91"/>
                    <w:spacing w:line="240" w:lineRule="auto"/>
                    <w:ind w:left="0" w:firstLine="0"/>
                    <w:jc w:val="center"/>
                    <w:rPr>
                      <w:sz w:val="21"/>
                      <w:szCs w:val="21"/>
                    </w:rPr>
                  </w:pPr>
                  <w:r>
                    <w:rPr>
                      <w:sz w:val="21"/>
                      <w:szCs w:val="21"/>
                    </w:rPr>
                    <w:t>噪声源强dB（A）</w:t>
                  </w:r>
                </w:p>
              </w:tc>
              <w:tc>
                <w:tcPr>
                  <w:tcW w:w="6491" w:type="dxa"/>
                  <w:gridSpan w:val="7"/>
                  <w:shd w:val="clear" w:color="auto" w:fill="auto"/>
                  <w:vAlign w:val="center"/>
                </w:tcPr>
                <w:p w14:paraId="39402342">
                  <w:pPr>
                    <w:pStyle w:val="91"/>
                    <w:spacing w:line="240" w:lineRule="auto"/>
                    <w:ind w:left="0" w:firstLine="0"/>
                    <w:jc w:val="center"/>
                    <w:rPr>
                      <w:sz w:val="21"/>
                      <w:szCs w:val="21"/>
                    </w:rPr>
                  </w:pPr>
                  <w:r>
                    <w:rPr>
                      <w:sz w:val="21"/>
                      <w:szCs w:val="21"/>
                    </w:rPr>
                    <w:t>预测距离（m）</w:t>
                  </w:r>
                </w:p>
              </w:tc>
            </w:tr>
            <w:tr w14:paraId="048086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05" w:type="dxa"/>
                  <w:vMerge w:val="continue"/>
                  <w:shd w:val="clear" w:color="auto" w:fill="auto"/>
                  <w:vAlign w:val="center"/>
                </w:tcPr>
                <w:p w14:paraId="3D6A1F31">
                  <w:pPr>
                    <w:pStyle w:val="91"/>
                    <w:spacing w:line="240" w:lineRule="auto"/>
                    <w:ind w:left="0" w:firstLine="0"/>
                    <w:jc w:val="center"/>
                    <w:rPr>
                      <w:sz w:val="21"/>
                      <w:szCs w:val="21"/>
                    </w:rPr>
                  </w:pPr>
                </w:p>
              </w:tc>
              <w:tc>
                <w:tcPr>
                  <w:tcW w:w="916" w:type="dxa"/>
                  <w:shd w:val="clear" w:color="auto" w:fill="auto"/>
                  <w:vAlign w:val="center"/>
                </w:tcPr>
                <w:p w14:paraId="2B3B74F1">
                  <w:pPr>
                    <w:pStyle w:val="91"/>
                    <w:spacing w:line="240" w:lineRule="auto"/>
                    <w:ind w:left="0" w:firstLine="0"/>
                    <w:jc w:val="center"/>
                    <w:rPr>
                      <w:sz w:val="21"/>
                      <w:szCs w:val="21"/>
                    </w:rPr>
                  </w:pPr>
                  <w:r>
                    <w:rPr>
                      <w:sz w:val="21"/>
                      <w:szCs w:val="21"/>
                    </w:rPr>
                    <w:t>10</w:t>
                  </w:r>
                </w:p>
              </w:tc>
              <w:tc>
                <w:tcPr>
                  <w:tcW w:w="916" w:type="dxa"/>
                  <w:shd w:val="clear" w:color="auto" w:fill="auto"/>
                  <w:vAlign w:val="center"/>
                </w:tcPr>
                <w:p w14:paraId="230208BC">
                  <w:pPr>
                    <w:pStyle w:val="91"/>
                    <w:spacing w:line="240" w:lineRule="auto"/>
                    <w:ind w:left="0" w:firstLine="0"/>
                    <w:jc w:val="center"/>
                    <w:rPr>
                      <w:sz w:val="21"/>
                      <w:szCs w:val="21"/>
                    </w:rPr>
                  </w:pPr>
                  <w:r>
                    <w:rPr>
                      <w:sz w:val="21"/>
                      <w:szCs w:val="21"/>
                    </w:rPr>
                    <w:t>20</w:t>
                  </w:r>
                </w:p>
              </w:tc>
              <w:tc>
                <w:tcPr>
                  <w:tcW w:w="916" w:type="dxa"/>
                  <w:shd w:val="clear" w:color="auto" w:fill="auto"/>
                  <w:vAlign w:val="center"/>
                </w:tcPr>
                <w:p w14:paraId="2015DD34">
                  <w:pPr>
                    <w:pStyle w:val="91"/>
                    <w:spacing w:line="240" w:lineRule="auto"/>
                    <w:ind w:left="0" w:firstLine="0"/>
                    <w:jc w:val="center"/>
                    <w:rPr>
                      <w:sz w:val="21"/>
                      <w:szCs w:val="21"/>
                    </w:rPr>
                  </w:pPr>
                  <w:r>
                    <w:rPr>
                      <w:sz w:val="21"/>
                      <w:szCs w:val="21"/>
                    </w:rPr>
                    <w:t>50</w:t>
                  </w:r>
                </w:p>
              </w:tc>
              <w:tc>
                <w:tcPr>
                  <w:tcW w:w="931" w:type="dxa"/>
                  <w:shd w:val="clear" w:color="auto" w:fill="auto"/>
                  <w:vAlign w:val="center"/>
                </w:tcPr>
                <w:p w14:paraId="01D3E39E">
                  <w:pPr>
                    <w:pStyle w:val="91"/>
                    <w:spacing w:line="240" w:lineRule="auto"/>
                    <w:ind w:left="0" w:firstLine="0"/>
                    <w:jc w:val="center"/>
                    <w:rPr>
                      <w:sz w:val="21"/>
                      <w:szCs w:val="21"/>
                    </w:rPr>
                  </w:pPr>
                  <w:r>
                    <w:rPr>
                      <w:sz w:val="21"/>
                      <w:szCs w:val="21"/>
                    </w:rPr>
                    <w:t>100</w:t>
                  </w:r>
                </w:p>
              </w:tc>
              <w:tc>
                <w:tcPr>
                  <w:tcW w:w="940" w:type="dxa"/>
                  <w:shd w:val="clear" w:color="auto" w:fill="auto"/>
                  <w:vAlign w:val="center"/>
                </w:tcPr>
                <w:p w14:paraId="38CFE211">
                  <w:pPr>
                    <w:pStyle w:val="91"/>
                    <w:spacing w:line="240" w:lineRule="auto"/>
                    <w:ind w:left="0" w:firstLine="0"/>
                    <w:jc w:val="center"/>
                    <w:rPr>
                      <w:sz w:val="21"/>
                      <w:szCs w:val="21"/>
                    </w:rPr>
                  </w:pPr>
                  <w:r>
                    <w:rPr>
                      <w:sz w:val="21"/>
                      <w:szCs w:val="21"/>
                    </w:rPr>
                    <w:t>150</w:t>
                  </w:r>
                </w:p>
              </w:tc>
              <w:tc>
                <w:tcPr>
                  <w:tcW w:w="932" w:type="dxa"/>
                  <w:shd w:val="clear" w:color="auto" w:fill="auto"/>
                  <w:vAlign w:val="center"/>
                </w:tcPr>
                <w:p w14:paraId="1A206C77">
                  <w:pPr>
                    <w:pStyle w:val="91"/>
                    <w:spacing w:line="240" w:lineRule="auto"/>
                    <w:ind w:left="0" w:firstLine="0"/>
                    <w:jc w:val="center"/>
                    <w:rPr>
                      <w:sz w:val="21"/>
                      <w:szCs w:val="21"/>
                    </w:rPr>
                  </w:pPr>
                  <w:r>
                    <w:rPr>
                      <w:sz w:val="21"/>
                      <w:szCs w:val="21"/>
                    </w:rPr>
                    <w:t>200</w:t>
                  </w:r>
                </w:p>
              </w:tc>
              <w:tc>
                <w:tcPr>
                  <w:tcW w:w="940" w:type="dxa"/>
                  <w:shd w:val="clear" w:color="auto" w:fill="auto"/>
                  <w:vAlign w:val="center"/>
                </w:tcPr>
                <w:p w14:paraId="68EDC3E1">
                  <w:pPr>
                    <w:pStyle w:val="91"/>
                    <w:spacing w:line="240" w:lineRule="auto"/>
                    <w:ind w:left="0" w:firstLine="0"/>
                    <w:jc w:val="center"/>
                    <w:rPr>
                      <w:sz w:val="21"/>
                      <w:szCs w:val="21"/>
                    </w:rPr>
                  </w:pPr>
                  <w:r>
                    <w:rPr>
                      <w:sz w:val="21"/>
                      <w:szCs w:val="21"/>
                    </w:rPr>
                    <w:t>300</w:t>
                  </w:r>
                </w:p>
              </w:tc>
            </w:tr>
            <w:tr w14:paraId="1723F5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05" w:type="dxa"/>
                  <w:shd w:val="clear" w:color="auto" w:fill="auto"/>
                  <w:vAlign w:val="center"/>
                </w:tcPr>
                <w:p w14:paraId="51C21330">
                  <w:pPr>
                    <w:pStyle w:val="91"/>
                    <w:spacing w:line="240" w:lineRule="auto"/>
                    <w:ind w:left="0" w:firstLine="0"/>
                    <w:jc w:val="center"/>
                    <w:rPr>
                      <w:sz w:val="21"/>
                      <w:szCs w:val="21"/>
                    </w:rPr>
                  </w:pPr>
                  <w:r>
                    <w:rPr>
                      <w:sz w:val="21"/>
                      <w:szCs w:val="21"/>
                    </w:rPr>
                    <w:t>105</w:t>
                  </w:r>
                </w:p>
              </w:tc>
              <w:tc>
                <w:tcPr>
                  <w:tcW w:w="916" w:type="dxa"/>
                  <w:shd w:val="clear" w:color="auto" w:fill="auto"/>
                  <w:vAlign w:val="center"/>
                </w:tcPr>
                <w:p w14:paraId="1D6708E8">
                  <w:pPr>
                    <w:pStyle w:val="91"/>
                    <w:spacing w:line="240" w:lineRule="auto"/>
                    <w:ind w:left="0" w:firstLine="0"/>
                    <w:jc w:val="center"/>
                    <w:rPr>
                      <w:sz w:val="21"/>
                      <w:szCs w:val="21"/>
                    </w:rPr>
                  </w:pPr>
                  <w:r>
                    <w:rPr>
                      <w:sz w:val="21"/>
                      <w:szCs w:val="21"/>
                    </w:rPr>
                    <w:t>85</w:t>
                  </w:r>
                </w:p>
              </w:tc>
              <w:tc>
                <w:tcPr>
                  <w:tcW w:w="916" w:type="dxa"/>
                  <w:shd w:val="clear" w:color="auto" w:fill="auto"/>
                  <w:vAlign w:val="center"/>
                </w:tcPr>
                <w:p w14:paraId="14CD7869">
                  <w:pPr>
                    <w:pStyle w:val="91"/>
                    <w:spacing w:line="240" w:lineRule="auto"/>
                    <w:ind w:left="0" w:firstLine="0"/>
                    <w:jc w:val="center"/>
                    <w:rPr>
                      <w:sz w:val="21"/>
                      <w:szCs w:val="21"/>
                    </w:rPr>
                  </w:pPr>
                  <w:r>
                    <w:rPr>
                      <w:sz w:val="21"/>
                      <w:szCs w:val="21"/>
                    </w:rPr>
                    <w:t>79</w:t>
                  </w:r>
                </w:p>
              </w:tc>
              <w:tc>
                <w:tcPr>
                  <w:tcW w:w="916" w:type="dxa"/>
                  <w:shd w:val="clear" w:color="auto" w:fill="auto"/>
                  <w:vAlign w:val="center"/>
                </w:tcPr>
                <w:p w14:paraId="29911C9A">
                  <w:pPr>
                    <w:pStyle w:val="91"/>
                    <w:spacing w:line="240" w:lineRule="auto"/>
                    <w:ind w:left="0" w:firstLine="0"/>
                    <w:jc w:val="center"/>
                    <w:rPr>
                      <w:sz w:val="21"/>
                      <w:szCs w:val="21"/>
                    </w:rPr>
                  </w:pPr>
                  <w:r>
                    <w:rPr>
                      <w:sz w:val="21"/>
                      <w:szCs w:val="21"/>
                    </w:rPr>
                    <w:t>71</w:t>
                  </w:r>
                </w:p>
              </w:tc>
              <w:tc>
                <w:tcPr>
                  <w:tcW w:w="931" w:type="dxa"/>
                  <w:shd w:val="clear" w:color="auto" w:fill="auto"/>
                  <w:vAlign w:val="center"/>
                </w:tcPr>
                <w:p w14:paraId="3F030C39">
                  <w:pPr>
                    <w:pStyle w:val="91"/>
                    <w:spacing w:line="240" w:lineRule="auto"/>
                    <w:ind w:left="0" w:firstLine="0"/>
                    <w:jc w:val="center"/>
                    <w:rPr>
                      <w:sz w:val="21"/>
                      <w:szCs w:val="21"/>
                    </w:rPr>
                  </w:pPr>
                  <w:r>
                    <w:rPr>
                      <w:sz w:val="21"/>
                      <w:szCs w:val="21"/>
                    </w:rPr>
                    <w:t>65</w:t>
                  </w:r>
                </w:p>
              </w:tc>
              <w:tc>
                <w:tcPr>
                  <w:tcW w:w="940" w:type="dxa"/>
                  <w:shd w:val="clear" w:color="auto" w:fill="auto"/>
                  <w:vAlign w:val="center"/>
                </w:tcPr>
                <w:p w14:paraId="72F8BD19">
                  <w:pPr>
                    <w:pStyle w:val="91"/>
                    <w:spacing w:line="240" w:lineRule="auto"/>
                    <w:ind w:left="0" w:firstLine="0"/>
                    <w:jc w:val="center"/>
                    <w:rPr>
                      <w:sz w:val="21"/>
                      <w:szCs w:val="21"/>
                    </w:rPr>
                  </w:pPr>
                  <w:r>
                    <w:rPr>
                      <w:sz w:val="21"/>
                      <w:szCs w:val="21"/>
                    </w:rPr>
                    <w:t>61.5</w:t>
                  </w:r>
                </w:p>
              </w:tc>
              <w:tc>
                <w:tcPr>
                  <w:tcW w:w="932" w:type="dxa"/>
                  <w:shd w:val="clear" w:color="auto" w:fill="auto"/>
                  <w:vAlign w:val="center"/>
                </w:tcPr>
                <w:p w14:paraId="4B7B527B">
                  <w:pPr>
                    <w:pStyle w:val="91"/>
                    <w:spacing w:line="240" w:lineRule="auto"/>
                    <w:ind w:left="0" w:firstLine="0"/>
                    <w:jc w:val="center"/>
                    <w:rPr>
                      <w:sz w:val="21"/>
                      <w:szCs w:val="21"/>
                    </w:rPr>
                  </w:pPr>
                  <w:r>
                    <w:rPr>
                      <w:sz w:val="21"/>
                      <w:szCs w:val="21"/>
                    </w:rPr>
                    <w:t>59</w:t>
                  </w:r>
                </w:p>
              </w:tc>
              <w:tc>
                <w:tcPr>
                  <w:tcW w:w="940" w:type="dxa"/>
                  <w:shd w:val="clear" w:color="auto" w:fill="auto"/>
                  <w:vAlign w:val="center"/>
                </w:tcPr>
                <w:p w14:paraId="55180FD3">
                  <w:pPr>
                    <w:pStyle w:val="91"/>
                    <w:spacing w:line="240" w:lineRule="auto"/>
                    <w:ind w:left="0" w:firstLine="0"/>
                    <w:jc w:val="center"/>
                    <w:rPr>
                      <w:sz w:val="21"/>
                      <w:szCs w:val="21"/>
                    </w:rPr>
                  </w:pPr>
                  <w:r>
                    <w:rPr>
                      <w:sz w:val="21"/>
                      <w:szCs w:val="21"/>
                    </w:rPr>
                    <w:t>55.5</w:t>
                  </w:r>
                </w:p>
              </w:tc>
            </w:tr>
          </w:tbl>
          <w:p w14:paraId="597B2205">
            <w:pPr>
              <w:spacing w:line="360" w:lineRule="auto"/>
              <w:ind w:firstLine="480"/>
              <w:rPr>
                <w:sz w:val="24"/>
              </w:rPr>
            </w:pPr>
            <w:r>
              <w:rPr>
                <w:sz w:val="24"/>
              </w:rPr>
              <w:t>从上表可以看出，施工机械噪声由于声级较高，在空旷地带声传播距离较远，昼间60m外噪声值才能达标，夜间至315m外噪声值才能达标。项目最近敏感点为厂址东40m 的散居居民，届时施工会对其产生较大影响，因此环评要求：</w:t>
            </w:r>
            <w:r>
              <w:rPr>
                <w:rFonts w:hint="eastAsia" w:ascii="宋体" w:hAnsi="宋体" w:cs="宋体"/>
                <w:sz w:val="24"/>
              </w:rPr>
              <w:t>①</w:t>
            </w:r>
            <w:r>
              <w:rPr>
                <w:sz w:val="24"/>
              </w:rPr>
              <w:t>项目仅在白天施工，并尽量使各高噪声设备不同时使用</w:t>
            </w:r>
            <w:r>
              <w:rPr>
                <w:rFonts w:hint="eastAsia"/>
                <w:sz w:val="24"/>
              </w:rPr>
              <w:t>。</w:t>
            </w:r>
          </w:p>
          <w:p w14:paraId="63D500EA">
            <w:pPr>
              <w:spacing w:line="360" w:lineRule="auto"/>
              <w:ind w:firstLine="480"/>
              <w:rPr>
                <w:sz w:val="24"/>
              </w:rPr>
            </w:pPr>
            <w:r>
              <w:rPr>
                <w:sz w:val="24"/>
                <w:u w:val="single"/>
              </w:rPr>
              <w:t>项目施工期间声级较强的噪声为暂时的短期行为，随施工结束，项目施工噪声影响就消失，不会对区域声环境产生影响。</w:t>
            </w:r>
          </w:p>
          <w:p w14:paraId="7D910ECF">
            <w:pPr>
              <w:spacing w:line="360" w:lineRule="auto"/>
              <w:rPr>
                <w:sz w:val="24"/>
              </w:rPr>
            </w:pPr>
            <w:r>
              <w:rPr>
                <w:b/>
                <w:sz w:val="24"/>
              </w:rPr>
              <w:t>（四）施工期固废影响分析</w:t>
            </w:r>
          </w:p>
          <w:p w14:paraId="0522F43F">
            <w:pPr>
              <w:spacing w:line="360" w:lineRule="auto"/>
              <w:ind w:firstLine="480"/>
              <w:rPr>
                <w:sz w:val="24"/>
              </w:rPr>
            </w:pPr>
            <w:r>
              <w:rPr>
                <w:sz w:val="24"/>
              </w:rPr>
              <w:t>施工期设备包装废物、生活垃圾等固体废弃物。生活垃圾主要来自于施工人员的生活，本项目</w:t>
            </w:r>
            <w:r>
              <w:rPr>
                <w:rFonts w:hint="eastAsia"/>
                <w:sz w:val="24"/>
              </w:rPr>
              <w:t>生活垃圾经</w:t>
            </w:r>
            <w:r>
              <w:rPr>
                <w:sz w:val="24"/>
              </w:rPr>
              <w:t>收集后</w:t>
            </w:r>
            <w:r>
              <w:rPr>
                <w:rFonts w:hint="eastAsia"/>
                <w:sz w:val="24"/>
              </w:rPr>
              <w:t>交</w:t>
            </w:r>
            <w:r>
              <w:rPr>
                <w:sz w:val="24"/>
              </w:rPr>
              <w:t>由</w:t>
            </w:r>
            <w:r>
              <w:rPr>
                <w:rFonts w:hint="eastAsia"/>
                <w:sz w:val="24"/>
              </w:rPr>
              <w:t>村委会收集、镇转运、县处理</w:t>
            </w:r>
            <w:r>
              <w:rPr>
                <w:sz w:val="24"/>
              </w:rPr>
              <w:t>。</w:t>
            </w:r>
          </w:p>
          <w:p w14:paraId="22ECB1EC">
            <w:pPr>
              <w:spacing w:line="360" w:lineRule="auto"/>
              <w:ind w:firstLine="480"/>
              <w:rPr>
                <w:sz w:val="24"/>
                <w:u w:val="single"/>
              </w:rPr>
            </w:pPr>
            <w:r>
              <w:rPr>
                <w:sz w:val="24"/>
                <w:u w:val="single"/>
              </w:rPr>
              <w:t>采取以上措施后，固体废物对周围环境影响较小，不会造成二次污染。</w:t>
            </w:r>
          </w:p>
          <w:p w14:paraId="6D727AE8">
            <w:pPr>
              <w:spacing w:line="360" w:lineRule="auto"/>
              <w:rPr>
                <w:sz w:val="24"/>
              </w:rPr>
            </w:pPr>
            <w:r>
              <w:rPr>
                <w:b/>
                <w:sz w:val="24"/>
              </w:rPr>
              <w:t>（五）施工期水土流失环境影响分析</w:t>
            </w:r>
          </w:p>
          <w:p w14:paraId="5BE1FDC1">
            <w:pPr>
              <w:spacing w:line="360" w:lineRule="auto"/>
              <w:ind w:firstLine="480"/>
              <w:rPr>
                <w:sz w:val="24"/>
              </w:rPr>
            </w:pPr>
            <w:r>
              <w:rPr>
                <w:sz w:val="24"/>
              </w:rPr>
              <w:t>项目优化施工工序，待基座做好及时夯实回填，可以有效防止水土流失。</w:t>
            </w:r>
          </w:p>
          <w:p w14:paraId="07D0CF7A">
            <w:pPr>
              <w:spacing w:line="360" w:lineRule="auto"/>
              <w:ind w:firstLine="480"/>
              <w:rPr>
                <w:sz w:val="24"/>
              </w:rPr>
            </w:pPr>
            <w:r>
              <w:rPr>
                <w:sz w:val="24"/>
              </w:rPr>
              <w:t>施工期比较短暂，对周围生态环境的影响相对轻微，且该影响是可逆的。随着施工期结束，建设场地被水泥、建筑物及植被覆盖，有利于消除水土流失的不利影响。因此，</w:t>
            </w:r>
            <w:r>
              <w:rPr>
                <w:sz w:val="24"/>
                <w:u w:val="single"/>
              </w:rPr>
              <w:t>施工期对项目区的生态影响是可以接受的。</w:t>
            </w:r>
          </w:p>
          <w:p w14:paraId="70B4202F">
            <w:pPr>
              <w:spacing w:line="360" w:lineRule="auto"/>
              <w:ind w:firstLine="480"/>
              <w:rPr>
                <w:sz w:val="24"/>
                <w:u w:val="single"/>
              </w:rPr>
            </w:pPr>
            <w:r>
              <w:rPr>
                <w:b/>
                <w:sz w:val="24"/>
              </w:rPr>
              <w:t>综上所述</w:t>
            </w:r>
            <w:r>
              <w:rPr>
                <w:sz w:val="24"/>
              </w:rPr>
              <w:t>，</w:t>
            </w:r>
            <w:r>
              <w:rPr>
                <w:sz w:val="24"/>
                <w:u w:val="single"/>
              </w:rPr>
              <w:t>施工期对环境产生的上述影响，均为可逆的、短期的。建设单位和施工单位在施工过程中只要切实强化扬尘、噪声、固体废物的管理和控制措施的落实，施工期环境影响将得到有效控制。</w:t>
            </w:r>
          </w:p>
          <w:p w14:paraId="5DB24356">
            <w:pPr>
              <w:spacing w:line="360" w:lineRule="auto"/>
              <w:rPr>
                <w:sz w:val="24"/>
              </w:rPr>
            </w:pPr>
            <w:r>
              <w:rPr>
                <w:rFonts w:hint="eastAsia"/>
                <w:b/>
                <w:bCs/>
                <w:sz w:val="24"/>
              </w:rPr>
              <w:t>二、营运期环境影响分析</w:t>
            </w:r>
          </w:p>
          <w:p w14:paraId="1ACE162F">
            <w:pPr>
              <w:spacing w:line="480" w:lineRule="exact"/>
              <w:ind w:firstLine="480" w:firstLineChars="200"/>
              <w:rPr>
                <w:sz w:val="24"/>
              </w:rPr>
            </w:pPr>
            <w:r>
              <w:rPr>
                <w:rFonts w:hint="eastAsia"/>
                <w:sz w:val="24"/>
              </w:rPr>
              <w:t>本项目营运期主要是废气、噪声及固体废物的影响，其运营期环境影响分析如下：</w:t>
            </w:r>
          </w:p>
          <w:p w14:paraId="6F35B7AD">
            <w:pPr>
              <w:spacing w:line="360" w:lineRule="auto"/>
              <w:ind w:firstLine="489" w:firstLineChars="204"/>
              <w:rPr>
                <w:b/>
                <w:bCs/>
                <w:sz w:val="24"/>
              </w:rPr>
            </w:pPr>
            <w:r>
              <w:rPr>
                <w:b/>
                <w:bCs/>
                <w:sz w:val="24"/>
              </w:rPr>
              <w:t>1</w:t>
            </w:r>
            <w:r>
              <w:rPr>
                <w:rFonts w:hint="eastAsia"/>
                <w:b/>
                <w:bCs/>
                <w:sz w:val="24"/>
              </w:rPr>
              <w:t>、环境空气影响分析</w:t>
            </w:r>
          </w:p>
          <w:p w14:paraId="7AD4674C">
            <w:pPr>
              <w:spacing w:line="480" w:lineRule="exact"/>
              <w:ind w:firstLine="566" w:firstLineChars="236"/>
              <w:rPr>
                <w:bCs/>
                <w:sz w:val="24"/>
              </w:rPr>
            </w:pPr>
            <w:r>
              <w:rPr>
                <w:rFonts w:hint="eastAsia"/>
                <w:bCs/>
                <w:sz w:val="24"/>
              </w:rPr>
              <w:t>项目生产设备使用电能；项目运营期废气主要为</w:t>
            </w:r>
            <w:r>
              <w:rPr>
                <w:rFonts w:hint="eastAsia"/>
                <w:sz w:val="24"/>
              </w:rPr>
              <w:t>加工生产各工序产生无组织粉尘</w:t>
            </w:r>
            <w:r>
              <w:rPr>
                <w:rFonts w:hint="eastAsia"/>
                <w:bCs/>
                <w:sz w:val="24"/>
              </w:rPr>
              <w:t>等。</w:t>
            </w:r>
          </w:p>
          <w:p w14:paraId="59A29396">
            <w:pPr>
              <w:spacing w:line="480" w:lineRule="exact"/>
              <w:ind w:firstLine="566" w:firstLineChars="236"/>
              <w:rPr>
                <w:sz w:val="24"/>
              </w:rPr>
            </w:pPr>
            <w:r>
              <w:rPr>
                <w:rFonts w:hint="eastAsia" w:ascii="宋体" w:hAnsi="宋体" w:cs="宋体"/>
                <w:bCs/>
                <w:sz w:val="24"/>
              </w:rPr>
              <w:t>①</w:t>
            </w:r>
            <w:r>
              <w:rPr>
                <w:rFonts w:hint="eastAsia"/>
                <w:sz w:val="24"/>
              </w:rPr>
              <w:t>无组织颗粒物</w:t>
            </w:r>
          </w:p>
          <w:p w14:paraId="4D04CCB7">
            <w:pPr>
              <w:spacing w:line="480" w:lineRule="exact"/>
              <w:ind w:firstLine="566" w:firstLineChars="236"/>
              <w:rPr>
                <w:sz w:val="24"/>
              </w:rPr>
            </w:pPr>
            <w:r>
              <w:rPr>
                <w:rFonts w:hint="eastAsia"/>
                <w:sz w:val="24"/>
              </w:rPr>
              <w:t>项目在锯材加工过程中，其中断料、锯料、修边等工序会产生大量锯末颗粒。因原木的含水率为</w:t>
            </w:r>
            <w:r>
              <w:rPr>
                <w:sz w:val="24"/>
              </w:rPr>
              <w:t>40</w:t>
            </w:r>
            <w:r>
              <w:rPr>
                <w:rFonts w:hint="eastAsia"/>
                <w:sz w:val="24"/>
              </w:rPr>
              <w:t>％～</w:t>
            </w:r>
            <w:r>
              <w:rPr>
                <w:sz w:val="24"/>
              </w:rPr>
              <w:t>55</w:t>
            </w:r>
            <w:r>
              <w:rPr>
                <w:rFonts w:hint="eastAsia"/>
                <w:sz w:val="24"/>
              </w:rPr>
              <w:t>％，含水率较高，加工时不易起尘。</w:t>
            </w:r>
            <w:r>
              <w:rPr>
                <w:rFonts w:hint="eastAsia"/>
                <w:bCs/>
                <w:sz w:val="24"/>
              </w:rPr>
              <w:t>项目生产设备本身为</w:t>
            </w:r>
            <w:r>
              <w:rPr>
                <w:rFonts w:hint="eastAsia"/>
                <w:sz w:val="24"/>
                <w:lang w:val="en-GB"/>
              </w:rPr>
              <w:t>半密闭装置，</w:t>
            </w:r>
            <w:r>
              <w:rPr>
                <w:rFonts w:hint="eastAsia"/>
                <w:sz w:val="24"/>
              </w:rPr>
              <w:t>逸散的少量粉尘</w:t>
            </w:r>
            <w:r>
              <w:rPr>
                <w:rFonts w:hint="eastAsia"/>
                <w:sz w:val="24"/>
                <w:lang w:val="en-GB"/>
              </w:rPr>
              <w:t>经</w:t>
            </w:r>
            <w:r>
              <w:rPr>
                <w:rFonts w:hint="eastAsia"/>
                <w:bCs/>
                <w:sz w:val="24"/>
              </w:rPr>
              <w:t>生产设备遮挡、生产车间要求喷雾降尘，逸散到空气中的粉尘极少；此外，</w:t>
            </w:r>
            <w:r>
              <w:rPr>
                <w:rFonts w:hint="eastAsia"/>
                <w:sz w:val="24"/>
              </w:rPr>
              <w:t>项目通过洒水降尘、定期清洁清扫，可有效抑制粉尘。采取上述防治措施后，车间内锯末粉尘可满足《大气污染物综合排放标准》（</w:t>
            </w:r>
            <w:r>
              <w:rPr>
                <w:sz w:val="24"/>
              </w:rPr>
              <w:t>GB16297-1996</w:t>
            </w:r>
            <w:r>
              <w:rPr>
                <w:rFonts w:hint="eastAsia"/>
                <w:sz w:val="24"/>
              </w:rPr>
              <w:t>）表</w:t>
            </w:r>
            <w:r>
              <w:rPr>
                <w:sz w:val="24"/>
              </w:rPr>
              <w:t>2</w:t>
            </w:r>
            <w:r>
              <w:rPr>
                <w:rFonts w:hint="eastAsia"/>
                <w:sz w:val="24"/>
              </w:rPr>
              <w:t>中二级标准中无组织排放监控浓度限值</w:t>
            </w:r>
            <w:r>
              <w:rPr>
                <w:sz w:val="24"/>
              </w:rPr>
              <w:t>1.0mg/m</w:t>
            </w:r>
            <w:r>
              <w:rPr>
                <w:sz w:val="24"/>
                <w:vertAlign w:val="superscript"/>
              </w:rPr>
              <w:t>3</w:t>
            </w:r>
            <w:r>
              <w:rPr>
                <w:rFonts w:hint="eastAsia"/>
                <w:sz w:val="24"/>
              </w:rPr>
              <w:t>，对区域大气环境影响较小。</w:t>
            </w:r>
          </w:p>
          <w:p w14:paraId="4C2E5F8C">
            <w:pPr>
              <w:keepNext/>
              <w:keepLines/>
              <w:spacing w:line="360" w:lineRule="auto"/>
              <w:ind w:firstLine="480" w:firstLineChars="200"/>
              <w:outlineLvl w:val="0"/>
              <w:rPr>
                <w:b/>
                <w:bCs/>
                <w:kern w:val="44"/>
                <w:sz w:val="24"/>
              </w:rPr>
            </w:pPr>
            <w:r>
              <w:rPr>
                <w:b/>
                <w:bCs/>
                <w:kern w:val="44"/>
                <w:sz w:val="24"/>
              </w:rPr>
              <w:t>1</w:t>
            </w:r>
            <w:r>
              <w:rPr>
                <w:rFonts w:hint="eastAsia"/>
                <w:b/>
                <w:bCs/>
                <w:kern w:val="44"/>
                <w:sz w:val="24"/>
              </w:rPr>
              <w:t>）大气环境影响评价工作等级的确定</w:t>
            </w:r>
          </w:p>
          <w:p w14:paraId="2A145A3F">
            <w:pPr>
              <w:spacing w:line="480" w:lineRule="exact"/>
              <w:ind w:firstLine="422" w:firstLineChars="176"/>
              <w:jc w:val="left"/>
              <w:rPr>
                <w:sz w:val="24"/>
              </w:rPr>
            </w:pPr>
            <w:r>
              <w:rPr>
                <w:rFonts w:hint="eastAsia"/>
                <w:sz w:val="24"/>
              </w:rPr>
              <w:t>依据《环境影响评价技术导则</w:t>
            </w:r>
            <w:r>
              <w:rPr>
                <w:sz w:val="24"/>
              </w:rPr>
              <w:t>-</w:t>
            </w:r>
            <w:r>
              <w:rPr>
                <w:rFonts w:hint="eastAsia"/>
                <w:sz w:val="24"/>
              </w:rPr>
              <w:t>大气环境》</w:t>
            </w:r>
            <w:r>
              <w:rPr>
                <w:sz w:val="24"/>
              </w:rPr>
              <w:t>(HJ2.2-2018</w:t>
            </w:r>
            <w:r>
              <w:rPr>
                <w:rFonts w:hint="eastAsia"/>
                <w:sz w:val="24"/>
                <w:lang w:eastAsia="zh-CN"/>
              </w:rPr>
              <w:t>）</w:t>
            </w:r>
            <w:r>
              <w:rPr>
                <w:rFonts w:hint="eastAsia"/>
                <w:sz w:val="24"/>
              </w:rPr>
              <w:t>中</w:t>
            </w:r>
            <w:r>
              <w:rPr>
                <w:sz w:val="24"/>
              </w:rPr>
              <w:t>5.3</w:t>
            </w:r>
            <w:r>
              <w:rPr>
                <w:rFonts w:hint="eastAsia"/>
                <w:sz w:val="24"/>
              </w:rPr>
              <w:t>节工作等级的确定方法，结合项目工程分析结果，选择正常排放的主要污染物及排放参数，采用附录</w:t>
            </w:r>
            <w:r>
              <w:rPr>
                <w:sz w:val="24"/>
              </w:rPr>
              <w:t>A</w:t>
            </w:r>
            <w:r>
              <w:rPr>
                <w:rFonts w:hint="eastAsia"/>
                <w:sz w:val="24"/>
              </w:rPr>
              <w:t>推荐模型中的</w:t>
            </w:r>
            <w:r>
              <w:rPr>
                <w:sz w:val="24"/>
              </w:rPr>
              <w:t>AERSCREEN</w:t>
            </w:r>
            <w:r>
              <w:rPr>
                <w:rFonts w:hint="eastAsia"/>
                <w:sz w:val="24"/>
              </w:rPr>
              <w:t>模式计算项目污染源的最大环境影响，然后按评价工作分级判据进行分级。</w:t>
            </w:r>
          </w:p>
          <w:p w14:paraId="69D6FB4D">
            <w:pPr>
              <w:spacing w:line="480" w:lineRule="exact"/>
              <w:ind w:firstLine="422" w:firstLineChars="176"/>
              <w:jc w:val="left"/>
              <w:rPr>
                <w:sz w:val="24"/>
              </w:rPr>
            </w:pPr>
            <w:r>
              <w:rPr>
                <w:rFonts w:hint="eastAsia"/>
                <w:sz w:val="24"/>
              </w:rPr>
              <w:t>（</w:t>
            </w:r>
            <w:r>
              <w:rPr>
                <w:sz w:val="24"/>
              </w:rPr>
              <w:t>1</w:t>
            </w:r>
            <w:r>
              <w:rPr>
                <w:rFonts w:hint="eastAsia"/>
                <w:sz w:val="24"/>
              </w:rPr>
              <w:t>）</w:t>
            </w:r>
            <w:r>
              <w:rPr>
                <w:sz w:val="24"/>
              </w:rPr>
              <w:t>P</w:t>
            </w:r>
            <w:r>
              <w:rPr>
                <w:sz w:val="24"/>
                <w:vertAlign w:val="subscript"/>
              </w:rPr>
              <w:t>max</w:t>
            </w:r>
            <w:r>
              <w:rPr>
                <w:rFonts w:hint="eastAsia"/>
                <w:sz w:val="24"/>
              </w:rPr>
              <w:t>及</w:t>
            </w:r>
            <w:r>
              <w:rPr>
                <w:sz w:val="24"/>
              </w:rPr>
              <w:t>D</w:t>
            </w:r>
            <w:r>
              <w:rPr>
                <w:sz w:val="24"/>
                <w:vertAlign w:val="subscript"/>
              </w:rPr>
              <w:t>10%</w:t>
            </w:r>
            <w:r>
              <w:rPr>
                <w:rFonts w:hint="eastAsia"/>
                <w:sz w:val="24"/>
              </w:rPr>
              <w:t>的确定</w:t>
            </w:r>
          </w:p>
          <w:p w14:paraId="77739FB2">
            <w:pPr>
              <w:spacing w:line="480" w:lineRule="exact"/>
              <w:ind w:firstLine="422" w:firstLineChars="176"/>
              <w:jc w:val="left"/>
              <w:rPr>
                <w:sz w:val="24"/>
              </w:rPr>
            </w:pPr>
            <w:r>
              <w:rPr>
                <w:rFonts w:hint="eastAsia"/>
                <w:sz w:val="24"/>
              </w:rPr>
              <w:t>依据《环境影响评价技术导则</w:t>
            </w:r>
            <w:r>
              <w:rPr>
                <w:sz w:val="24"/>
              </w:rPr>
              <w:t xml:space="preserve"> </w:t>
            </w:r>
            <w:r>
              <w:rPr>
                <w:rFonts w:hint="eastAsia"/>
                <w:sz w:val="24"/>
              </w:rPr>
              <w:t>大气环境》</w:t>
            </w:r>
            <w:r>
              <w:rPr>
                <w:sz w:val="24"/>
              </w:rPr>
              <w:t>(HJ2.2-2018</w:t>
            </w:r>
            <w:r>
              <w:rPr>
                <w:rFonts w:hint="eastAsia"/>
                <w:sz w:val="24"/>
                <w:lang w:eastAsia="zh-CN"/>
              </w:rPr>
              <w:t>）</w:t>
            </w:r>
            <w:r>
              <w:rPr>
                <w:rFonts w:hint="eastAsia"/>
                <w:sz w:val="24"/>
              </w:rPr>
              <w:t>中最大地面浓度占标率</w:t>
            </w:r>
            <w:r>
              <w:rPr>
                <w:sz w:val="24"/>
              </w:rPr>
              <w:t>P</w:t>
            </w:r>
            <w:r>
              <w:rPr>
                <w:i/>
                <w:sz w:val="24"/>
              </w:rPr>
              <w:t>i</w:t>
            </w:r>
            <w:r>
              <w:rPr>
                <w:rFonts w:hint="eastAsia"/>
                <w:sz w:val="24"/>
              </w:rPr>
              <w:t>定义如下：</w:t>
            </w:r>
          </w:p>
          <w:p w14:paraId="29C270FE">
            <w:pPr>
              <w:spacing w:line="276" w:lineRule="auto"/>
              <w:ind w:firstLine="369" w:firstLineChars="176"/>
              <w:jc w:val="center"/>
              <w:rPr>
                <w:sz w:val="24"/>
              </w:rPr>
            </w:pPr>
            <w:r>
              <w:pict>
                <v:shape id="_x0000_i1027" o:spt="75" type="#_x0000_t75" style="height:28.95pt;width:91.3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stylePaneFormatFilter w:val=&quot;3F01&quot;/&gt;&lt;w:defaultTabStop w:val=&quot;420&quot;/&gt;&lt;w:drawingGridHorizontalSpacing w:val=&quot;0&quot;/&gt;&lt;w:drawingGridVerticalSpacing w:val=&quot;156&quot;/&gt;&lt;w:characterSpacingControl w:val=&quot;CompressPunctuation&quot;/&gt;&lt;w:relyOnVML/&gt;&lt;w:allowPNG/&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72A27&quot;/&gt;&lt;wsp:rsid wsp:val=&quot;00000171&quot;/&gt;&lt;wsp:rsid wsp:val=&quot;00000C04&quot;/&gt;&lt;wsp:rsid wsp:val=&quot;00000C96&quot;/&gt;&lt;wsp:rsid wsp:val=&quot;00000F40&quot;/&gt;&lt;wsp:rsid wsp:val=&quot;000034F9&quot;/&gt;&lt;wsp:rsid wsp:val=&quot;0000388A&quot;/&gt;&lt;wsp:rsid wsp:val=&quot;00003A70&quot;/&gt;&lt;wsp:rsid wsp:val=&quot;0000474E&quot;/&gt;&lt;wsp:rsid wsp:val=&quot;00004842&quot;/&gt;&lt;wsp:rsid wsp:val=&quot;00005BB4&quot;/&gt;&lt;wsp:rsid wsp:val=&quot;000066B4&quot;/&gt;&lt;wsp:rsid wsp:val=&quot;0000720E&quot;/&gt;&lt;wsp:rsid wsp:val=&quot;00007ED9&quot;/&gt;&lt;wsp:rsid wsp:val=&quot;0001168E&quot;/&gt;&lt;wsp:rsid wsp:val=&quot;00012113&quot;/&gt;&lt;wsp:rsid wsp:val=&quot;000132B4&quot;/&gt;&lt;wsp:rsid wsp:val=&quot;00014517&quot;/&gt;&lt;wsp:rsid wsp:val=&quot;00014D68&quot;/&gt;&lt;wsp:rsid wsp:val=&quot;0001545B&quot;/&gt;&lt;wsp:rsid wsp:val=&quot;00016237&quot;/&gt;&lt;wsp:rsid wsp:val=&quot;000164D4&quot;/&gt;&lt;wsp:rsid wsp:val=&quot;0001681F&quot;/&gt;&lt;wsp:rsid wsp:val=&quot;00016D6E&quot;/&gt;&lt;wsp:rsid wsp:val=&quot;00017E33&quot;/&gt;&lt;wsp:rsid wsp:val=&quot;000200AE&quot;/&gt;&lt;wsp:rsid wsp:val=&quot;00020460&quot;/&gt;&lt;wsp:rsid wsp:val=&quot;00020998&quot;/&gt;&lt;wsp:rsid wsp:val=&quot;00020FA1&quot;/&gt;&lt;wsp:rsid wsp:val=&quot;00021A38&quot;/&gt;&lt;wsp:rsid wsp:val=&quot;00021F7D&quot;/&gt;&lt;wsp:rsid wsp:val=&quot;000226FB&quot;/&gt;&lt;wsp:rsid wsp:val=&quot;000228B8&quot;/&gt;&lt;wsp:rsid wsp:val=&quot;00025318&quot;/&gt;&lt;wsp:rsid wsp:val=&quot;00026508&quot;/&gt;&lt;wsp:rsid wsp:val=&quot;00027807&quot;/&gt;&lt;wsp:rsid wsp:val=&quot;000305C3&quot;/&gt;&lt;wsp:rsid wsp:val=&quot;00031E50&quot;/&gt;&lt;wsp:rsid wsp:val=&quot;00032A0C&quot;/&gt;&lt;wsp:rsid wsp:val=&quot;00033A3E&quot;/&gt;&lt;wsp:rsid wsp:val=&quot;00034E39&quot;/&gt;&lt;wsp:rsid wsp:val=&quot;0003500A&quot;/&gt;&lt;wsp:rsid wsp:val=&quot;000366E8&quot;/&gt;&lt;wsp:rsid wsp:val=&quot;00037E85&quot;/&gt;&lt;wsp:rsid wsp:val=&quot;00040384&quot;/&gt;&lt;wsp:rsid wsp:val=&quot;00041012&quot;/&gt;&lt;wsp:rsid wsp:val=&quot;000421D5&quot;/&gt;&lt;wsp:rsid wsp:val=&quot;000424B4&quot;/&gt;&lt;wsp:rsid wsp:val=&quot;000430D9&quot;/&gt;&lt;wsp:rsid wsp:val=&quot;000437BE&quot;/&gt;&lt;wsp:rsid wsp:val=&quot;00044038&quot;/&gt;&lt;wsp:rsid wsp:val=&quot;000448FD&quot;/&gt;&lt;wsp:rsid wsp:val=&quot;00044C83&quot;/&gt;&lt;wsp:rsid wsp:val=&quot;00045904&quot;/&gt;&lt;wsp:rsid wsp:val=&quot;00045A55&quot;/&gt;&lt;wsp:rsid wsp:val=&quot;00045CE0&quot;/&gt;&lt;wsp:rsid wsp:val=&quot;00045CFB&quot;/&gt;&lt;wsp:rsid wsp:val=&quot;00045F99&quot;/&gt;&lt;wsp:rsid wsp:val=&quot;000464E2&quot;/&gt;&lt;wsp:rsid wsp:val=&quot;00046AC3&quot;/&gt;&lt;wsp:rsid wsp:val=&quot;00046C96&quot;/&gt;&lt;wsp:rsid wsp:val=&quot;00047453&quot;/&gt;&lt;wsp:rsid wsp:val=&quot;000478F3&quot;/&gt;&lt;wsp:rsid wsp:val=&quot;000503DE&quot;/&gt;&lt;wsp:rsid wsp:val=&quot;00050926&quot;/&gt;&lt;wsp:rsid wsp:val=&quot;00050A30&quot;/&gt;&lt;wsp:rsid wsp:val=&quot;00050E73&quot;/&gt;&lt;wsp:rsid wsp:val=&quot;000513D0&quot;/&gt;&lt;wsp:rsid wsp:val=&quot;00052760&quot;/&gt;&lt;wsp:rsid wsp:val=&quot;00053E0A&quot;/&gt;&lt;wsp:rsid wsp:val=&quot;00053FC6&quot;/&gt;&lt;wsp:rsid wsp:val=&quot;00055801&quot;/&gt;&lt;wsp:rsid wsp:val=&quot;0005635A&quot;/&gt;&lt;wsp:rsid wsp:val=&quot;00056D60&quot;/&gt;&lt;wsp:rsid wsp:val=&quot;00056E0D&quot;/&gt;&lt;wsp:rsid wsp:val=&quot;00057D32&quot;/&gt;&lt;wsp:rsid wsp:val=&quot;00060F8D&quot;/&gt;&lt;wsp:rsid wsp:val=&quot;000629F1&quot;/&gt;&lt;wsp:rsid wsp:val=&quot;00062D4A&quot;/&gt;&lt;wsp:rsid wsp:val=&quot;000630FD&quot;/&gt;&lt;wsp:rsid wsp:val=&quot;00063678&quot;/&gt;&lt;wsp:rsid wsp:val=&quot;00063ECA&quot;/&gt;&lt;wsp:rsid wsp:val=&quot;0006429C&quot;/&gt;&lt;wsp:rsid wsp:val=&quot;000648C4&quot;/&gt;&lt;wsp:rsid wsp:val=&quot;00064FAF&quot;/&gt;&lt;wsp:rsid wsp:val=&quot;000658A1&quot;/&gt;&lt;wsp:rsid wsp:val=&quot;00067507&quot;/&gt;&lt;wsp:rsid wsp:val=&quot;0006796E&quot;/&gt;&lt;wsp:rsid wsp:val=&quot;00070E93&quot;/&gt;&lt;wsp:rsid wsp:val=&quot;00071068&quot;/&gt;&lt;wsp:rsid wsp:val=&quot;00071A99&quot;/&gt;&lt;wsp:rsid wsp:val=&quot;0007270C&quot;/&gt;&lt;wsp:rsid wsp:val=&quot;00072938&quot;/&gt;&lt;wsp:rsid wsp:val=&quot;00072CB2&quot;/&gt;&lt;wsp:rsid wsp:val=&quot;00072EDE&quot;/&gt;&lt;wsp:rsid wsp:val=&quot;0007386F&quot;/&gt;&lt;wsp:rsid wsp:val=&quot;000745C1&quot;/&gt;&lt;wsp:rsid wsp:val=&quot;000753E7&quot;/&gt;&lt;wsp:rsid wsp:val=&quot;000755DF&quot;/&gt;&lt;wsp:rsid wsp:val=&quot;00075A91&quot;/&gt;&lt;wsp:rsid wsp:val=&quot;00076E00&quot;/&gt;&lt;wsp:rsid wsp:val=&quot;000779AB&quot;/&gt;&lt;wsp:rsid wsp:val=&quot;00077A0F&quot;/&gt;&lt;wsp:rsid wsp:val=&quot;000800C0&quot;/&gt;&lt;wsp:rsid wsp:val=&quot;000806CA&quot;/&gt;&lt;wsp:rsid wsp:val=&quot;00081719&quot;/&gt;&lt;wsp:rsid wsp:val=&quot;0008192A&quot;/&gt;&lt;wsp:rsid wsp:val=&quot;00081D51&quot;/&gt;&lt;wsp:rsid wsp:val=&quot;00081E7C&quot;/&gt;&lt;wsp:rsid wsp:val=&quot;0008215B&quot;/&gt;&lt;wsp:rsid wsp:val=&quot;000825FE&quot;/&gt;&lt;wsp:rsid wsp:val=&quot;000834B5&quot;/&gt;&lt;wsp:rsid wsp:val=&quot;00083811&quot;/&gt;&lt;wsp:rsid wsp:val=&quot;00083875&quot;/&gt;&lt;wsp:rsid wsp:val=&quot;00083F8A&quot;/&gt;&lt;wsp:rsid wsp:val=&quot;00084475&quot;/&gt;&lt;wsp:rsid wsp:val=&quot;00085C1C&quot;/&gt;&lt;wsp:rsid wsp:val=&quot;00087B3B&quot;/&gt;&lt;wsp:rsid wsp:val=&quot;00087C42&quot;/&gt;&lt;wsp:rsid wsp:val=&quot;00090515&quot;/&gt;&lt;wsp:rsid wsp:val=&quot;00090628&quot;/&gt;&lt;wsp:rsid wsp:val=&quot;00090E92&quot;/&gt;&lt;wsp:rsid wsp:val=&quot;00091643&quot;/&gt;&lt;wsp:rsid wsp:val=&quot;0009181F&quot;/&gt;&lt;wsp:rsid wsp:val=&quot;00092227&quot;/&gt;&lt;wsp:rsid wsp:val=&quot;00094256&quot;/&gt;&lt;wsp:rsid wsp:val=&quot;0009603E&quot;/&gt;&lt;wsp:rsid wsp:val=&quot;00096CCD&quot;/&gt;&lt;wsp:rsid wsp:val=&quot;000A014D&quot;/&gt;&lt;wsp:rsid wsp:val=&quot;000A12E5&quot;/&gt;&lt;wsp:rsid wsp:val=&quot;000A20F9&quot;/&gt;&lt;wsp:rsid wsp:val=&quot;000A2964&quot;/&gt;&lt;wsp:rsid wsp:val=&quot;000A5BA7&quot;/&gt;&lt;wsp:rsid wsp:val=&quot;000A5BF9&quot;/&gt;&lt;wsp:rsid wsp:val=&quot;000A5F7D&quot;/&gt;&lt;wsp:rsid wsp:val=&quot;000A6B53&quot;/&gt;&lt;wsp:rsid wsp:val=&quot;000A6F39&quot;/&gt;&lt;wsp:rsid wsp:val=&quot;000A7416&quot;/&gt;&lt;wsp:rsid wsp:val=&quot;000B16C6&quot;/&gt;&lt;wsp:rsid wsp:val=&quot;000B1B06&quot;/&gt;&lt;wsp:rsid wsp:val=&quot;000B1C19&quot;/&gt;&lt;wsp:rsid wsp:val=&quot;000B1DBA&quot;/&gt;&lt;wsp:rsid wsp:val=&quot;000B2271&quot;/&gt;&lt;wsp:rsid wsp:val=&quot;000B297B&quot;/&gt;&lt;wsp:rsid wsp:val=&quot;000B2B26&quot;/&gt;&lt;wsp:rsid wsp:val=&quot;000B2BB6&quot;/&gt;&lt;wsp:rsid wsp:val=&quot;000B3C67&quot;/&gt;&lt;wsp:rsid wsp:val=&quot;000B4131&quot;/&gt;&lt;wsp:rsid wsp:val=&quot;000B47AA&quot;/&gt;&lt;wsp:rsid wsp:val=&quot;000B496A&quot;/&gt;&lt;wsp:rsid wsp:val=&quot;000B6039&quot;/&gt;&lt;wsp:rsid wsp:val=&quot;000B61E0&quot;/&gt;&lt;wsp:rsid wsp:val=&quot;000B6938&quot;/&gt;&lt;wsp:rsid wsp:val=&quot;000B712B&quot;/&gt;&lt;wsp:rsid wsp:val=&quot;000B7811&quot;/&gt;&lt;wsp:rsid wsp:val=&quot;000B7832&quot;/&gt;&lt;wsp:rsid wsp:val=&quot;000C35A3&quot;/&gt;&lt;wsp:rsid wsp:val=&quot;000C3C23&quot;/&gt;&lt;wsp:rsid wsp:val=&quot;000C4A71&quot;/&gt;&lt;wsp:rsid wsp:val=&quot;000C4B6B&quot;/&gt;&lt;wsp:rsid wsp:val=&quot;000C4C10&quot;/&gt;&lt;wsp:rsid wsp:val=&quot;000C5605&quot;/&gt;&lt;wsp:rsid wsp:val=&quot;000C57BA&quot;/&gt;&lt;wsp:rsid wsp:val=&quot;000C5EC0&quot;/&gt;&lt;wsp:rsid wsp:val=&quot;000C79E9&quot;/&gt;&lt;wsp:rsid wsp:val=&quot;000D0906&quot;/&gt;&lt;wsp:rsid wsp:val=&quot;000D09DC&quot;/&gt;&lt;wsp:rsid wsp:val=&quot;000D0D22&quot;/&gt;&lt;wsp:rsid wsp:val=&quot;000D1D2C&quot;/&gt;&lt;wsp:rsid wsp:val=&quot;000D1F2B&quot;/&gt;&lt;wsp:rsid wsp:val=&quot;000D2C82&quot;/&gt;&lt;wsp:rsid wsp:val=&quot;000D2F3B&quot;/&gt;&lt;wsp:rsid wsp:val=&quot;000D3801&quot;/&gt;&lt;wsp:rsid wsp:val=&quot;000D3815&quot;/&gt;&lt;wsp:rsid wsp:val=&quot;000D432F&quot;/&gt;&lt;wsp:rsid wsp:val=&quot;000D47E6&quot;/&gt;&lt;wsp:rsid wsp:val=&quot;000D49A6&quot;/&gt;&lt;wsp:rsid wsp:val=&quot;000D4D13&quot;/&gt;&lt;wsp:rsid wsp:val=&quot;000D5A3C&quot;/&gt;&lt;wsp:rsid wsp:val=&quot;000D5D0B&quot;/&gt;&lt;wsp:rsid wsp:val=&quot;000D7352&quot;/&gt;&lt;wsp:rsid wsp:val=&quot;000D78D5&quot;/&gt;&lt;wsp:rsid wsp:val=&quot;000D7FE7&quot;/&gt;&lt;wsp:rsid wsp:val=&quot;000E03EF&quot;/&gt;&lt;wsp:rsid wsp:val=&quot;000E1E7E&quot;/&gt;&lt;wsp:rsid wsp:val=&quot;000E2422&quot;/&gt;&lt;wsp:rsid wsp:val=&quot;000E298D&quot;/&gt;&lt;wsp:rsid wsp:val=&quot;000E3464&quot;/&gt;&lt;wsp:rsid wsp:val=&quot;000E35D9&quot;/&gt;&lt;wsp:rsid wsp:val=&quot;000E43F0&quot;/&gt;&lt;wsp:rsid wsp:val=&quot;000E5319&quot;/&gt;&lt;wsp:rsid wsp:val=&quot;000E5466&quot;/&gt;&lt;wsp:rsid wsp:val=&quot;000E589D&quot;/&gt;&lt;wsp:rsid wsp:val=&quot;000E6308&quot;/&gt;&lt;wsp:rsid wsp:val=&quot;000E700F&quot;/&gt;&lt;wsp:rsid wsp:val=&quot;000E7B2A&quot;/&gt;&lt;wsp:rsid wsp:val=&quot;000F0E0E&quot;/&gt;&lt;wsp:rsid wsp:val=&quot;000F1593&quot;/&gt;&lt;wsp:rsid wsp:val=&quot;000F24D8&quot;/&gt;&lt;wsp:rsid wsp:val=&quot;000F3406&quot;/&gt;&lt;wsp:rsid wsp:val=&quot;000F344F&quot;/&gt;&lt;wsp:rsid wsp:val=&quot;000F3917&quot;/&gt;&lt;wsp:rsid wsp:val=&quot;000F3C17&quot;/&gt;&lt;wsp:rsid wsp:val=&quot;000F597C&quot;/&gt;&lt;wsp:rsid wsp:val=&quot;000F7280&quot;/&gt;&lt;wsp:rsid wsp:val=&quot;000F79B3&quot;/&gt;&lt;wsp:rsid wsp:val=&quot;00100774&quot;/&gt;&lt;wsp:rsid wsp:val=&quot;00100E5E&quot;/&gt;&lt;wsp:rsid wsp:val=&quot;001012A5&quot;/&gt;&lt;wsp:rsid wsp:val=&quot;00101622&quot;/&gt;&lt;wsp:rsid wsp:val=&quot;00101EBE&quot;/&gt;&lt;wsp:rsid wsp:val=&quot;00102EBB&quot;/&gt;&lt;wsp:rsid wsp:val=&quot;00103F13&quot;/&gt;&lt;wsp:rsid wsp:val=&quot;00103FE1&quot;/&gt;&lt;wsp:rsid wsp:val=&quot;001040A0&quot;/&gt;&lt;wsp:rsid wsp:val=&quot;001042DE&quot;/&gt;&lt;wsp:rsid wsp:val=&quot;00104E8B&quot;/&gt;&lt;wsp:rsid wsp:val=&quot;00105A7F&quot;/&gt;&lt;wsp:rsid wsp:val=&quot;00106A5D&quot;/&gt;&lt;wsp:rsid wsp:val=&quot;001077BC&quot;/&gt;&lt;wsp:rsid wsp:val=&quot;001112B7&quot;/&gt;&lt;wsp:rsid wsp:val=&quot;001116C2&quot;/&gt;&lt;wsp:rsid wsp:val=&quot;00111EA4&quot;/&gt;&lt;wsp:rsid wsp:val=&quot;001120ED&quot;/&gt;&lt;wsp:rsid wsp:val=&quot;00112AD4&quot;/&gt;&lt;wsp:rsid wsp:val=&quot;0011354E&quot;/&gt;&lt;wsp:rsid wsp:val=&quot;0011365D&quot;/&gt;&lt;wsp:rsid wsp:val=&quot;001137C4&quot;/&gt;&lt;wsp:rsid wsp:val=&quot;00113975&quot;/&gt;&lt;wsp:rsid wsp:val=&quot;001155D5&quot;/&gt;&lt;wsp:rsid wsp:val=&quot;00115AAE&quot;/&gt;&lt;wsp:rsid wsp:val=&quot;00115ABB&quot;/&gt;&lt;wsp:rsid wsp:val=&quot;0011742A&quot;/&gt;&lt;wsp:rsid wsp:val=&quot;00117774&quot;/&gt;&lt;wsp:rsid wsp:val=&quot;00117AE7&quot;/&gt;&lt;wsp:rsid wsp:val=&quot;00121E44&quot;/&gt;&lt;wsp:rsid wsp:val=&quot;00122471&quot;/&gt;&lt;wsp:rsid wsp:val=&quot;00122F5F&quot;/&gt;&lt;wsp:rsid wsp:val=&quot;00124D20&quot;/&gt;&lt;wsp:rsid wsp:val=&quot;00125271&quot;/&gt;&lt;wsp:rsid wsp:val=&quot;001259D2&quot;/&gt;&lt;wsp:rsid wsp:val=&quot;00125F81&quot;/&gt;&lt;wsp:rsid wsp:val=&quot;00126535&quot;/&gt;&lt;wsp:rsid wsp:val=&quot;00126E13&quot;/&gt;&lt;wsp:rsid wsp:val=&quot;001272A6&quot;/&gt;&lt;wsp:rsid wsp:val=&quot;001277C6&quot;/&gt;&lt;wsp:rsid wsp:val=&quot;00127AEA&quot;/&gt;&lt;wsp:rsid wsp:val=&quot;00127B76&quot;/&gt;&lt;wsp:rsid wsp:val=&quot;001303AE&quot;/&gt;&lt;wsp:rsid wsp:val=&quot;0013082F&quot;/&gt;&lt;wsp:rsid wsp:val=&quot;00130BD8&quot;/&gt;&lt;wsp:rsid wsp:val=&quot;00132161&quot;/&gt;&lt;wsp:rsid wsp:val=&quot;0013244E&quot;/&gt;&lt;wsp:rsid wsp:val=&quot;00132626&quot;/&gt;&lt;wsp:rsid wsp:val=&quot;00133031&quot;/&gt;&lt;wsp:rsid wsp:val=&quot;0013315A&quot;/&gt;&lt;wsp:rsid wsp:val=&quot;00133598&quot;/&gt;&lt;wsp:rsid wsp:val=&quot;001336A5&quot;/&gt;&lt;wsp:rsid wsp:val=&quot;00133BDB&quot;/&gt;&lt;wsp:rsid wsp:val=&quot;0013410C&quot;/&gt;&lt;wsp:rsid wsp:val=&quot;00134961&quot;/&gt;&lt;wsp:rsid wsp:val=&quot;00135864&quot;/&gt;&lt;wsp:rsid wsp:val=&quot;001362E9&quot;/&gt;&lt;wsp:rsid wsp:val=&quot;0013758E&quot;/&gt;&lt;wsp:rsid wsp:val=&quot;00137CEE&quot;/&gt;&lt;wsp:rsid wsp:val=&quot;001409AE&quot;/&gt;&lt;wsp:rsid wsp:val=&quot;00140C27&quot;/&gt;&lt;wsp:rsid wsp:val=&quot;00141EA7&quot;/&gt;&lt;wsp:rsid wsp:val=&quot;001425F4&quot;/&gt;&lt;wsp:rsid wsp:val=&quot;0014340F&quot;/&gt;&lt;wsp:rsid wsp:val=&quot;001437DA&quot;/&gt;&lt;wsp:rsid wsp:val=&quot;00145B05&quot;/&gt;&lt;wsp:rsid wsp:val=&quot;0014616D&quot;/&gt;&lt;wsp:rsid wsp:val=&quot;0014619C&quot;/&gt;&lt;wsp:rsid wsp:val=&quot;001474B4&quot;/&gt;&lt;wsp:rsid wsp:val=&quot;00150BA1&quot;/&gt;&lt;wsp:rsid wsp:val=&quot;00151304&quot;/&gt;&lt;wsp:rsid wsp:val=&quot;001526BA&quot;/&gt;&lt;wsp:rsid wsp:val=&quot;001526F6&quot;/&gt;&lt;wsp:rsid wsp:val=&quot;001543C3&quot;/&gt;&lt;wsp:rsid wsp:val=&quot;00160C2E&quot;/&gt;&lt;wsp:rsid wsp:val=&quot;00160C4E&quot;/&gt;&lt;wsp:rsid wsp:val=&quot;00161054&quot;/&gt;&lt;wsp:rsid wsp:val=&quot;00162257&quot;/&gt;&lt;wsp:rsid wsp:val=&quot;00162401&quot;/&gt;&lt;wsp:rsid wsp:val=&quot;00163DF5&quot;/&gt;&lt;wsp:rsid wsp:val=&quot;00163FA3&quot;/&gt;&lt;wsp:rsid wsp:val=&quot;001640D9&quot;/&gt;&lt;wsp:rsid wsp:val=&quot;001648C3&quot;/&gt;&lt;wsp:rsid wsp:val=&quot;0016511B&quot;/&gt;&lt;wsp:rsid wsp:val=&quot;001663D3&quot;/&gt;&lt;wsp:rsid wsp:val=&quot;0016690D&quot;/&gt;&lt;wsp:rsid wsp:val=&quot;00166EDE&quot;/&gt;&lt;wsp:rsid wsp:val=&quot;00171D80&quot;/&gt;&lt;wsp:rsid wsp:val=&quot;00172A27&quot;/&gt;&lt;wsp:rsid wsp:val=&quot;00174DD8&quot;/&gt;&lt;wsp:rsid wsp:val=&quot;0017525A&quot;/&gt;&lt;wsp:rsid wsp:val=&quot;001757DD&quot;/&gt;&lt;wsp:rsid wsp:val=&quot;00176447&quot;/&gt;&lt;wsp:rsid wsp:val=&quot;00176453&quot;/&gt;&lt;wsp:rsid wsp:val=&quot;00176977&quot;/&gt;&lt;wsp:rsid wsp:val=&quot;00177781&quot;/&gt;&lt;wsp:rsid wsp:val=&quot;0018015C&quot;/&gt;&lt;wsp:rsid wsp:val=&quot;0018344E&quot;/&gt;&lt;wsp:rsid wsp:val=&quot;0018442D&quot;/&gt;&lt;wsp:rsid wsp:val=&quot;0018450A&quot;/&gt;&lt;wsp:rsid wsp:val=&quot;00184BD1&quot;/&gt;&lt;wsp:rsid wsp:val=&quot;00186555&quot;/&gt;&lt;wsp:rsid wsp:val=&quot;00187820&quot;/&gt;&lt;wsp:rsid wsp:val=&quot;00187CB6&quot;/&gt;&lt;wsp:rsid wsp:val=&quot;00187FC6&quot;/&gt;&lt;wsp:rsid wsp:val=&quot;001921AF&quot;/&gt;&lt;wsp:rsid wsp:val=&quot;001927B4&quot;/&gt;&lt;wsp:rsid wsp:val=&quot;00194F95&quot;/&gt;&lt;wsp:rsid wsp:val=&quot;001955F8&quot;/&gt;&lt;wsp:rsid wsp:val=&quot;0019571B&quot;/&gt;&lt;wsp:rsid wsp:val=&quot;00195DBC&quot;/&gt;&lt;wsp:rsid wsp:val=&quot;001966B7&quot;/&gt;&lt;wsp:rsid wsp:val=&quot;00196F95&quot;/&gt;&lt;wsp:rsid wsp:val=&quot;001979F2&quot;/&gt;&lt;wsp:rsid wsp:val=&quot;001A025B&quot;/&gt;&lt;wsp:rsid wsp:val=&quot;001A107E&quot;/&gt;&lt;wsp:rsid wsp:val=&quot;001A1E6A&quot;/&gt;&lt;wsp:rsid wsp:val=&quot;001A23A6&quot;/&gt;&lt;wsp:rsid wsp:val=&quot;001A2E21&quot;/&gt;&lt;wsp:rsid wsp:val=&quot;001A4A80&quot;/&gt;&lt;wsp:rsid wsp:val=&quot;001A589A&quot;/&gt;&lt;wsp:rsid wsp:val=&quot;001A5A22&quot;/&gt;&lt;wsp:rsid wsp:val=&quot;001A7301&quot;/&gt;&lt;wsp:rsid wsp:val=&quot;001A7EB6&quot;/&gt;&lt;wsp:rsid wsp:val=&quot;001B04A1&quot;/&gt;&lt;wsp:rsid wsp:val=&quot;001B0B0C&quot;/&gt;&lt;wsp:rsid wsp:val=&quot;001B0B6F&quot;/&gt;&lt;wsp:rsid wsp:val=&quot;001B12AD&quot;/&gt;&lt;wsp:rsid wsp:val=&quot;001B1AE4&quot;/&gt;&lt;wsp:rsid wsp:val=&quot;001B1BB1&quot;/&gt;&lt;wsp:rsid wsp:val=&quot;001B1E15&quot;/&gt;&lt;wsp:rsid wsp:val=&quot;001B292F&quot;/&gt;&lt;wsp:rsid wsp:val=&quot;001B3041&quot;/&gt;&lt;wsp:rsid wsp:val=&quot;001B3D5B&quot;/&gt;&lt;wsp:rsid wsp:val=&quot;001B424C&quot;/&gt;&lt;wsp:rsid wsp:val=&quot;001B454B&quot;/&gt;&lt;wsp:rsid wsp:val=&quot;001B47A8&quot;/&gt;&lt;wsp:rsid wsp:val=&quot;001B53C1&quot;/&gt;&lt;wsp:rsid wsp:val=&quot;001B5DB5&quot;/&gt;&lt;wsp:rsid wsp:val=&quot;001B6A80&quot;/&gt;&lt;wsp:rsid wsp:val=&quot;001B6D8F&quot;/&gt;&lt;wsp:rsid wsp:val=&quot;001B78E1&quot;/&gt;&lt;wsp:rsid wsp:val=&quot;001B7B2F&quot;/&gt;&lt;wsp:rsid wsp:val=&quot;001C031C&quot;/&gt;&lt;wsp:rsid wsp:val=&quot;001C0415&quot;/&gt;&lt;wsp:rsid wsp:val=&quot;001C1C89&quot;/&gt;&lt;wsp:rsid wsp:val=&quot;001C2249&quot;/&gt;&lt;wsp:rsid wsp:val=&quot;001C22FF&quot;/&gt;&lt;wsp:rsid wsp:val=&quot;001C2857&quot;/&gt;&lt;wsp:rsid wsp:val=&quot;001C2B49&quot;/&gt;&lt;wsp:rsid wsp:val=&quot;001C37E8&quot;/&gt;&lt;wsp:rsid wsp:val=&quot;001C3BC6&quot;/&gt;&lt;wsp:rsid wsp:val=&quot;001C3FAD&quot;/&gt;&lt;wsp:rsid wsp:val=&quot;001C4245&quot;/&gt;&lt;wsp:rsid wsp:val=&quot;001C4618&quot;/&gt;&lt;wsp:rsid wsp:val=&quot;001C4674&quot;/&gt;&lt;wsp:rsid wsp:val=&quot;001C5278&quot;/&gt;&lt;wsp:rsid wsp:val=&quot;001C5962&quot;/&gt;&lt;wsp:rsid wsp:val=&quot;001C5CE5&quot;/&gt;&lt;wsp:rsid wsp:val=&quot;001C6102&quot;/&gt;&lt;wsp:rsid wsp:val=&quot;001C6B04&quot;/&gt;&lt;wsp:rsid wsp:val=&quot;001C768D&quot;/&gt;&lt;wsp:rsid wsp:val=&quot;001C7D10&quot;/&gt;&lt;wsp:rsid wsp:val=&quot;001D0BA0&quot;/&gt;&lt;wsp:rsid wsp:val=&quot;001D1060&quot;/&gt;&lt;wsp:rsid wsp:val=&quot;001D2218&quot;/&gt;&lt;wsp:rsid wsp:val=&quot;001D248A&quot;/&gt;&lt;wsp:rsid wsp:val=&quot;001D2AAD&quot;/&gt;&lt;wsp:rsid wsp:val=&quot;001D3AA7&quot;/&gt;&lt;wsp:rsid wsp:val=&quot;001D412E&quot;/&gt;&lt;wsp:rsid wsp:val=&quot;001D4C2E&quot;/&gt;&lt;wsp:rsid wsp:val=&quot;001D7473&quot;/&gt;&lt;wsp:rsid wsp:val=&quot;001D7BEF&quot;/&gt;&lt;wsp:rsid wsp:val=&quot;001E025F&quot;/&gt;&lt;wsp:rsid wsp:val=&quot;001E05CC&quot;/&gt;&lt;wsp:rsid wsp:val=&quot;001E07F4&quot;/&gt;&lt;wsp:rsid wsp:val=&quot;001E0E03&quot;/&gt;&lt;wsp:rsid wsp:val=&quot;001E1EAD&quot;/&gt;&lt;wsp:rsid wsp:val=&quot;001E24DF&quot;/&gt;&lt;wsp:rsid wsp:val=&quot;001E2A6F&quot;/&gt;&lt;wsp:rsid wsp:val=&quot;001E2AC1&quot;/&gt;&lt;wsp:rsid wsp:val=&quot;001E2C91&quot;/&gt;&lt;wsp:rsid wsp:val=&quot;001E3B97&quot;/&gt;&lt;wsp:rsid wsp:val=&quot;001E492B&quot;/&gt;&lt;wsp:rsid wsp:val=&quot;001E5E4A&quot;/&gt;&lt;wsp:rsid wsp:val=&quot;001E623A&quot;/&gt;&lt;wsp:rsid wsp:val=&quot;001E6305&quot;/&gt;&lt;wsp:rsid wsp:val=&quot;001E6E8A&quot;/&gt;&lt;wsp:rsid wsp:val=&quot;001E7568&quot;/&gt;&lt;wsp:rsid wsp:val=&quot;001E76B4&quot;/&gt;&lt;wsp:rsid wsp:val=&quot;001E7921&quot;/&gt;&lt;wsp:rsid wsp:val=&quot;001F1F99&quot;/&gt;&lt;wsp:rsid wsp:val=&quot;001F2F86&quot;/&gt;&lt;wsp:rsid wsp:val=&quot;001F46E4&quot;/&gt;&lt;wsp:rsid wsp:val=&quot;001F4B63&quot;/&gt;&lt;wsp:rsid wsp:val=&quot;001F5191&quot;/&gt;&lt;wsp:rsid wsp:val=&quot;001F593D&quot;/&gt;&lt;wsp:rsid wsp:val=&quot;001F5AA3&quot;/&gt;&lt;wsp:rsid wsp:val=&quot;001F63F8&quot;/&gt;&lt;wsp:rsid wsp:val=&quot;001F6FDE&quot;/&gt;&lt;wsp:rsid wsp:val=&quot;001F7464&quot;/&gt;&lt;wsp:rsid wsp:val=&quot;00200451&quot;/&gt;&lt;wsp:rsid wsp:val=&quot;002008C2&quot;/&gt;&lt;wsp:rsid wsp:val=&quot;0020133B&quot;/&gt;&lt;wsp:rsid wsp:val=&quot;00201C00&quot;/&gt;&lt;wsp:rsid wsp:val=&quot;00202016&quot;/&gt;&lt;wsp:rsid wsp:val=&quot;00204314&quot;/&gt;&lt;wsp:rsid wsp:val=&quot;002045F1&quot;/&gt;&lt;wsp:rsid wsp:val=&quot;002052CA&quot;/&gt;&lt;wsp:rsid wsp:val=&quot;00205A0A&quot;/&gt;&lt;wsp:rsid wsp:val=&quot;00205F24&quot;/&gt;&lt;wsp:rsid wsp:val=&quot;00206228&quot;/&gt;&lt;wsp:rsid wsp:val=&quot;00206EBA&quot;/&gt;&lt;wsp:rsid wsp:val=&quot;002070E1&quot;/&gt;&lt;wsp:rsid wsp:val=&quot;00207755&quot;/&gt;&lt;wsp:rsid wsp:val=&quot;00207BBE&quot;/&gt;&lt;wsp:rsid wsp:val=&quot;00210D06&quot;/&gt;&lt;wsp:rsid wsp:val=&quot;00211855&quot;/&gt;&lt;wsp:rsid wsp:val=&quot;002121D6&quot;/&gt;&lt;wsp:rsid wsp:val=&quot;00212200&quot;/&gt;&lt;wsp:rsid wsp:val=&quot;00212E38&quot;/&gt;&lt;wsp:rsid wsp:val=&quot;00213030&quot;/&gt;&lt;wsp:rsid wsp:val=&quot;00213950&quot;/&gt;&lt;wsp:rsid wsp:val=&quot;002145AB&quot;/&gt;&lt;wsp:rsid wsp:val=&quot;002145E3&quot;/&gt;&lt;wsp:rsid wsp:val=&quot;00215BA2&quot;/&gt;&lt;wsp:rsid wsp:val=&quot;00215F07&quot;/&gt;&lt;wsp:rsid wsp:val=&quot;002160F7&quot;/&gt;&lt;wsp:rsid wsp:val=&quot;002170F3&quot;/&gt;&lt;wsp:rsid wsp:val=&quot;002170FF&quot;/&gt;&lt;wsp:rsid wsp:val=&quot;00217110&quot;/&gt;&lt;wsp:rsid wsp:val=&quot;002171C0&quot;/&gt;&lt;wsp:rsid wsp:val=&quot;0021799E&quot;/&gt;&lt;wsp:rsid wsp:val=&quot;00217A0B&quot;/&gt;&lt;wsp:rsid wsp:val=&quot;00217B17&quot;/&gt;&lt;wsp:rsid wsp:val=&quot;002200A7&quot;/&gt;&lt;wsp:rsid wsp:val=&quot;0022220E&quot;/&gt;&lt;wsp:rsid wsp:val=&quot;00222367&quot;/&gt;&lt;wsp:rsid wsp:val=&quot;00224BB3&quot;/&gt;&lt;wsp:rsid wsp:val=&quot;00224F38&quot;/&gt;&lt;wsp:rsid wsp:val=&quot;00225EA6&quot;/&gt;&lt;wsp:rsid wsp:val=&quot;00225F4C&quot;/&gt;&lt;wsp:rsid wsp:val=&quot;002262DA&quot;/&gt;&lt;wsp:rsid wsp:val=&quot;0022671A&quot;/&gt;&lt;wsp:rsid wsp:val=&quot;00226B36&quot;/&gt;&lt;wsp:rsid wsp:val=&quot;00227518&quot;/&gt;&lt;wsp:rsid wsp:val=&quot;00227E66&quot;/&gt;&lt;wsp:rsid wsp:val=&quot;002303D8&quot;/&gt;&lt;wsp:rsid wsp:val=&quot;00230F4A&quot;/&gt;&lt;wsp:rsid wsp:val=&quot;00230FF2&quot;/&gt;&lt;wsp:rsid wsp:val=&quot;0023118C&quot;/&gt;&lt;wsp:rsid wsp:val=&quot;002317A6&quot;/&gt;&lt;wsp:rsid wsp:val=&quot;00231D70&quot;/&gt;&lt;wsp:rsid wsp:val=&quot;00232443&quot;/&gt;&lt;wsp:rsid wsp:val=&quot;002328A3&quot;/&gt;&lt;wsp:rsid wsp:val=&quot;002357FE&quot;/&gt;&lt;wsp:rsid wsp:val=&quot;00235B18&quot;/&gt;&lt;wsp:rsid wsp:val=&quot;00235CBE&quot;/&gt;&lt;wsp:rsid wsp:val=&quot;00235EC4&quot;/&gt;&lt;wsp:rsid wsp:val=&quot;00236FBF&quot;/&gt;&lt;wsp:rsid wsp:val=&quot;0023709F&quot;/&gt;&lt;wsp:rsid wsp:val=&quot;00237414&quot;/&gt;&lt;wsp:rsid wsp:val=&quot;00237A4D&quot;/&gt;&lt;wsp:rsid wsp:val=&quot;002408DF&quot;/&gt;&lt;wsp:rsid wsp:val=&quot;00241060&quot;/&gt;&lt;wsp:rsid wsp:val=&quot;002411AB&quot;/&gt;&lt;wsp:rsid wsp:val=&quot;00241561&quot;/&gt;&lt;wsp:rsid wsp:val=&quot;00241E23&quot;/&gt;&lt;wsp:rsid wsp:val=&quot;00241F47&quot;/&gt;&lt;wsp:rsid wsp:val=&quot;00241FB7&quot;/&gt;&lt;wsp:rsid wsp:val=&quot;00242653&quot;/&gt;&lt;wsp:rsid wsp:val=&quot;00242CE6&quot;/&gt;&lt;wsp:rsid wsp:val=&quot;0024456A&quot;/&gt;&lt;wsp:rsid wsp:val=&quot;00245130&quot;/&gt;&lt;wsp:rsid wsp:val=&quot;00246A3D&quot;/&gt;&lt;wsp:rsid wsp:val=&quot;00250AD0&quot;/&gt;&lt;wsp:rsid wsp:val=&quot;00250B18&quot;/&gt;&lt;wsp:rsid wsp:val=&quot;00250D6E&quot;/&gt;&lt;wsp:rsid wsp:val=&quot;002512DC&quot;/&gt;&lt;wsp:rsid wsp:val=&quot;002532C7&quot;/&gt;&lt;wsp:rsid wsp:val=&quot;00253304&quot;/&gt;&lt;wsp:rsid wsp:val=&quot;00253DCC&quot;/&gt;&lt;wsp:rsid wsp:val=&quot;00254947&quot;/&gt;&lt;wsp:rsid wsp:val=&quot;00255307&quot;/&gt;&lt;wsp:rsid wsp:val=&quot;0025645C&quot;/&gt;&lt;wsp:rsid wsp:val=&quot;00256943&quot;/&gt;&lt;wsp:rsid wsp:val=&quot;00256D25&quot;/&gt;&lt;wsp:rsid wsp:val=&quot;00257710&quot;/&gt;&lt;wsp:rsid wsp:val=&quot;00257FE7&quot;/&gt;&lt;wsp:rsid wsp:val=&quot;00260148&quot;/&gt;&lt;wsp:rsid wsp:val=&quot;00260C9D&quot;/&gt;&lt;wsp:rsid wsp:val=&quot;00261857&quot;/&gt;&lt;wsp:rsid wsp:val=&quot;00261D03&quot;/&gt;&lt;wsp:rsid wsp:val=&quot;00262B83&quot;/&gt;&lt;wsp:rsid wsp:val=&quot;00262C4E&quot;/&gt;&lt;wsp:rsid wsp:val=&quot;00262CE7&quot;/&gt;&lt;wsp:rsid wsp:val=&quot;00262E81&quot;/&gt;&lt;wsp:rsid wsp:val=&quot;002675EE&quot;/&gt;&lt;wsp:rsid wsp:val=&quot;00271B0B&quot;/&gt;&lt;wsp:rsid wsp:val=&quot;00272D1B&quot;/&gt;&lt;wsp:rsid wsp:val=&quot;00273387&quot;/&gt;&lt;wsp:rsid wsp:val=&quot;002738C6&quot;/&gt;&lt;wsp:rsid wsp:val=&quot;00273EB1&quot;/&gt;&lt;wsp:rsid wsp:val=&quot;0027441D&quot;/&gt;&lt;wsp:rsid wsp:val=&quot;0027545D&quot;/&gt;&lt;wsp:rsid wsp:val=&quot;002756CE&quot;/&gt;&lt;wsp:rsid wsp:val=&quot;00275BC6&quot;/&gt;&lt;wsp:rsid wsp:val=&quot;00275E88&quot;/&gt;&lt;wsp:rsid wsp:val=&quot;00276C28&quot;/&gt;&lt;wsp:rsid wsp:val=&quot;00277015&quot;/&gt;&lt;wsp:rsid wsp:val=&quot;00277E36&quot;/&gt;&lt;wsp:rsid wsp:val=&quot;00281DB8&quot;/&gt;&lt;wsp:rsid wsp:val=&quot;00283E50&quot;/&gt;&lt;wsp:rsid wsp:val=&quot;002851C8&quot;/&gt;&lt;wsp:rsid wsp:val=&quot;00286B67&quot;/&gt;&lt;wsp:rsid wsp:val=&quot;0029000F&quot;/&gt;&lt;wsp:rsid wsp:val=&quot;002900F0&quot;/&gt;&lt;wsp:rsid wsp:val=&quot;002901B8&quot;/&gt;&lt;wsp:rsid wsp:val=&quot;00290244&quot;/&gt;&lt;wsp:rsid wsp:val=&quot;0029142B&quot;/&gt;&lt;wsp:rsid wsp:val=&quot;0029146D&quot;/&gt;&lt;wsp:rsid wsp:val=&quot;00291944&quot;/&gt;&lt;wsp:rsid wsp:val=&quot;0029318D&quot;/&gt;&lt;wsp:rsid wsp:val=&quot;0029344C&quot;/&gt;&lt;wsp:rsid wsp:val=&quot;00293B6C&quot;/&gt;&lt;wsp:rsid wsp:val=&quot;00293E48&quot;/&gt;&lt;wsp:rsid wsp:val=&quot;002951D3&quot;/&gt;&lt;wsp:rsid wsp:val=&quot;002959FE&quot;/&gt;&lt;wsp:rsid wsp:val=&quot;002963F6&quot;/&gt;&lt;wsp:rsid wsp:val=&quot;00296818&quot;/&gt;&lt;wsp:rsid wsp:val=&quot;002974BA&quot;/&gt;&lt;wsp:rsid wsp:val=&quot;002A118F&quot;/&gt;&lt;wsp:rsid wsp:val=&quot;002A26C5&quot;/&gt;&lt;wsp:rsid wsp:val=&quot;002A4193&quot;/&gt;&lt;wsp:rsid wsp:val=&quot;002A4425&quot;/&gt;&lt;wsp:rsid wsp:val=&quot;002A4907&quot;/&gt;&lt;wsp:rsid wsp:val=&quot;002A501C&quot;/&gt;&lt;wsp:rsid wsp:val=&quot;002A503C&quot;/&gt;&lt;wsp:rsid wsp:val=&quot;002A631F&quot;/&gt;&lt;wsp:rsid wsp:val=&quot;002A7230&quot;/&gt;&lt;wsp:rsid wsp:val=&quot;002A75D7&quot;/&gt;&lt;wsp:rsid wsp:val=&quot;002A773F&quot;/&gt;&lt;wsp:rsid wsp:val=&quot;002A79E6&quot;/&gt;&lt;wsp:rsid wsp:val=&quot;002A7DAF&quot;/&gt;&lt;wsp:rsid wsp:val=&quot;002B005E&quot;/&gt;&lt;wsp:rsid wsp:val=&quot;002B0290&quot;/&gt;&lt;wsp:rsid wsp:val=&quot;002B0326&quot;/&gt;&lt;wsp:rsid wsp:val=&quot;002B0390&quot;/&gt;&lt;wsp:rsid wsp:val=&quot;002B14A8&quot;/&gt;&lt;wsp:rsid wsp:val=&quot;002B1738&quot;/&gt;&lt;wsp:rsid wsp:val=&quot;002B1A3A&quot;/&gt;&lt;wsp:rsid wsp:val=&quot;002B2032&quot;/&gt;&lt;wsp:rsid wsp:val=&quot;002B2C79&quot;/&gt;&lt;wsp:rsid wsp:val=&quot;002B38D3&quot;/&gt;&lt;wsp:rsid wsp:val=&quot;002B3DCF&quot;/&gt;&lt;wsp:rsid wsp:val=&quot;002B41E2&quot;/&gt;&lt;wsp:rsid wsp:val=&quot;002B47E6&quot;/&gt;&lt;wsp:rsid wsp:val=&quot;002B4B44&quot;/&gt;&lt;wsp:rsid wsp:val=&quot;002B4C16&quot;/&gt;&lt;wsp:rsid wsp:val=&quot;002B4E4E&quot;/&gt;&lt;wsp:rsid wsp:val=&quot;002B5526&quot;/&gt;&lt;wsp:rsid wsp:val=&quot;002B55F9&quot;/&gt;&lt;wsp:rsid wsp:val=&quot;002B5C9C&quot;/&gt;&lt;wsp:rsid wsp:val=&quot;002B63F1&quot;/&gt;&lt;wsp:rsid wsp:val=&quot;002B652E&quot;/&gt;&lt;wsp:rsid wsp:val=&quot;002B6D3A&quot;/&gt;&lt;wsp:rsid wsp:val=&quot;002B6FDD&quot;/&gt;&lt;wsp:rsid wsp:val=&quot;002B7462&quot;/&gt;&lt;wsp:rsid wsp:val=&quot;002B76ED&quot;/&gt;&lt;wsp:rsid wsp:val=&quot;002B7801&quot;/&gt;&lt;wsp:rsid wsp:val=&quot;002C01D5&quot;/&gt;&lt;wsp:rsid wsp:val=&quot;002C1118&quot;/&gt;&lt;wsp:rsid wsp:val=&quot;002C2CAA&quot;/&gt;&lt;wsp:rsid wsp:val=&quot;002C2DE4&quot;/&gt;&lt;wsp:rsid wsp:val=&quot;002C2F3F&quot;/&gt;&lt;wsp:rsid wsp:val=&quot;002C3642&quot;/&gt;&lt;wsp:rsid wsp:val=&quot;002C394E&quot;/&gt;&lt;wsp:rsid wsp:val=&quot;002C43AF&quot;/&gt;&lt;wsp:rsid wsp:val=&quot;002C4C67&quot;/&gt;&lt;wsp:rsid wsp:val=&quot;002C4EA0&quot;/&gt;&lt;wsp:rsid wsp:val=&quot;002C5A58&quot;/&gt;&lt;wsp:rsid wsp:val=&quot;002C5B89&quot;/&gt;&lt;wsp:rsid wsp:val=&quot;002C773F&quot;/&gt;&lt;wsp:rsid wsp:val=&quot;002D0A6D&quot;/&gt;&lt;wsp:rsid wsp:val=&quot;002D0B13&quot;/&gt;&lt;wsp:rsid wsp:val=&quot;002D1114&quot;/&gt;&lt;wsp:rsid wsp:val=&quot;002D2468&quot;/&gt;&lt;wsp:rsid wsp:val=&quot;002D4283&quot;/&gt;&lt;wsp:rsid wsp:val=&quot;002D44BA&quot;/&gt;&lt;wsp:rsid wsp:val=&quot;002D4721&quot;/&gt;&lt;wsp:rsid wsp:val=&quot;002D4A56&quot;/&gt;&lt;wsp:rsid wsp:val=&quot;002D5193&quot;/&gt;&lt;wsp:rsid wsp:val=&quot;002D564B&quot;/&gt;&lt;wsp:rsid wsp:val=&quot;002D64A4&quot;/&gt;&lt;wsp:rsid wsp:val=&quot;002D668B&quot;/&gt;&lt;wsp:rsid wsp:val=&quot;002D6AA6&quot;/&gt;&lt;wsp:rsid wsp:val=&quot;002D6E87&quot;/&gt;&lt;wsp:rsid wsp:val=&quot;002D715C&quot;/&gt;&lt;wsp:rsid wsp:val=&quot;002D77CE&quot;/&gt;&lt;wsp:rsid wsp:val=&quot;002E0FF0&quot;/&gt;&lt;wsp:rsid wsp:val=&quot;002E1103&quot;/&gt;&lt;wsp:rsid wsp:val=&quot;002E1A2B&quot;/&gt;&lt;wsp:rsid wsp:val=&quot;002E2743&quot;/&gt;&lt;wsp:rsid wsp:val=&quot;002E29F3&quot;/&gt;&lt;wsp:rsid wsp:val=&quot;002E31F7&quot;/&gt;&lt;wsp:rsid wsp:val=&quot;002E3348&quot;/&gt;&lt;wsp:rsid wsp:val=&quot;002E4A35&quot;/&gt;&lt;wsp:rsid wsp:val=&quot;002E54D5&quot;/&gt;&lt;wsp:rsid wsp:val=&quot;002E553C&quot;/&gt;&lt;wsp:rsid wsp:val=&quot;002E5966&quot;/&gt;&lt;wsp:rsid wsp:val=&quot;002E6435&quot;/&gt;&lt;wsp:rsid wsp:val=&quot;002E7A78&quot;/&gt;&lt;wsp:rsid wsp:val=&quot;002E7A7F&quot;/&gt;&lt;wsp:rsid wsp:val=&quot;002E7E66&quot;/&gt;&lt;wsp:rsid wsp:val=&quot;002F202D&quot;/&gt;&lt;wsp:rsid wsp:val=&quot;002F35B2&quot;/&gt;&lt;wsp:rsid wsp:val=&quot;002F5114&quot;/&gt;&lt;wsp:rsid wsp:val=&quot;002F5292&quot;/&gt;&lt;wsp:rsid wsp:val=&quot;002F5F6F&quot;/&gt;&lt;wsp:rsid wsp:val=&quot;002F65D5&quot;/&gt;&lt;wsp:rsid wsp:val=&quot;0030152F&quot;/&gt;&lt;wsp:rsid wsp:val=&quot;00301DB9&quot;/&gt;&lt;wsp:rsid wsp:val=&quot;0030285E&quot;/&gt;&lt;wsp:rsid wsp:val=&quot;003038CC&quot;/&gt;&lt;wsp:rsid wsp:val=&quot;003052E2&quot;/&gt;&lt;wsp:rsid wsp:val=&quot;00306A32&quot;/&gt;&lt;wsp:rsid wsp:val=&quot;00310796&quot;/&gt;&lt;wsp:rsid wsp:val=&quot;003113AE&quot;/&gt;&lt;wsp:rsid wsp:val=&quot;003119A2&quot;/&gt;&lt;wsp:rsid wsp:val=&quot;00311D16&quot;/&gt;&lt;wsp:rsid wsp:val=&quot;00312974&quot;/&gt;&lt;wsp:rsid wsp:val=&quot;003146BF&quot;/&gt;&lt;wsp:rsid wsp:val=&quot;00314738&quot;/&gt;&lt;wsp:rsid wsp:val=&quot;00314D54&quot;/&gt;&lt;wsp:rsid wsp:val=&quot;00315325&quot;/&gt;&lt;wsp:rsid wsp:val=&quot;003157FC&quot;/&gt;&lt;wsp:rsid wsp:val=&quot;0031605F&quot;/&gt;&lt;wsp:rsid wsp:val=&quot;00316FD7&quot;/&gt;&lt;wsp:rsid wsp:val=&quot;00317C93&quot;/&gt;&lt;wsp:rsid wsp:val=&quot;00317EC3&quot;/&gt;&lt;wsp:rsid wsp:val=&quot;003228E6&quot;/&gt;&lt;wsp:rsid wsp:val=&quot;00323504&quot;/&gt;&lt;wsp:rsid wsp:val=&quot;00323636&quot;/&gt;&lt;wsp:rsid wsp:val=&quot;003239C5&quot;/&gt;&lt;wsp:rsid wsp:val=&quot;00325130&quot;/&gt;&lt;wsp:rsid wsp:val=&quot;00325351&quot;/&gt;&lt;wsp:rsid wsp:val=&quot;00326F9F&quot;/&gt;&lt;wsp:rsid wsp:val=&quot;00327357&quot;/&gt;&lt;wsp:rsid wsp:val=&quot;003274D1&quot;/&gt;&lt;wsp:rsid wsp:val=&quot;0033009B&quot;/&gt;&lt;wsp:rsid wsp:val=&quot;00331638&quot;/&gt;&lt;wsp:rsid wsp:val=&quot;00331901&quot;/&gt;&lt;wsp:rsid wsp:val=&quot;00331BCF&quot;/&gt;&lt;wsp:rsid wsp:val=&quot;003322B7&quot;/&gt;&lt;wsp:rsid wsp:val=&quot;00332BFC&quot;/&gt;&lt;wsp:rsid wsp:val=&quot;00333126&quot;/&gt;&lt;wsp:rsid wsp:val=&quot;0033586D&quot;/&gt;&lt;wsp:rsid wsp:val=&quot;003368F8&quot;/&gt;&lt;wsp:rsid wsp:val=&quot;00337E10&quot;/&gt;&lt;wsp:rsid wsp:val=&quot;0034223C&quot;/&gt;&lt;wsp:rsid wsp:val=&quot;0034229C&quot;/&gt;&lt;wsp:rsid wsp:val=&quot;003422B2&quot;/&gt;&lt;wsp:rsid wsp:val=&quot;003424A7&quot;/&gt;&lt;wsp:rsid wsp:val=&quot;003430A9&quot;/&gt;&lt;wsp:rsid wsp:val=&quot;00343EEE&quot;/&gt;&lt;wsp:rsid wsp:val=&quot;00344D5E&quot;/&gt;&lt;wsp:rsid wsp:val=&quot;003461E8&quot;/&gt;&lt;wsp:rsid wsp:val=&quot;00346570&quot;/&gt;&lt;wsp:rsid wsp:val=&quot;00346FF6&quot;/&gt;&lt;wsp:rsid wsp:val=&quot;003470C2&quot;/&gt;&lt;wsp:rsid wsp:val=&quot;00347B53&quot;/&gt;&lt;wsp:rsid wsp:val=&quot;00350989&quot;/&gt;&lt;wsp:rsid wsp:val=&quot;00350B46&quot;/&gt;&lt;wsp:rsid wsp:val=&quot;00350D1D&quot;/&gt;&lt;wsp:rsid wsp:val=&quot;00351142&quot;/&gt;&lt;wsp:rsid wsp:val=&quot;00351286&quot;/&gt;&lt;wsp:rsid wsp:val=&quot;00351892&quot;/&gt;&lt;wsp:rsid wsp:val=&quot;00351CF8&quot;/&gt;&lt;wsp:rsid wsp:val=&quot;00351E7B&quot;/&gt;&lt;wsp:rsid wsp:val=&quot;003521BA&quot;/&gt;&lt;wsp:rsid wsp:val=&quot;003528FC&quot;/&gt;&lt;wsp:rsid wsp:val=&quot;00353C97&quot;/&gt;&lt;wsp:rsid wsp:val=&quot;00354AEA&quot;/&gt;&lt;wsp:rsid wsp:val=&quot;003551F2&quot;/&gt;&lt;wsp:rsid wsp:val=&quot;00355B78&quot;/&gt;&lt;wsp:rsid wsp:val=&quot;00356113&quot;/&gt;&lt;wsp:rsid wsp:val=&quot;0035671F&quot;/&gt;&lt;wsp:rsid wsp:val=&quot;003567DA&quot;/&gt;&lt;wsp:rsid wsp:val=&quot;00356977&quot;/&gt;&lt;wsp:rsid wsp:val=&quot;003569CE&quot;/&gt;&lt;wsp:rsid wsp:val=&quot;00356DE7&quot;/&gt;&lt;wsp:rsid wsp:val=&quot;00357212&quot;/&gt;&lt;wsp:rsid wsp:val=&quot;003603BA&quot;/&gt;&lt;wsp:rsid wsp:val=&quot;003610E1&quot;/&gt;&lt;wsp:rsid wsp:val=&quot;0036114D&quot;/&gt;&lt;wsp:rsid wsp:val=&quot;003615B4&quot;/&gt;&lt;wsp:rsid wsp:val=&quot;0036196D&quot;/&gt;&lt;wsp:rsid wsp:val=&quot;0036205C&quot;/&gt;&lt;wsp:rsid wsp:val=&quot;003620DE&quot;/&gt;&lt;wsp:rsid wsp:val=&quot;00362330&quot;/&gt;&lt;wsp:rsid wsp:val=&quot;00362536&quot;/&gt;&lt;wsp:rsid wsp:val=&quot;00362BE9&quot;/&gt;&lt;wsp:rsid wsp:val=&quot;00363C36&quot;/&gt;&lt;wsp:rsid wsp:val=&quot;0036457E&quot;/&gt;&lt;wsp:rsid wsp:val=&quot;00364B98&quot;/&gt;&lt;wsp:rsid wsp:val=&quot;00366013&quot;/&gt;&lt;wsp:rsid wsp:val=&quot;00366613&quot;/&gt;&lt;wsp:rsid wsp:val=&quot;00366BA7&quot;/&gt;&lt;wsp:rsid wsp:val=&quot;0036777A&quot;/&gt;&lt;wsp:rsid wsp:val=&quot;00367DCD&quot;/&gt;&lt;wsp:rsid wsp:val=&quot;00370811&quot;/&gt;&lt;wsp:rsid wsp:val=&quot;00370973&quot;/&gt;&lt;wsp:rsid wsp:val=&quot;00370ECF&quot;/&gt;&lt;wsp:rsid wsp:val=&quot;00371D06&quot;/&gt;&lt;wsp:rsid wsp:val=&quot;0037236C&quot;/&gt;&lt;wsp:rsid wsp:val=&quot;00372590&quot;/&gt;&lt;wsp:rsid wsp:val=&quot;00373392&quot;/&gt;&lt;wsp:rsid wsp:val=&quot;00373608&quot;/&gt;&lt;wsp:rsid wsp:val=&quot;00373C4D&quot;/&gt;&lt;wsp:rsid wsp:val=&quot;003746E4&quot;/&gt;&lt;wsp:rsid wsp:val=&quot;00374D14&quot;/&gt;&lt;wsp:rsid wsp:val=&quot;00375004&quot;/&gt;&lt;wsp:rsid wsp:val=&quot;00375DF9&quot;/&gt;&lt;wsp:rsid wsp:val=&quot;003763A2&quot;/&gt;&lt;wsp:rsid wsp:val=&quot;00376FE1&quot;/&gt;&lt;wsp:rsid wsp:val=&quot;003811F9&quot;/&gt;&lt;wsp:rsid wsp:val=&quot;00381430&quot;/&gt;&lt;wsp:rsid wsp:val=&quot;00381AE3&quot;/&gt;&lt;wsp:rsid wsp:val=&quot;00381F29&quot;/&gt;&lt;wsp:rsid wsp:val=&quot;00382410&quot;/&gt;&lt;wsp:rsid wsp:val=&quot;00382418&quot;/&gt;&lt;wsp:rsid wsp:val=&quot;0038282E&quot;/&gt;&lt;wsp:rsid wsp:val=&quot;00382EB3&quot;/&gt;&lt;wsp:rsid wsp:val=&quot;0038303F&quot;/&gt;&lt;wsp:rsid wsp:val=&quot;0038346E&quot;/&gt;&lt;wsp:rsid wsp:val=&quot;0038363C&quot;/&gt;&lt;wsp:rsid wsp:val=&quot;00383D8A&quot;/&gt;&lt;wsp:rsid wsp:val=&quot;003846D2&quot;/&gt;&lt;wsp:rsid wsp:val=&quot;00384C8A&quot;/&gt;&lt;wsp:rsid wsp:val=&quot;00385EBE&quot;/&gt;&lt;wsp:rsid wsp:val=&quot;0038667B&quot;/&gt;&lt;wsp:rsid wsp:val=&quot;00386A87&quot;/&gt;&lt;wsp:rsid wsp:val=&quot;00387289&quot;/&gt;&lt;wsp:rsid wsp:val=&quot;00387772&quot;/&gt;&lt;wsp:rsid wsp:val=&quot;0039001A&quot;/&gt;&lt;wsp:rsid wsp:val=&quot;00390C8E&quot;/&gt;&lt;wsp:rsid wsp:val=&quot;003912D5&quot;/&gt;&lt;wsp:rsid wsp:val=&quot;00391448&quot;/&gt;&lt;wsp:rsid wsp:val=&quot;00391AE5&quot;/&gt;&lt;wsp:rsid wsp:val=&quot;0039328E&quot;/&gt;&lt;wsp:rsid wsp:val=&quot;0039543C&quot;/&gt;&lt;wsp:rsid wsp:val=&quot;00395B79&quot;/&gt;&lt;wsp:rsid wsp:val=&quot;0039608F&quot;/&gt;&lt;wsp:rsid wsp:val=&quot;00396F3C&quot;/&gt;&lt;wsp:rsid wsp:val=&quot;003978F8&quot;/&gt;&lt;wsp:rsid wsp:val=&quot;00397CEC&quot;/&gt;&lt;wsp:rsid wsp:val=&quot;00397D90&quot;/&gt;&lt;wsp:rsid wsp:val=&quot;00397E66&quot;/&gt;&lt;wsp:rsid wsp:val=&quot;003A09AE&quot;/&gt;&lt;wsp:rsid wsp:val=&quot;003A1980&quot;/&gt;&lt;wsp:rsid wsp:val=&quot;003A1DFA&quot;/&gt;&lt;wsp:rsid wsp:val=&quot;003A1EC9&quot;/&gt;&lt;wsp:rsid wsp:val=&quot;003A2B26&quot;/&gt;&lt;wsp:rsid wsp:val=&quot;003A3AA1&quot;/&gt;&lt;wsp:rsid wsp:val=&quot;003A41D2&quot;/&gt;&lt;wsp:rsid wsp:val=&quot;003A4426&quot;/&gt;&lt;wsp:rsid wsp:val=&quot;003A5277&quot;/&gt;&lt;wsp:rsid wsp:val=&quot;003A570F&quot;/&gt;&lt;wsp:rsid wsp:val=&quot;003A628F&quot;/&gt;&lt;wsp:rsid wsp:val=&quot;003A6D63&quot;/&gt;&lt;wsp:rsid wsp:val=&quot;003A7567&quot;/&gt;&lt;wsp:rsid wsp:val=&quot;003A76FC&quot;/&gt;&lt;wsp:rsid wsp:val=&quot;003A79BC&quot;/&gt;&lt;wsp:rsid wsp:val=&quot;003A7CB6&quot;/&gt;&lt;wsp:rsid wsp:val=&quot;003A7CFD&quot;/&gt;&lt;wsp:rsid wsp:val=&quot;003B054A&quot;/&gt;&lt;wsp:rsid wsp:val=&quot;003B1D0C&quot;/&gt;&lt;wsp:rsid wsp:val=&quot;003B328D&quot;/&gt;&lt;wsp:rsid wsp:val=&quot;003B39AB&quot;/&gt;&lt;wsp:rsid wsp:val=&quot;003B3CE9&quot;/&gt;&lt;wsp:rsid wsp:val=&quot;003B3E8E&quot;/&gt;&lt;wsp:rsid wsp:val=&quot;003B4A13&quot;/&gt;&lt;wsp:rsid wsp:val=&quot;003B5256&quot;/&gt;&lt;wsp:rsid wsp:val=&quot;003B5CAB&quot;/&gt;&lt;wsp:rsid wsp:val=&quot;003B6ECA&quot;/&gt;&lt;wsp:rsid wsp:val=&quot;003B7548&quot;/&gt;&lt;wsp:rsid wsp:val=&quot;003B75D6&quot;/&gt;&lt;wsp:rsid wsp:val=&quot;003B77EE&quot;/&gt;&lt;wsp:rsid wsp:val=&quot;003B7865&quot;/&gt;&lt;wsp:rsid wsp:val=&quot;003C03BE&quot;/&gt;&lt;wsp:rsid wsp:val=&quot;003C0485&quot;/&gt;&lt;wsp:rsid wsp:val=&quot;003C0AAE&quot;/&gt;&lt;wsp:rsid wsp:val=&quot;003C0DCC&quot;/&gt;&lt;wsp:rsid wsp:val=&quot;003C0E40&quot;/&gt;&lt;wsp:rsid wsp:val=&quot;003C1644&quot;/&gt;&lt;wsp:rsid wsp:val=&quot;003C1F98&quot;/&gt;&lt;wsp:rsid wsp:val=&quot;003C1FA3&quot;/&gt;&lt;wsp:rsid wsp:val=&quot;003C249A&quot;/&gt;&lt;wsp:rsid wsp:val=&quot;003C2BC4&quot;/&gt;&lt;wsp:rsid wsp:val=&quot;003C3338&quot;/&gt;&lt;wsp:rsid wsp:val=&quot;003C361D&quot;/&gt;&lt;wsp:rsid wsp:val=&quot;003C3798&quot;/&gt;&lt;wsp:rsid wsp:val=&quot;003C3910&quot;/&gt;&lt;wsp:rsid wsp:val=&quot;003C4F69&quot;/&gt;&lt;wsp:rsid wsp:val=&quot;003C5033&quot;/&gt;&lt;wsp:rsid wsp:val=&quot;003C5FC5&quot;/&gt;&lt;wsp:rsid wsp:val=&quot;003C67D6&quot;/&gt;&lt;wsp:rsid wsp:val=&quot;003C6C58&quot;/&gt;&lt;wsp:rsid wsp:val=&quot;003C7267&quot;/&gt;&lt;wsp:rsid wsp:val=&quot;003C72B9&quot;/&gt;&lt;wsp:rsid wsp:val=&quot;003C7DB5&quot;/&gt;&lt;wsp:rsid wsp:val=&quot;003D0BD5&quot;/&gt;&lt;wsp:rsid wsp:val=&quot;003D0EDC&quot;/&gt;&lt;wsp:rsid wsp:val=&quot;003D10ED&quot;/&gt;&lt;wsp:rsid wsp:val=&quot;003D3154&quot;/&gt;&lt;wsp:rsid wsp:val=&quot;003D3B67&quot;/&gt;&lt;wsp:rsid wsp:val=&quot;003D3DBF&quot;/&gt;&lt;wsp:rsid wsp:val=&quot;003D47CF&quot;/&gt;&lt;wsp:rsid wsp:val=&quot;003D4D82&quot;/&gt;&lt;wsp:rsid wsp:val=&quot;003D5972&quot;/&gt;&lt;wsp:rsid wsp:val=&quot;003D5BC9&quot;/&gt;&lt;wsp:rsid wsp:val=&quot;003D63BC&quot;/&gt;&lt;wsp:rsid wsp:val=&quot;003D775F&quot;/&gt;&lt;wsp:rsid wsp:val=&quot;003D77A2&quot;/&gt;&lt;wsp:rsid wsp:val=&quot;003D7A50&quot;/&gt;&lt;wsp:rsid wsp:val=&quot;003E02AA&quot;/&gt;&lt;wsp:rsid wsp:val=&quot;003E0AFA&quot;/&gt;&lt;wsp:rsid wsp:val=&quot;003E2180&quot;/&gt;&lt;wsp:rsid wsp:val=&quot;003E2992&quot;/&gt;&lt;wsp:rsid wsp:val=&quot;003E2EB6&quot;/&gt;&lt;wsp:rsid wsp:val=&quot;003E2F3E&quot;/&gt;&lt;wsp:rsid wsp:val=&quot;003E3812&quot;/&gt;&lt;wsp:rsid wsp:val=&quot;003E4127&quot;/&gt;&lt;wsp:rsid wsp:val=&quot;003E4F37&quot;/&gt;&lt;wsp:rsid wsp:val=&quot;003E4F80&quot;/&gt;&lt;wsp:rsid wsp:val=&quot;003E5BA5&quot;/&gt;&lt;wsp:rsid wsp:val=&quot;003E5E20&quot;/&gt;&lt;wsp:rsid wsp:val=&quot;003E69CF&quot;/&gt;&lt;wsp:rsid wsp:val=&quot;003E74FC&quot;/&gt;&lt;wsp:rsid wsp:val=&quot;003F0064&quot;/&gt;&lt;wsp:rsid wsp:val=&quot;003F064D&quot;/&gt;&lt;wsp:rsid wsp:val=&quot;003F118C&quot;/&gt;&lt;wsp:rsid wsp:val=&quot;003F1294&quot;/&gt;&lt;wsp:rsid wsp:val=&quot;003F1F57&quot;/&gt;&lt;wsp:rsid wsp:val=&quot;003F2501&quot;/&gt;&lt;wsp:rsid wsp:val=&quot;003F2A71&quot;/&gt;&lt;wsp:rsid wsp:val=&quot;003F2CF5&quot;/&gt;&lt;wsp:rsid wsp:val=&quot;003F41DF&quot;/&gt;&lt;wsp:rsid wsp:val=&quot;003F437D&quot;/&gt;&lt;wsp:rsid wsp:val=&quot;003F4B32&quot;/&gt;&lt;wsp:rsid wsp:val=&quot;003F4BF2&quot;/&gt;&lt;wsp:rsid wsp:val=&quot;003F4CC4&quot;/&gt;&lt;wsp:rsid wsp:val=&quot;003F5A8A&quot;/&gt;&lt;wsp:rsid wsp:val=&quot;003F5C8C&quot;/&gt;&lt;wsp:rsid wsp:val=&quot;003F7975&quot;/&gt;&lt;wsp:rsid wsp:val=&quot;004002DA&quot;/&gt;&lt;wsp:rsid wsp:val=&quot;0040113B&quot;/&gt;&lt;wsp:rsid wsp:val=&quot;00401C69&quot;/&gt;&lt;wsp:rsid wsp:val=&quot;00403D58&quot;/&gt;&lt;wsp:rsid wsp:val=&quot;0040560D&quot;/&gt;&lt;wsp:rsid wsp:val=&quot;0040673F&quot;/&gt;&lt;wsp:rsid wsp:val=&quot;004104A4&quot;/&gt;&lt;wsp:rsid wsp:val=&quot;00410DBA&quot;/&gt;&lt;wsp:rsid wsp:val=&quot;004119EC&quot;/&gt;&lt;wsp:rsid wsp:val=&quot;00412120&quot;/&gt;&lt;wsp:rsid wsp:val=&quot;00412208&quot;/&gt;&lt;wsp:rsid wsp:val=&quot;0041298F&quot;/&gt;&lt;wsp:rsid wsp:val=&quot;004133F2&quot;/&gt;&lt;wsp:rsid wsp:val=&quot;004136E8&quot;/&gt;&lt;wsp:rsid wsp:val=&quot;00413FFA&quot;/&gt;&lt;wsp:rsid wsp:val=&quot;00414705&quot;/&gt;&lt;wsp:rsid wsp:val=&quot;00415302&quot;/&gt;&lt;wsp:rsid wsp:val=&quot;004153EC&quot;/&gt;&lt;wsp:rsid wsp:val=&quot;004156E7&quot;/&gt;&lt;wsp:rsid wsp:val=&quot;00416DEC&quot;/&gt;&lt;wsp:rsid wsp:val=&quot;004171F4&quot;/&gt;&lt;wsp:rsid wsp:val=&quot;00417629&quot;/&gt;&lt;wsp:rsid wsp:val=&quot;00417783&quot;/&gt;&lt;wsp:rsid wsp:val=&quot;00420066&quot;/&gt;&lt;wsp:rsid wsp:val=&quot;004208D5&quot;/&gt;&lt;wsp:rsid wsp:val=&quot;004222BC&quot;/&gt;&lt;wsp:rsid wsp:val=&quot;0042265E&quot;/&gt;&lt;wsp:rsid wsp:val=&quot;00423629&quot;/&gt;&lt;wsp:rsid wsp:val=&quot;00423AF6&quot;/&gt;&lt;wsp:rsid wsp:val=&quot;00423B2E&quot;/&gt;&lt;wsp:rsid wsp:val=&quot;00423C11&quot;/&gt;&lt;wsp:rsid wsp:val=&quot;00423E35&quot;/&gt;&lt;wsp:rsid wsp:val=&quot;00424ABE&quot;/&gt;&lt;wsp:rsid wsp:val=&quot;00425E3D&quot;/&gt;&lt;wsp:rsid wsp:val=&quot;00426945&quot;/&gt;&lt;wsp:rsid wsp:val=&quot;00426F57&quot;/&gt;&lt;wsp:rsid wsp:val=&quot;0043037C&quot;/&gt;&lt;wsp:rsid wsp:val=&quot;00431579&quot;/&gt;&lt;wsp:rsid wsp:val=&quot;00433AD3&quot;/&gt;&lt;wsp:rsid wsp:val=&quot;00433ED2&quot;/&gt;&lt;wsp:rsid wsp:val=&quot;00435DC8&quot;/&gt;&lt;wsp:rsid wsp:val=&quot;0043656F&quot;/&gt;&lt;wsp:rsid wsp:val=&quot;0043701A&quot;/&gt;&lt;wsp:rsid wsp:val=&quot;004372C4&quot;/&gt;&lt;wsp:rsid wsp:val=&quot;00437A49&quot;/&gt;&lt;wsp:rsid wsp:val=&quot;00440C9F&quot;/&gt;&lt;wsp:rsid wsp:val=&quot;00440F9F&quot;/&gt;&lt;wsp:rsid wsp:val=&quot;0044138A&quot;/&gt;&lt;wsp:rsid wsp:val=&quot;00442678&quot;/&gt;&lt;wsp:rsid wsp:val=&quot;004438ED&quot;/&gt;&lt;wsp:rsid wsp:val=&quot;00445FB4&quot;/&gt;&lt;wsp:rsid wsp:val=&quot;004460B4&quot;/&gt;&lt;wsp:rsid wsp:val=&quot;00447DE8&quot;/&gt;&lt;wsp:rsid wsp:val=&quot;00450ADF&quot;/&gt;&lt;wsp:rsid wsp:val=&quot;00451D11&quot;/&gt;&lt;wsp:rsid wsp:val=&quot;00452C09&quot;/&gt;&lt;wsp:rsid wsp:val=&quot;00453D73&quot;/&gt;&lt;wsp:rsid wsp:val=&quot;00455823&quot;/&gt;&lt;wsp:rsid wsp:val=&quot;00455A7C&quot;/&gt;&lt;wsp:rsid wsp:val=&quot;00456A12&quot;/&gt;&lt;wsp:rsid wsp:val=&quot;004570FE&quot;/&gt;&lt;wsp:rsid wsp:val=&quot;004577CD&quot;/&gt;&lt;wsp:rsid wsp:val=&quot;00460E83&quot;/&gt;&lt;wsp:rsid wsp:val=&quot;0046183D&quot;/&gt;&lt;wsp:rsid wsp:val=&quot;00461BB9&quot;/&gt;&lt;wsp:rsid wsp:val=&quot;00462264&quot;/&gt;&lt;wsp:rsid wsp:val=&quot;004657C4&quot;/&gt;&lt;wsp:rsid wsp:val=&quot;00465F9B&quot;/&gt;&lt;wsp:rsid wsp:val=&quot;00467022&quot;/&gt;&lt;wsp:rsid wsp:val=&quot;00467D29&quot;/&gt;&lt;wsp:rsid wsp:val=&quot;00467D7B&quot;/&gt;&lt;wsp:rsid wsp:val=&quot;00470512&quot;/&gt;&lt;wsp:rsid wsp:val=&quot;00470641&quot;/&gt;&lt;wsp:rsid wsp:val=&quot;004712A9&quot;/&gt;&lt;wsp:rsid wsp:val=&quot;00471354&quot;/&gt;&lt;wsp:rsid wsp:val=&quot;004725C7&quot;/&gt;&lt;wsp:rsid wsp:val=&quot;00472909&quot;/&gt;&lt;wsp:rsid wsp:val=&quot;00472D50&quot;/&gt;&lt;wsp:rsid wsp:val=&quot;00472DC3&quot;/&gt;&lt;wsp:rsid wsp:val=&quot;00473FAD&quot;/&gt;&lt;wsp:rsid wsp:val=&quot;00474148&quot;/&gt;&lt;wsp:rsid wsp:val=&quot;00475164&quot;/&gt;&lt;wsp:rsid wsp:val=&quot;00475EC9&quot;/&gt;&lt;wsp:rsid wsp:val=&quot;004763A5&quot;/&gt;&lt;wsp:rsid wsp:val=&quot;00477159&quot;/&gt;&lt;wsp:rsid wsp:val=&quot;00480619&quot;/&gt;&lt;wsp:rsid wsp:val=&quot;0048190A&quot;/&gt;&lt;wsp:rsid wsp:val=&quot;004833EE&quot;/&gt;&lt;wsp:rsid wsp:val=&quot;00483B60&quot;/&gt;&lt;wsp:rsid wsp:val=&quot;00483B98&quot;/&gt;&lt;wsp:rsid wsp:val=&quot;00483C01&quot;/&gt;&lt;wsp:rsid wsp:val=&quot;004867C3&quot;/&gt;&lt;wsp:rsid wsp:val=&quot;00487600&quot;/&gt;&lt;wsp:rsid wsp:val=&quot;00492C79&quot;/&gt;&lt;wsp:rsid wsp:val=&quot;00493F01&quot;/&gt;&lt;wsp:rsid wsp:val=&quot;00494E45&quot;/&gt;&lt;wsp:rsid wsp:val=&quot;00495382&quot;/&gt;&lt;wsp:rsid wsp:val=&quot;00497B20&quot;/&gt;&lt;wsp:rsid wsp:val=&quot;004A1D92&quot;/&gt;&lt;wsp:rsid wsp:val=&quot;004A1F12&quot;/&gt;&lt;wsp:rsid wsp:val=&quot;004A2638&quot;/&gt;&lt;wsp:rsid wsp:val=&quot;004A31DA&quot;/&gt;&lt;wsp:rsid wsp:val=&quot;004A32BD&quot;/&gt;&lt;wsp:rsid wsp:val=&quot;004A41C3&quot;/&gt;&lt;wsp:rsid wsp:val=&quot;004A45FC&quot;/&gt;&lt;wsp:rsid wsp:val=&quot;004A5E09&quot;/&gt;&lt;wsp:rsid wsp:val=&quot;004B1EDB&quot;/&gt;&lt;wsp:rsid wsp:val=&quot;004B1F77&quot;/&gt;&lt;wsp:rsid wsp:val=&quot;004B25B4&quot;/&gt;&lt;wsp:rsid wsp:val=&quot;004B4CC7&quot;/&gt;&lt;wsp:rsid wsp:val=&quot;004B58FE&quot;/&gt;&lt;wsp:rsid wsp:val=&quot;004B699F&quot;/&gt;&lt;wsp:rsid wsp:val=&quot;004B737D&quot;/&gt;&lt;wsp:rsid wsp:val=&quot;004B7944&quot;/&gt;&lt;wsp:rsid wsp:val=&quot;004B7D15&quot;/&gt;&lt;wsp:rsid wsp:val=&quot;004C060C&quot;/&gt;&lt;wsp:rsid wsp:val=&quot;004C0610&quot;/&gt;&lt;wsp:rsid wsp:val=&quot;004C0790&quot;/&gt;&lt;wsp:rsid wsp:val=&quot;004C0D9A&quot;/&gt;&lt;wsp:rsid wsp:val=&quot;004C10F1&quot;/&gt;&lt;wsp:rsid wsp:val=&quot;004C21F1&quot;/&gt;&lt;wsp:rsid wsp:val=&quot;004C21FD&quot;/&gt;&lt;wsp:rsid wsp:val=&quot;004C3E5E&quot;/&gt;&lt;wsp:rsid wsp:val=&quot;004C4278&quot;/&gt;&lt;wsp:rsid wsp:val=&quot;004C53D9&quot;/&gt;&lt;wsp:rsid wsp:val=&quot;004C5997&quot;/&gt;&lt;wsp:rsid wsp:val=&quot;004C59B5&quot;/&gt;&lt;wsp:rsid wsp:val=&quot;004C5B29&quot;/&gt;&lt;wsp:rsid wsp:val=&quot;004C662F&quot;/&gt;&lt;wsp:rsid wsp:val=&quot;004C7EB8&quot;/&gt;&lt;wsp:rsid wsp:val=&quot;004D1020&quot;/&gt;&lt;wsp:rsid wsp:val=&quot;004D1266&quot;/&gt;&lt;wsp:rsid wsp:val=&quot;004D1D43&quot;/&gt;&lt;wsp:rsid wsp:val=&quot;004D30BC&quot;/&gt;&lt;wsp:rsid wsp:val=&quot;004D449C&quot;/&gt;&lt;wsp:rsid wsp:val=&quot;004D4ED6&quot;/&gt;&lt;wsp:rsid wsp:val=&quot;004D5496&quot;/&gt;&lt;wsp:rsid wsp:val=&quot;004D570A&quot;/&gt;&lt;wsp:rsid wsp:val=&quot;004D57F2&quot;/&gt;&lt;wsp:rsid wsp:val=&quot;004D58F7&quot;/&gt;&lt;wsp:rsid wsp:val=&quot;004D5E43&quot;/&gt;&lt;wsp:rsid wsp:val=&quot;004D7656&quot;/&gt;&lt;wsp:rsid wsp:val=&quot;004D76AA&quot;/&gt;&lt;wsp:rsid wsp:val=&quot;004D76FF&quot;/&gt;&lt;wsp:rsid wsp:val=&quot;004D7D69&quot;/&gt;&lt;wsp:rsid wsp:val=&quot;004D7FA8&quot;/&gt;&lt;wsp:rsid wsp:val=&quot;004E0D82&quot;/&gt;&lt;wsp:rsid wsp:val=&quot;004E0EBB&quot;/&gt;&lt;wsp:rsid wsp:val=&quot;004E144E&quot;/&gt;&lt;wsp:rsid wsp:val=&quot;004E1648&quot;/&gt;&lt;wsp:rsid wsp:val=&quot;004E22FF&quot;/&gt;&lt;wsp:rsid wsp:val=&quot;004E27F3&quot;/&gt;&lt;wsp:rsid wsp:val=&quot;004E2EBF&quot;/&gt;&lt;wsp:rsid wsp:val=&quot;004E455E&quot;/&gt;&lt;wsp:rsid wsp:val=&quot;004E6200&quot;/&gt;&lt;wsp:rsid wsp:val=&quot;004E6B61&quot;/&gt;&lt;wsp:rsid wsp:val=&quot;004E6BA7&quot;/&gt;&lt;wsp:rsid wsp:val=&quot;004E6BDA&quot;/&gt;&lt;wsp:rsid wsp:val=&quot;004E6EDE&quot;/&gt;&lt;wsp:rsid wsp:val=&quot;004E792B&quot;/&gt;&lt;wsp:rsid wsp:val=&quot;004F08E5&quot;/&gt;&lt;wsp:rsid wsp:val=&quot;004F0F23&quot;/&gt;&lt;wsp:rsid wsp:val=&quot;004F15BD&quot;/&gt;&lt;wsp:rsid wsp:val=&quot;004F1CA9&quot;/&gt;&lt;wsp:rsid wsp:val=&quot;004F2066&quot;/&gt;&lt;wsp:rsid wsp:val=&quot;004F2F7F&quot;/&gt;&lt;wsp:rsid wsp:val=&quot;004F2FD1&quot;/&gt;&lt;wsp:rsid wsp:val=&quot;004F355A&quot;/&gt;&lt;wsp:rsid wsp:val=&quot;004F4A87&quot;/&gt;&lt;wsp:rsid wsp:val=&quot;004F523F&quot;/&gt;&lt;wsp:rsid wsp:val=&quot;004F5689&quot;/&gt;&lt;wsp:rsid wsp:val=&quot;004F66CF&quot;/&gt;&lt;wsp:rsid wsp:val=&quot;004F6974&quot;/&gt;&lt;wsp:rsid wsp:val=&quot;004F7C66&quot;/&gt;&lt;wsp:rsid wsp:val=&quot;00500876&quot;/&gt;&lt;wsp:rsid wsp:val=&quot;005014C2&quot;/&gt;&lt;wsp:rsid wsp:val=&quot;00501796&quot;/&gt;&lt;wsp:rsid wsp:val=&quot;005019DE&quot;/&gt;&lt;wsp:rsid wsp:val=&quot;0050319E&quot;/&gt;&lt;wsp:rsid wsp:val=&quot;0050360A&quot;/&gt;&lt;wsp:rsid wsp:val=&quot;0050383C&quot;/&gt;&lt;wsp:rsid wsp:val=&quot;005040C9&quot;/&gt;&lt;wsp:rsid wsp:val=&quot;0050448E&quot;/&gt;&lt;wsp:rsid wsp:val=&quot;00504AAA&quot;/&gt;&lt;wsp:rsid wsp:val=&quot;00504C80&quot;/&gt;&lt;wsp:rsid wsp:val=&quot;00504CC4&quot;/&gt;&lt;wsp:rsid wsp:val=&quot;00505159&quot;/&gt;&lt;wsp:rsid wsp:val=&quot;00506025&quot;/&gt;&lt;wsp:rsid wsp:val=&quot;005065D9&quot;/&gt;&lt;wsp:rsid wsp:val=&quot;005076E1&quot;/&gt;&lt;wsp:rsid wsp:val=&quot;00507F92&quot;/&gt;&lt;wsp:rsid wsp:val=&quot;00510BBB&quot;/&gt;&lt;wsp:rsid wsp:val=&quot;005128A2&quot;/&gt;&lt;wsp:rsid wsp:val=&quot;005141D2&quot;/&gt;&lt;wsp:rsid wsp:val=&quot;00514244&quot;/&gt;&lt;wsp:rsid wsp:val=&quot;00514C1B&quot;/&gt;&lt;wsp:rsid wsp:val=&quot;00515256&quot;/&gt;&lt;wsp:rsid wsp:val=&quot;00515A09&quot;/&gt;&lt;wsp:rsid wsp:val=&quot;00515E94&quot;/&gt;&lt;wsp:rsid wsp:val=&quot;0052076D&quot;/&gt;&lt;wsp:rsid wsp:val=&quot;005214B4&quot;/&gt;&lt;wsp:rsid wsp:val=&quot;005237C2&quot;/&gt;&lt;wsp:rsid wsp:val=&quot;0052461C&quot;/&gt;&lt;wsp:rsid wsp:val=&quot;00524C33&quot;/&gt;&lt;wsp:rsid wsp:val=&quot;005253AE&quot;/&gt;&lt;wsp:rsid wsp:val=&quot;005266F9&quot;/&gt;&lt;wsp:rsid wsp:val=&quot;00526D47&quot;/&gt;&lt;wsp:rsid wsp:val=&quot;0052770D&quot;/&gt;&lt;wsp:rsid wsp:val=&quot;00527FFD&quot;/&gt;&lt;wsp:rsid wsp:val=&quot;00530E89&quot;/&gt;&lt;wsp:rsid wsp:val=&quot;00530FC0&quot;/&gt;&lt;wsp:rsid wsp:val=&quot;0053102D&quot;/&gt;&lt;wsp:rsid wsp:val=&quot;00533C52&quot;/&gt;&lt;wsp:rsid wsp:val=&quot;00534294&quot;/&gt;&lt;wsp:rsid wsp:val=&quot;00534D3D&quot;/&gt;&lt;wsp:rsid wsp:val=&quot;00534DF1&quot;/&gt;&lt;wsp:rsid wsp:val=&quot;00535D94&quot;/&gt;&lt;wsp:rsid wsp:val=&quot;0053628D&quot;/&gt;&lt;wsp:rsid wsp:val=&quot;00536467&quot;/&gt;&lt;wsp:rsid wsp:val=&quot;00536AC0&quot;/&gt;&lt;wsp:rsid wsp:val=&quot;00536C68&quot;/&gt;&lt;wsp:rsid wsp:val=&quot;00536CCA&quot;/&gt;&lt;wsp:rsid wsp:val=&quot;00536E94&quot;/&gt;&lt;wsp:rsid wsp:val=&quot;005371CC&quot;/&gt;&lt;wsp:rsid wsp:val=&quot;0053737C&quot;/&gt;&lt;wsp:rsid wsp:val=&quot;00537822&quot;/&gt;&lt;wsp:rsid wsp:val=&quot;00540482&quot;/&gt;&lt;wsp:rsid wsp:val=&quot;005406B1&quot;/&gt;&lt;wsp:rsid wsp:val=&quot;0054115B&quot;/&gt;&lt;wsp:rsid wsp:val=&quot;005417C5&quot;/&gt;&lt;wsp:rsid wsp:val=&quot;00541A0B&quot;/&gt;&lt;wsp:rsid wsp:val=&quot;00542784&quot;/&gt;&lt;wsp:rsid wsp:val=&quot;00542920&quot;/&gt;&lt;wsp:rsid wsp:val=&quot;0054384B&quot;/&gt;&lt;wsp:rsid wsp:val=&quot;0054384D&quot;/&gt;&lt;wsp:rsid wsp:val=&quot;00544BB0&quot;/&gt;&lt;wsp:rsid wsp:val=&quot;00545436&quot;/&gt;&lt;wsp:rsid wsp:val=&quot;00545C11&quot;/&gt;&lt;wsp:rsid wsp:val=&quot;00545F64&quot;/&gt;&lt;wsp:rsid wsp:val=&quot;005467E9&quot;/&gt;&lt;wsp:rsid wsp:val=&quot;00546E5C&quot;/&gt;&lt;wsp:rsid wsp:val=&quot;005502A9&quot;/&gt;&lt;wsp:rsid wsp:val=&quot;00550498&quot;/&gt;&lt;wsp:rsid wsp:val=&quot;00550B7B&quot;/&gt;&lt;wsp:rsid wsp:val=&quot;00551649&quot;/&gt;&lt;wsp:rsid wsp:val=&quot;00551B26&quot;/&gt;&lt;wsp:rsid wsp:val=&quot;00551D90&quot;/&gt;&lt;wsp:rsid wsp:val=&quot;005527EB&quot;/&gt;&lt;wsp:rsid wsp:val=&quot;00552DD8&quot;/&gt;&lt;wsp:rsid wsp:val=&quot;00553F1A&quot;/&gt;&lt;wsp:rsid wsp:val=&quot;005544B0&quot;/&gt;&lt;wsp:rsid wsp:val=&quot;00554CD7&quot;/&gt;&lt;wsp:rsid wsp:val=&quot;005558B7&quot;/&gt;&lt;wsp:rsid wsp:val=&quot;005559F9&quot;/&gt;&lt;wsp:rsid wsp:val=&quot;005566E4&quot;/&gt;&lt;wsp:rsid wsp:val=&quot;005572E9&quot;/&gt;&lt;wsp:rsid wsp:val=&quot;005574D9&quot;/&gt;&lt;wsp:rsid wsp:val=&quot;00560258&quot;/&gt;&lt;wsp:rsid wsp:val=&quot;005605CA&quot;/&gt;&lt;wsp:rsid wsp:val=&quot;0056096B&quot;/&gt;&lt;wsp:rsid wsp:val=&quot;0056331B&quot;/&gt;&lt;wsp:rsid wsp:val=&quot;00563F32&quot;/&gt;&lt;wsp:rsid wsp:val=&quot;00563F5F&quot;/&gt;&lt;wsp:rsid wsp:val=&quot;005648BF&quot;/&gt;&lt;wsp:rsid wsp:val=&quot;00564BFA&quot;/&gt;&lt;wsp:rsid wsp:val=&quot;00566A32&quot;/&gt;&lt;wsp:rsid wsp:val=&quot;00566B76&quot;/&gt;&lt;wsp:rsid wsp:val=&quot;00566F95&quot;/&gt;&lt;wsp:rsid wsp:val=&quot;0057153A&quot;/&gt;&lt;wsp:rsid wsp:val=&quot;00572484&quot;/&gt;&lt;wsp:rsid wsp:val=&quot;005741D3&quot;/&gt;&lt;wsp:rsid wsp:val=&quot;00574DE1&quot;/&gt;&lt;wsp:rsid wsp:val=&quot;00574EB5&quot;/&gt;&lt;wsp:rsid wsp:val=&quot;005759A2&quot;/&gt;&lt;wsp:rsid wsp:val=&quot;005762D3&quot;/&gt;&lt;wsp:rsid wsp:val=&quot;00576412&quot;/&gt;&lt;wsp:rsid wsp:val=&quot;00576BCF&quot;/&gt;&lt;wsp:rsid wsp:val=&quot;005770F1&quot;/&gt;&lt;wsp:rsid wsp:val=&quot;0057785F&quot;/&gt;&lt;wsp:rsid wsp:val=&quot;00580A32&quot;/&gt;&lt;wsp:rsid wsp:val=&quot;00580F48&quot;/&gt;&lt;wsp:rsid wsp:val=&quot;005813DB&quot;/&gt;&lt;wsp:rsid wsp:val=&quot;00581747&quot;/&gt;&lt;wsp:rsid wsp:val=&quot;005820DA&quot;/&gt;&lt;wsp:rsid wsp:val=&quot;00582BBF&quot;/&gt;&lt;wsp:rsid wsp:val=&quot;00582C77&quot;/&gt;&lt;wsp:rsid wsp:val=&quot;0058356E&quot;/&gt;&lt;wsp:rsid wsp:val=&quot;005836BE&quot;/&gt;&lt;wsp:rsid wsp:val=&quot;00583A72&quot;/&gt;&lt;wsp:rsid wsp:val=&quot;00583D32&quot;/&gt;&lt;wsp:rsid wsp:val=&quot;005856F6&quot;/&gt;&lt;wsp:rsid wsp:val=&quot;005858AA&quot;/&gt;&lt;wsp:rsid wsp:val=&quot;00585BE3&quot;/&gt;&lt;wsp:rsid wsp:val=&quot;00586EC6&quot;/&gt;&lt;wsp:rsid wsp:val=&quot;005870D3&quot;/&gt;&lt;wsp:rsid wsp:val=&quot;00587FA0&quot;/&gt;&lt;wsp:rsid wsp:val=&quot;005903B0&quot;/&gt;&lt;wsp:rsid wsp:val=&quot;00591691&quot;/&gt;&lt;wsp:rsid wsp:val=&quot;0059202D&quot;/&gt;&lt;wsp:rsid wsp:val=&quot;00592D25&quot;/&gt;&lt;wsp:rsid wsp:val=&quot;005939F7&quot;/&gt;&lt;wsp:rsid wsp:val=&quot;00594526&quot;/&gt;&lt;wsp:rsid wsp:val=&quot;00594598&quot;/&gt;&lt;wsp:rsid wsp:val=&quot;00594A34&quot;/&gt;&lt;wsp:rsid wsp:val=&quot;005955A4&quot;/&gt;&lt;wsp:rsid wsp:val=&quot;00595968&quot;/&gt;&lt;wsp:rsid wsp:val=&quot;00596113&quot;/&gt;&lt;wsp:rsid wsp:val=&quot;0059752D&quot;/&gt;&lt;wsp:rsid wsp:val=&quot;00597D49&quot;/&gt;&lt;wsp:rsid wsp:val=&quot;00597F44&quot;/&gt;&lt;wsp:rsid wsp:val=&quot;005A0327&quot;/&gt;&lt;wsp:rsid wsp:val=&quot;005A4298&quot;/&gt;&lt;wsp:rsid wsp:val=&quot;005A4DBB&quot;/&gt;&lt;wsp:rsid wsp:val=&quot;005A5689&quot;/&gt;&lt;wsp:rsid wsp:val=&quot;005A61D9&quot;/&gt;&lt;wsp:rsid wsp:val=&quot;005A6AA3&quot;/&gt;&lt;wsp:rsid wsp:val=&quot;005A6DA7&quot;/&gt;&lt;wsp:rsid wsp:val=&quot;005A778A&quot;/&gt;&lt;wsp:rsid wsp:val=&quot;005A788C&quot;/&gt;&lt;wsp:rsid wsp:val=&quot;005B0627&quot;/&gt;&lt;wsp:rsid wsp:val=&quot;005B213F&quot;/&gt;&lt;wsp:rsid wsp:val=&quot;005B2151&quot;/&gt;&lt;wsp:rsid wsp:val=&quot;005B273A&quot;/&gt;&lt;wsp:rsid wsp:val=&quot;005B2EF4&quot;/&gt;&lt;wsp:rsid wsp:val=&quot;005B3E6F&quot;/&gt;&lt;wsp:rsid wsp:val=&quot;005B400A&quot;/&gt;&lt;wsp:rsid wsp:val=&quot;005B430F&quot;/&gt;&lt;wsp:rsid wsp:val=&quot;005B4D6F&quot;/&gt;&lt;wsp:rsid wsp:val=&quot;005B5042&quot;/&gt;&lt;wsp:rsid wsp:val=&quot;005B505B&quot;/&gt;&lt;wsp:rsid wsp:val=&quot;005B5472&quot;/&gt;&lt;wsp:rsid wsp:val=&quot;005B5BD1&quot;/&gt;&lt;wsp:rsid wsp:val=&quot;005B63CB&quot;/&gt;&lt;wsp:rsid wsp:val=&quot;005B6609&quot;/&gt;&lt;wsp:rsid wsp:val=&quot;005B6D7A&quot;/&gt;&lt;wsp:rsid wsp:val=&quot;005B77D5&quot;/&gt;&lt;wsp:rsid wsp:val=&quot;005B7BA6&quot;/&gt;&lt;wsp:rsid wsp:val=&quot;005B7E98&quot;/&gt;&lt;wsp:rsid wsp:val=&quot;005C03A6&quot;/&gt;&lt;wsp:rsid wsp:val=&quot;005C0E77&quot;/&gt;&lt;wsp:rsid wsp:val=&quot;005C1CE7&quot;/&gt;&lt;wsp:rsid wsp:val=&quot;005C2C9A&quot;/&gt;&lt;wsp:rsid wsp:val=&quot;005C3CD9&quot;/&gt;&lt;wsp:rsid wsp:val=&quot;005C4474&quot;/&gt;&lt;wsp:rsid wsp:val=&quot;005C4D2E&quot;/&gt;&lt;wsp:rsid wsp:val=&quot;005C5AA0&quot;/&gt;&lt;wsp:rsid wsp:val=&quot;005C6FEF&quot;/&gt;&lt;wsp:rsid wsp:val=&quot;005C728D&quot;/&gt;&lt;wsp:rsid wsp:val=&quot;005C73A2&quot;/&gt;&lt;wsp:rsid wsp:val=&quot;005C7D59&quot;/&gt;&lt;wsp:rsid wsp:val=&quot;005D1463&quot;/&gt;&lt;wsp:rsid wsp:val=&quot;005D2057&quot;/&gt;&lt;wsp:rsid wsp:val=&quot;005D22EA&quot;/&gt;&lt;wsp:rsid wsp:val=&quot;005D2305&quot;/&gt;&lt;wsp:rsid wsp:val=&quot;005D375C&quot;/&gt;&lt;wsp:rsid wsp:val=&quot;005D3F60&quot;/&gt;&lt;wsp:rsid wsp:val=&quot;005D4CFB&quot;/&gt;&lt;wsp:rsid wsp:val=&quot;005D4E40&quot;/&gt;&lt;wsp:rsid wsp:val=&quot;005D5A26&quot;/&gt;&lt;wsp:rsid wsp:val=&quot;005D67DE&quot;/&gt;&lt;wsp:rsid wsp:val=&quot;005D7495&quot;/&gt;&lt;wsp:rsid wsp:val=&quot;005E075C&quot;/&gt;&lt;wsp:rsid wsp:val=&quot;005E0A42&quot;/&gt;&lt;wsp:rsid wsp:val=&quot;005E0AB1&quot;/&gt;&lt;wsp:rsid wsp:val=&quot;005E1B01&quot;/&gt;&lt;wsp:rsid wsp:val=&quot;005E21BB&quot;/&gt;&lt;wsp:rsid wsp:val=&quot;005E2B84&quot;/&gt;&lt;wsp:rsid wsp:val=&quot;005E3F35&quot;/&gt;&lt;wsp:rsid wsp:val=&quot;005E48E6&quot;/&gt;&lt;wsp:rsid wsp:val=&quot;005E5943&quot;/&gt;&lt;wsp:rsid wsp:val=&quot;005E5AA4&quot;/&gt;&lt;wsp:rsid wsp:val=&quot;005E5D7C&quot;/&gt;&lt;wsp:rsid wsp:val=&quot;005E6062&quot;/&gt;&lt;wsp:rsid wsp:val=&quot;005E6726&quot;/&gt;&lt;wsp:rsid wsp:val=&quot;005E72A4&quot;/&gt;&lt;wsp:rsid wsp:val=&quot;005E7598&quot;/&gt;&lt;wsp:rsid wsp:val=&quot;005E75C6&quot;/&gt;&lt;wsp:rsid wsp:val=&quot;005F1195&quot;/&gt;&lt;wsp:rsid wsp:val=&quot;005F1BAD&quot;/&gt;&lt;wsp:rsid wsp:val=&quot;005F2006&quot;/&gt;&lt;wsp:rsid wsp:val=&quot;005F311D&quot;/&gt;&lt;wsp:rsid wsp:val=&quot;005F3A2D&quot;/&gt;&lt;wsp:rsid wsp:val=&quot;005F3E9A&quot;/&gt;&lt;wsp:rsid wsp:val=&quot;005F4704&quot;/&gt;&lt;wsp:rsid wsp:val=&quot;005F4FAB&quot;/&gt;&lt;wsp:rsid wsp:val=&quot;005F561E&quot;/&gt;&lt;wsp:rsid wsp:val=&quot;005F5C5F&quot;/&gt;&lt;wsp:rsid wsp:val=&quot;005F7061&quot;/&gt;&lt;wsp:rsid wsp:val=&quot;005F70CB&quot;/&gt;&lt;wsp:rsid wsp:val=&quot;0060013D&quot;/&gt;&lt;wsp:rsid wsp:val=&quot;006003EF&quot;/&gt;&lt;wsp:rsid wsp:val=&quot;0060051B&quot;/&gt;&lt;wsp:rsid wsp:val=&quot;00600E36&quot;/&gt;&lt;wsp:rsid wsp:val=&quot;00601839&quot;/&gt;&lt;wsp:rsid wsp:val=&quot;00602A9F&quot;/&gt;&lt;wsp:rsid wsp:val=&quot;00602F64&quot;/&gt;&lt;wsp:rsid wsp:val=&quot;00603475&quot;/&gt;&lt;wsp:rsid wsp:val=&quot;00603BF6&quot;/&gt;&lt;wsp:rsid wsp:val=&quot;006047BC&quot;/&gt;&lt;wsp:rsid wsp:val=&quot;00605896&quot;/&gt;&lt;wsp:rsid wsp:val=&quot;006065BD&quot;/&gt;&lt;wsp:rsid wsp:val=&quot;00606790&quot;/&gt;&lt;wsp:rsid wsp:val=&quot;00606D3D&quot;/&gt;&lt;wsp:rsid wsp:val=&quot;00606D45&quot;/&gt;&lt;wsp:rsid wsp:val=&quot;006074F3&quot;/&gt;&lt;wsp:rsid wsp:val=&quot;00610183&quot;/&gt;&lt;wsp:rsid wsp:val=&quot;0061112C&quot;/&gt;&lt;wsp:rsid wsp:val=&quot;00611332&quot;/&gt;&lt;wsp:rsid wsp:val=&quot;00611A8D&quot;/&gt;&lt;wsp:rsid wsp:val=&quot;006123E6&quot;/&gt;&lt;wsp:rsid wsp:val=&quot;0061324E&quot;/&gt;&lt;wsp:rsid wsp:val=&quot;00613F41&quot;/&gt;&lt;wsp:rsid wsp:val=&quot;00614A03&quot;/&gt;&lt;wsp:rsid wsp:val=&quot;00614C62&quot;/&gt;&lt;wsp:rsid wsp:val=&quot;006150CC&quot;/&gt;&lt;wsp:rsid wsp:val=&quot;006155AE&quot;/&gt;&lt;wsp:rsid wsp:val=&quot;006159D9&quot;/&gt;&lt;wsp:rsid wsp:val=&quot;00616CA3&quot;/&gt;&lt;wsp:rsid wsp:val=&quot;0061719D&quot;/&gt;&lt;wsp:rsid wsp:val=&quot;00617F04&quot;/&gt;&lt;wsp:rsid wsp:val=&quot;0062020B&quot;/&gt;&lt;wsp:rsid wsp:val=&quot;00621775&quot;/&gt;&lt;wsp:rsid wsp:val=&quot;006222E5&quot;/&gt;&lt;wsp:rsid wsp:val=&quot;006224CE&quot;/&gt;&lt;wsp:rsid wsp:val=&quot;00623E4E&quot;/&gt;&lt;wsp:rsid wsp:val=&quot;00624C31&quot;/&gt;&lt;wsp:rsid wsp:val=&quot;00624D81&quot;/&gt;&lt;wsp:rsid wsp:val=&quot;00625CBB&quot;/&gt;&lt;wsp:rsid wsp:val=&quot;006262F6&quot;/&gt;&lt;wsp:rsid wsp:val=&quot;00630430&quot;/&gt;&lt;wsp:rsid wsp:val=&quot;00630536&quot;/&gt;&lt;wsp:rsid wsp:val=&quot;00630F04&quot;/&gt;&lt;wsp:rsid wsp:val=&quot;00631EBF&quot;/&gt;&lt;wsp:rsid wsp:val=&quot;00632103&quot;/&gt;&lt;wsp:rsid wsp:val=&quot;006323E8&quot;/&gt;&lt;wsp:rsid wsp:val=&quot;006324BF&quot;/&gt;&lt;wsp:rsid wsp:val=&quot;00632583&quot;/&gt;&lt;wsp:rsid wsp:val=&quot;006330CD&quot;/&gt;&lt;wsp:rsid wsp:val=&quot;0063464F&quot;/&gt;&lt;wsp:rsid wsp:val=&quot;00634868&quot;/&gt;&lt;wsp:rsid wsp:val=&quot;006358F3&quot;/&gt;&lt;wsp:rsid wsp:val=&quot;00636149&quot;/&gt;&lt;wsp:rsid wsp:val=&quot;00636244&quot;/&gt;&lt;wsp:rsid wsp:val=&quot;006372B1&quot;/&gt;&lt;wsp:rsid wsp:val=&quot;006376BD&quot;/&gt;&lt;wsp:rsid wsp:val=&quot;00637F8A&quot;/&gt;&lt;wsp:rsid wsp:val=&quot;0064109B&quot;/&gt;&lt;wsp:rsid wsp:val=&quot;00641512&quot;/&gt;&lt;wsp:rsid wsp:val=&quot;006427CE&quot;/&gt;&lt;wsp:rsid wsp:val=&quot;00643635&quot;/&gt;&lt;wsp:rsid wsp:val=&quot;0064458E&quot;/&gt;&lt;wsp:rsid wsp:val=&quot;00644A2D&quot;/&gt;&lt;wsp:rsid wsp:val=&quot;00644B01&quot;/&gt;&lt;wsp:rsid wsp:val=&quot;00645FE5&quot;/&gt;&lt;wsp:rsid wsp:val=&quot;00646380&quot;/&gt;&lt;wsp:rsid wsp:val=&quot;00646BE7&quot;/&gt;&lt;wsp:rsid wsp:val=&quot;00646C56&quot;/&gt;&lt;wsp:rsid wsp:val=&quot;00646D6C&quot;/&gt;&lt;wsp:rsid wsp:val=&quot;006470DF&quot;/&gt;&lt;wsp:rsid wsp:val=&quot;0064762C&quot;/&gt;&lt;wsp:rsid wsp:val=&quot;00647C9F&quot;/&gt;&lt;wsp:rsid wsp:val=&quot;00650D6A&quot;/&gt;&lt;wsp:rsid wsp:val=&quot;00651AA8&quot;/&gt;&lt;wsp:rsid wsp:val=&quot;00651AD1&quot;/&gt;&lt;wsp:rsid wsp:val=&quot;00651DDB&quot;/&gt;&lt;wsp:rsid wsp:val=&quot;006525D1&quot;/&gt;&lt;wsp:rsid wsp:val=&quot;006527BA&quot;/&gt;&lt;wsp:rsid wsp:val=&quot;00652C9C&quot;/&gt;&lt;wsp:rsid wsp:val=&quot;00653A29&quot;/&gt;&lt;wsp:rsid wsp:val=&quot;00654553&quot;/&gt;&lt;wsp:rsid wsp:val=&quot;0065459D&quot;/&gt;&lt;wsp:rsid wsp:val=&quot;00655F7F&quot;/&gt;&lt;wsp:rsid wsp:val=&quot;006564F0&quot;/&gt;&lt;wsp:rsid wsp:val=&quot;00656741&quot;/&gt;&lt;wsp:rsid wsp:val=&quot;00657149&quot;/&gt;&lt;wsp:rsid wsp:val=&quot;00657FAB&quot;/&gt;&lt;wsp:rsid wsp:val=&quot;00660DE5&quot;/&gt;&lt;wsp:rsid wsp:val=&quot;006635DC&quot;/&gt;&lt;wsp:rsid wsp:val=&quot;0066418B&quot;/&gt;&lt;wsp:rsid wsp:val=&quot;0066671A&quot;/&gt;&lt;wsp:rsid wsp:val=&quot;00666BD1&quot;/&gt;&lt;wsp:rsid wsp:val=&quot;006711B1&quot;/&gt;&lt;wsp:rsid wsp:val=&quot;00671CE4&quot;/&gt;&lt;wsp:rsid wsp:val=&quot;006735A9&quot;/&gt;&lt;wsp:rsid wsp:val=&quot;00673979&quot;/&gt;&lt;wsp:rsid wsp:val=&quot;006758F2&quot;/&gt;&lt;wsp:rsid wsp:val=&quot;00675BA9&quot;/&gt;&lt;wsp:rsid wsp:val=&quot;0067601A&quot;/&gt;&lt;wsp:rsid wsp:val=&quot;00676520&quot;/&gt;&lt;wsp:rsid wsp:val=&quot;00676678&quot;/&gt;&lt;wsp:rsid wsp:val=&quot;00676C63&quot;/&gt;&lt;wsp:rsid wsp:val=&quot;00676EF1&quot;/&gt;&lt;wsp:rsid wsp:val=&quot;006779D4&quot;/&gt;&lt;wsp:rsid wsp:val=&quot;006803B1&quot;/&gt;&lt;wsp:rsid wsp:val=&quot;00682A1E&quot;/&gt;&lt;wsp:rsid wsp:val=&quot;006836D7&quot;/&gt;&lt;wsp:rsid wsp:val=&quot;006840B6&quot;/&gt;&lt;wsp:rsid wsp:val=&quot;00684775&quot;/&gt;&lt;wsp:rsid wsp:val=&quot;006855E4&quot;/&gt;&lt;wsp:rsid wsp:val=&quot;00686B1C&quot;/&gt;&lt;wsp:rsid wsp:val=&quot;00687B3F&quot;/&gt;&lt;wsp:rsid wsp:val=&quot;00690030&quot;/&gt;&lt;wsp:rsid wsp:val=&quot;006909D4&quot;/&gt;&lt;wsp:rsid wsp:val=&quot;00690FDB&quot;/&gt;&lt;wsp:rsid wsp:val=&quot;00691DCC&quot;/&gt;&lt;wsp:rsid wsp:val=&quot;00692371&quot;/&gt;&lt;wsp:rsid wsp:val=&quot;00692C65&quot;/&gt;&lt;wsp:rsid wsp:val=&quot;00692D2C&quot;/&gt;&lt;wsp:rsid wsp:val=&quot;00692EB2&quot;/&gt;&lt;wsp:rsid wsp:val=&quot;00692F0B&quot;/&gt;&lt;wsp:rsid wsp:val=&quot;00692F79&quot;/&gt;&lt;wsp:rsid wsp:val=&quot;0069358D&quot;/&gt;&lt;wsp:rsid wsp:val=&quot;00694A5F&quot;/&gt;&lt;wsp:rsid wsp:val=&quot;00694DEB&quot;/&gt;&lt;wsp:rsid wsp:val=&quot;00695462&quot;/&gt;&lt;wsp:rsid wsp:val=&quot;00695D29&quot;/&gt;&lt;wsp:rsid wsp:val=&quot;00696418&quot;/&gt;&lt;wsp:rsid wsp:val=&quot;00696563&quot;/&gt;&lt;wsp:rsid wsp:val=&quot;006A061E&quot;/&gt;&lt;wsp:rsid wsp:val=&quot;006A0F8A&quot;/&gt;&lt;wsp:rsid wsp:val=&quot;006A12DD&quot;/&gt;&lt;wsp:rsid wsp:val=&quot;006A1C7C&quot;/&gt;&lt;wsp:rsid wsp:val=&quot;006A2D6B&quot;/&gt;&lt;wsp:rsid wsp:val=&quot;006A3E03&quot;/&gt;&lt;wsp:rsid wsp:val=&quot;006A4464&quot;/&gt;&lt;wsp:rsid wsp:val=&quot;006A4BC5&quot;/&gt;&lt;wsp:rsid wsp:val=&quot;006A4C29&quot;/&gt;&lt;wsp:rsid wsp:val=&quot;006A4DA2&quot;/&gt;&lt;wsp:rsid wsp:val=&quot;006A538A&quot;/&gt;&lt;wsp:rsid wsp:val=&quot;006A54B2&quot;/&gt;&lt;wsp:rsid wsp:val=&quot;006A5592&quot;/&gt;&lt;wsp:rsid wsp:val=&quot;006A568C&quot;/&gt;&lt;wsp:rsid wsp:val=&quot;006A66F7&quot;/&gt;&lt;wsp:rsid wsp:val=&quot;006A6AAF&quot;/&gt;&lt;wsp:rsid wsp:val=&quot;006A7570&quot;/&gt;&lt;wsp:rsid wsp:val=&quot;006A7EF3&quot;/&gt;&lt;wsp:rsid wsp:val=&quot;006B0114&quot;/&gt;&lt;wsp:rsid wsp:val=&quot;006B0E16&quot;/&gt;&lt;wsp:rsid wsp:val=&quot;006B1C2B&quot;/&gt;&lt;wsp:rsid wsp:val=&quot;006B3968&quot;/&gt;&lt;wsp:rsid wsp:val=&quot;006B3EC9&quot;/&gt;&lt;wsp:rsid wsp:val=&quot;006B40CF&quot;/&gt;&lt;wsp:rsid wsp:val=&quot;006B5547&quot;/&gt;&lt;wsp:rsid wsp:val=&quot;006B5BCC&quot;/&gt;&lt;wsp:rsid wsp:val=&quot;006B5DA1&quot;/&gt;&lt;wsp:rsid wsp:val=&quot;006B6A11&quot;/&gt;&lt;wsp:rsid wsp:val=&quot;006B6DAB&quot;/&gt;&lt;wsp:rsid wsp:val=&quot;006B7B0F&quot;/&gt;&lt;wsp:rsid wsp:val=&quot;006C009E&quot;/&gt;&lt;wsp:rsid wsp:val=&quot;006C17C7&quot;/&gt;&lt;wsp:rsid wsp:val=&quot;006C19F6&quot;/&gt;&lt;wsp:rsid wsp:val=&quot;006C1F11&quot;/&gt;&lt;wsp:rsid wsp:val=&quot;006C256D&quot;/&gt;&lt;wsp:rsid wsp:val=&quot;006C27C1&quot;/&gt;&lt;wsp:rsid wsp:val=&quot;006C3BCC&quot;/&gt;&lt;wsp:rsid wsp:val=&quot;006C3E00&quot;/&gt;&lt;wsp:rsid wsp:val=&quot;006C45D2&quot;/&gt;&lt;wsp:rsid wsp:val=&quot;006C4738&quot;/&gt;&lt;wsp:rsid wsp:val=&quot;006C4AB1&quot;/&gt;&lt;wsp:rsid wsp:val=&quot;006C4DFA&quot;/&gt;&lt;wsp:rsid wsp:val=&quot;006C5A87&quot;/&gt;&lt;wsp:rsid wsp:val=&quot;006D1151&quot;/&gt;&lt;wsp:rsid wsp:val=&quot;006D1914&quot;/&gt;&lt;wsp:rsid wsp:val=&quot;006D1F45&quot;/&gt;&lt;wsp:rsid wsp:val=&quot;006D202C&quot;/&gt;&lt;wsp:rsid wsp:val=&quot;006D25C6&quot;/&gt;&lt;wsp:rsid wsp:val=&quot;006D2FFA&quot;/&gt;&lt;wsp:rsid wsp:val=&quot;006D3573&quot;/&gt;&lt;wsp:rsid wsp:val=&quot;006D35CA&quot;/&gt;&lt;wsp:rsid wsp:val=&quot;006D40EA&quot;/&gt;&lt;wsp:rsid wsp:val=&quot;006D458A&quot;/&gt;&lt;wsp:rsid wsp:val=&quot;006D458E&quot;/&gt;&lt;wsp:rsid wsp:val=&quot;006D472E&quot;/&gt;&lt;wsp:rsid wsp:val=&quot;006D491E&quot;/&gt;&lt;wsp:rsid wsp:val=&quot;006D4D53&quot;/&gt;&lt;wsp:rsid wsp:val=&quot;006D4E21&quot;/&gt;&lt;wsp:rsid wsp:val=&quot;006D4EBE&quot;/&gt;&lt;wsp:rsid wsp:val=&quot;006D55F2&quot;/&gt;&lt;wsp:rsid wsp:val=&quot;006D5E2A&quot;/&gt;&lt;wsp:rsid wsp:val=&quot;006D645D&quot;/&gt;&lt;wsp:rsid wsp:val=&quot;006D6C68&quot;/&gt;&lt;wsp:rsid wsp:val=&quot;006D7090&quot;/&gt;&lt;wsp:rsid wsp:val=&quot;006D7783&quot;/&gt;&lt;wsp:rsid wsp:val=&quot;006D7C15&quot;/&gt;&lt;wsp:rsid wsp:val=&quot;006E1450&quot;/&gt;&lt;wsp:rsid wsp:val=&quot;006E1918&quot;/&gt;&lt;wsp:rsid wsp:val=&quot;006E251A&quot;/&gt;&lt;wsp:rsid wsp:val=&quot;006E2AD5&quot;/&gt;&lt;wsp:rsid wsp:val=&quot;006E358A&quot;/&gt;&lt;wsp:rsid wsp:val=&quot;006E4708&quot;/&gt;&lt;wsp:rsid wsp:val=&quot;006E5CE3&quot;/&gt;&lt;wsp:rsid wsp:val=&quot;006E5D36&quot;/&gt;&lt;wsp:rsid wsp:val=&quot;006E6C67&quot;/&gt;&lt;wsp:rsid wsp:val=&quot;006E77CF&quot;/&gt;&lt;wsp:rsid wsp:val=&quot;006E780D&quot;/&gt;&lt;wsp:rsid wsp:val=&quot;006E799B&quot;/&gt;&lt;wsp:rsid wsp:val=&quot;006F03C4&quot;/&gt;&lt;wsp:rsid wsp:val=&quot;006F09CD&quot;/&gt;&lt;wsp:rsid wsp:val=&quot;006F18DE&quot;/&gt;&lt;wsp:rsid wsp:val=&quot;006F1C5C&quot;/&gt;&lt;wsp:rsid wsp:val=&quot;006F269B&quot;/&gt;&lt;wsp:rsid wsp:val=&quot;006F2A3A&quot;/&gt;&lt;wsp:rsid wsp:val=&quot;006F3471&quot;/&gt;&lt;wsp:rsid wsp:val=&quot;006F3632&quot;/&gt;&lt;wsp:rsid wsp:val=&quot;006F3B2C&quot;/&gt;&lt;wsp:rsid wsp:val=&quot;006F40A0&quot;/&gt;&lt;wsp:rsid wsp:val=&quot;006F512B&quot;/&gt;&lt;wsp:rsid wsp:val=&quot;006F55D3&quot;/&gt;&lt;wsp:rsid wsp:val=&quot;006F615A&quot;/&gt;&lt;wsp:rsid wsp:val=&quot;006F6752&quot;/&gt;&lt;wsp:rsid wsp:val=&quot;006F6E99&quot;/&gt;&lt;wsp:rsid wsp:val=&quot;006F7945&quot;/&gt;&lt;wsp:rsid wsp:val=&quot;006F7A80&quot;/&gt;&lt;wsp:rsid wsp:val=&quot;00700D5D&quot;/&gt;&lt;wsp:rsid wsp:val=&quot;00701538&quot;/&gt;&lt;wsp:rsid wsp:val=&quot;007015E7&quot;/&gt;&lt;wsp:rsid wsp:val=&quot;00703CC8&quot;/&gt;&lt;wsp:rsid wsp:val=&quot;00703D03&quot;/&gt;&lt;wsp:rsid wsp:val=&quot;00703D65&quot;/&gt;&lt;wsp:rsid wsp:val=&quot;0070421B&quot;/&gt;&lt;wsp:rsid wsp:val=&quot;00705C82&quot;/&gt;&lt;wsp:rsid wsp:val=&quot;00706D71&quot;/&gt;&lt;wsp:rsid wsp:val=&quot;00706DED&quot;/&gt;&lt;wsp:rsid wsp:val=&quot;00707424&quot;/&gt;&lt;wsp:rsid wsp:val=&quot;007100D7&quot;/&gt;&lt;wsp:rsid wsp:val=&quot;007110CF&quot;/&gt;&lt;wsp:rsid wsp:val=&quot;00712B7D&quot;/&gt;&lt;wsp:rsid wsp:val=&quot;007143B2&quot;/&gt;&lt;wsp:rsid wsp:val=&quot;00715568&quot;/&gt;&lt;wsp:rsid wsp:val=&quot;00715ED6&quot;/&gt;&lt;wsp:rsid wsp:val=&quot;00716422&quot;/&gt;&lt;wsp:rsid wsp:val=&quot;007169B0&quot;/&gt;&lt;wsp:rsid wsp:val=&quot;00716C74&quot;/&gt;&lt;wsp:rsid wsp:val=&quot;00717051&quot;/&gt;&lt;wsp:rsid wsp:val=&quot;0072056A&quot;/&gt;&lt;wsp:rsid wsp:val=&quot;0072062E&quot;/&gt;&lt;wsp:rsid wsp:val=&quot;00721329&quot;/&gt;&lt;wsp:rsid wsp:val=&quot;00721AB4&quot;/&gt;&lt;wsp:rsid wsp:val=&quot;00722C29&quot;/&gt;&lt;wsp:rsid wsp:val=&quot;00722DD9&quot;/&gt;&lt;wsp:rsid wsp:val=&quot;00723752&quot;/&gt;&lt;wsp:rsid wsp:val=&quot;0072479B&quot;/&gt;&lt;wsp:rsid wsp:val=&quot;00724AB8&quot;/&gt;&lt;wsp:rsid wsp:val=&quot;00725496&quot;/&gt;&lt;wsp:rsid wsp:val=&quot;00725EA0&quot;/&gt;&lt;wsp:rsid wsp:val=&quot;00726373&quot;/&gt;&lt;wsp:rsid wsp:val=&quot;00726B39&quot;/&gt;&lt;wsp:rsid wsp:val=&quot;00726E99&quot;/&gt;&lt;wsp:rsid wsp:val=&quot;00727688&quot;/&gt;&lt;wsp:rsid wsp:val=&quot;00727C7F&quot;/&gt;&lt;wsp:rsid wsp:val=&quot;00730013&quot;/&gt;&lt;wsp:rsid wsp:val=&quot;00730408&quot;/&gt;&lt;wsp:rsid wsp:val=&quot;00730DFA&quot;/&gt;&lt;wsp:rsid wsp:val=&quot;00730E5E&quot;/&gt;&lt;wsp:rsid wsp:val=&quot;007319C2&quot;/&gt;&lt;wsp:rsid wsp:val=&quot;00731E46&quot;/&gt;&lt;wsp:rsid wsp:val=&quot;007324C6&quot;/&gt;&lt;wsp:rsid wsp:val=&quot;007338E1&quot;/&gt;&lt;wsp:rsid wsp:val=&quot;00733958&quot;/&gt;&lt;wsp:rsid wsp:val=&quot;0073413C&quot;/&gt;&lt;wsp:rsid wsp:val=&quot;007354A6&quot;/&gt;&lt;wsp:rsid wsp:val=&quot;00735B26&quot;/&gt;&lt;wsp:rsid wsp:val=&quot;00735F2E&quot;/&gt;&lt;wsp:rsid wsp:val=&quot;00735FB0&quot;/&gt;&lt;wsp:rsid wsp:val=&quot;00736D02&quot;/&gt;&lt;wsp:rsid wsp:val=&quot;00736FE5&quot;/&gt;&lt;wsp:rsid wsp:val=&quot;007371B6&quot;/&gt;&lt;wsp:rsid wsp:val=&quot;0074000F&quot;/&gt;&lt;wsp:rsid wsp:val=&quot;007403B1&quot;/&gt;&lt;wsp:rsid wsp:val=&quot;007423DC&quot;/&gt;&lt;wsp:rsid wsp:val=&quot;007430D6&quot;/&gt;&lt;wsp:rsid wsp:val=&quot;00745214&quot;/&gt;&lt;wsp:rsid wsp:val=&quot;00746267&quot;/&gt;&lt;wsp:rsid wsp:val=&quot;00746C0A&quot;/&gt;&lt;wsp:rsid wsp:val=&quot;00747FAA&quot;/&gt;&lt;wsp:rsid wsp:val=&quot;00750F03&quot;/&gt;&lt;wsp:rsid wsp:val=&quot;0075347B&quot;/&gt;&lt;wsp:rsid wsp:val=&quot;0075446D&quot;/&gt;&lt;wsp:rsid wsp:val=&quot;00755848&quot;/&gt;&lt;wsp:rsid wsp:val=&quot;00755B23&quot;/&gt;&lt;wsp:rsid wsp:val=&quot;0075649E&quot;/&gt;&lt;wsp:rsid wsp:val=&quot;00756DC7&quot;/&gt;&lt;wsp:rsid wsp:val=&quot;00757130&quot;/&gt;&lt;wsp:rsid wsp:val=&quot;00757963&quot;/&gt;&lt;wsp:rsid wsp:val=&quot;00757A99&quot;/&gt;&lt;wsp:rsid wsp:val=&quot;00757D93&quot;/&gt;&lt;wsp:rsid wsp:val=&quot;00760330&quot;/&gt;&lt;wsp:rsid wsp:val=&quot;007617A8&quot;/&gt;&lt;wsp:rsid wsp:val=&quot;00762953&quot;/&gt;&lt;wsp:rsid wsp:val=&quot;00762B69&quot;/&gt;&lt;wsp:rsid wsp:val=&quot;00762BE5&quot;/&gt;&lt;wsp:rsid wsp:val=&quot;00763B27&quot;/&gt;&lt;wsp:rsid wsp:val=&quot;00763C55&quot;/&gt;&lt;wsp:rsid wsp:val=&quot;00764425&quot;/&gt;&lt;wsp:rsid wsp:val=&quot;007647F6&quot;/&gt;&lt;wsp:rsid wsp:val=&quot;007648E5&quot;/&gt;&lt;wsp:rsid wsp:val=&quot;00764B82&quot;/&gt;&lt;wsp:rsid wsp:val=&quot;00765339&quot;/&gt;&lt;wsp:rsid wsp:val=&quot;00765552&quot;/&gt;&lt;wsp:rsid wsp:val=&quot;00766054&quot;/&gt;&lt;wsp:rsid wsp:val=&quot;007661A8&quot;/&gt;&lt;wsp:rsid wsp:val=&quot;007676F7&quot;/&gt;&lt;wsp:rsid wsp:val=&quot;007705B1&quot;/&gt;&lt;wsp:rsid wsp:val=&quot;007727E2&quot;/&gt;&lt;wsp:rsid wsp:val=&quot;0077370F&quot;/&gt;&lt;wsp:rsid wsp:val=&quot;00773E1B&quot;/&gt;&lt;wsp:rsid wsp:val=&quot;00773F97&quot;/&gt;&lt;wsp:rsid wsp:val=&quot;00774336&quot;/&gt;&lt;wsp:rsid wsp:val=&quot;00774A7F&quot;/&gt;&lt;wsp:rsid wsp:val=&quot;00775053&quot;/&gt;&lt;wsp:rsid wsp:val=&quot;00775807&quot;/&gt;&lt;wsp:rsid wsp:val=&quot;007758F6&quot;/&gt;&lt;wsp:rsid wsp:val=&quot;007761B0&quot;/&gt;&lt;wsp:rsid wsp:val=&quot;00776253&quot;/&gt;&lt;wsp:rsid wsp:val=&quot;007810BE&quot;/&gt;&lt;wsp:rsid wsp:val=&quot;00782994&quot;/&gt;&lt;wsp:rsid wsp:val=&quot;00783D01&quot;/&gt;&lt;wsp:rsid wsp:val=&quot;007844D7&quot;/&gt;&lt;wsp:rsid wsp:val=&quot;00784A5D&quot;/&gt;&lt;wsp:rsid wsp:val=&quot;00784BC2&quot;/&gt;&lt;wsp:rsid wsp:val=&quot;00786358&quot;/&gt;&lt;wsp:rsid wsp:val=&quot;0078654E&quot;/&gt;&lt;wsp:rsid wsp:val=&quot;007866BA&quot;/&gt;&lt;wsp:rsid wsp:val=&quot;007866D0&quot;/&gt;&lt;wsp:rsid wsp:val=&quot;00787392&quot;/&gt;&lt;wsp:rsid wsp:val=&quot;007876C9&quot;/&gt;&lt;wsp:rsid wsp:val=&quot;00787E41&quot;/&gt;&lt;wsp:rsid wsp:val=&quot;00790296&quot;/&gt;&lt;wsp:rsid wsp:val=&quot;00790697&quot;/&gt;&lt;wsp:rsid wsp:val=&quot;00790E04&quot;/&gt;&lt;wsp:rsid wsp:val=&quot;00792570&quot;/&gt;&lt;wsp:rsid wsp:val=&quot;0079271C&quot;/&gt;&lt;wsp:rsid wsp:val=&quot;00794113&quot;/&gt;&lt;wsp:rsid wsp:val=&quot;00794464&quot;/&gt;&lt;wsp:rsid wsp:val=&quot;00795B7B&quot;/&gt;&lt;wsp:rsid wsp:val=&quot;00795E51&quot;/&gt;&lt;wsp:rsid wsp:val=&quot;007966AA&quot;/&gt;&lt;wsp:rsid wsp:val=&quot;00796ED1&quot;/&gt;&lt;wsp:rsid wsp:val=&quot;00797180&quot;/&gt;&lt;wsp:rsid wsp:val=&quot;007A0D6F&quot;/&gt;&lt;wsp:rsid wsp:val=&quot;007A25F4&quot;/&gt;&lt;wsp:rsid wsp:val=&quot;007A2C92&quot;/&gt;&lt;wsp:rsid wsp:val=&quot;007A3910&quot;/&gt;&lt;wsp:rsid wsp:val=&quot;007A4388&quot;/&gt;&lt;wsp:rsid wsp:val=&quot;007A46F0&quot;/&gt;&lt;wsp:rsid wsp:val=&quot;007A4CBC&quot;/&gt;&lt;wsp:rsid wsp:val=&quot;007A5191&quot;/&gt;&lt;wsp:rsid wsp:val=&quot;007A529F&quot;/&gt;&lt;wsp:rsid wsp:val=&quot;007A5A50&quot;/&gt;&lt;wsp:rsid wsp:val=&quot;007A60A9&quot;/&gt;&lt;wsp:rsid wsp:val=&quot;007A64A5&quot;/&gt;&lt;wsp:rsid wsp:val=&quot;007A6E20&quot;/&gt;&lt;wsp:rsid wsp:val=&quot;007A7354&quot;/&gt;&lt;wsp:rsid wsp:val=&quot;007A7844&quot;/&gt;&lt;wsp:rsid wsp:val=&quot;007B0CAE&quot;/&gt;&lt;wsp:rsid wsp:val=&quot;007B187D&quot;/&gt;&lt;wsp:rsid wsp:val=&quot;007B244E&quot;/&gt;&lt;wsp:rsid wsp:val=&quot;007B24F5&quot;/&gt;&lt;wsp:rsid wsp:val=&quot;007B2FD9&quot;/&gt;&lt;wsp:rsid wsp:val=&quot;007B3441&quot;/&gt;&lt;wsp:rsid wsp:val=&quot;007B376E&quot;/&gt;&lt;wsp:rsid wsp:val=&quot;007B399B&quot;/&gt;&lt;wsp:rsid wsp:val=&quot;007B4807&quot;/&gt;&lt;wsp:rsid wsp:val=&quot;007B59FB&quot;/&gt;&lt;wsp:rsid wsp:val=&quot;007B62D8&quot;/&gt;&lt;wsp:rsid wsp:val=&quot;007C10DC&quot;/&gt;&lt;wsp:rsid wsp:val=&quot;007C14FE&quot;/&gt;&lt;wsp:rsid wsp:val=&quot;007C4591&quot;/&gt;&lt;wsp:rsid wsp:val=&quot;007C4F73&quot;/&gt;&lt;wsp:rsid wsp:val=&quot;007C5AF6&quot;/&gt;&lt;wsp:rsid wsp:val=&quot;007C5CEE&quot;/&gt;&lt;wsp:rsid wsp:val=&quot;007C640B&quot;/&gt;&lt;wsp:rsid wsp:val=&quot;007C7552&quot;/&gt;&lt;wsp:rsid wsp:val=&quot;007D1589&quot;/&gt;&lt;wsp:rsid wsp:val=&quot;007D2013&quot;/&gt;&lt;wsp:rsid wsp:val=&quot;007D3CFD&quot;/&gt;&lt;wsp:rsid wsp:val=&quot;007D3E00&quot;/&gt;&lt;wsp:rsid wsp:val=&quot;007D5CDA&quot;/&gt;&lt;wsp:rsid wsp:val=&quot;007D6046&quot;/&gt;&lt;wsp:rsid wsp:val=&quot;007D6878&quot;/&gt;&lt;wsp:rsid wsp:val=&quot;007D75CB&quot;/&gt;&lt;wsp:rsid wsp:val=&quot;007E05DF&quot;/&gt;&lt;wsp:rsid wsp:val=&quot;007E0EA0&quot;/&gt;&lt;wsp:rsid wsp:val=&quot;007E1409&quot;/&gt;&lt;wsp:rsid wsp:val=&quot;007E149B&quot;/&gt;&lt;wsp:rsid wsp:val=&quot;007E1D0B&quot;/&gt;&lt;wsp:rsid wsp:val=&quot;007E31D5&quot;/&gt;&lt;wsp:rsid wsp:val=&quot;007E3226&quot;/&gt;&lt;wsp:rsid wsp:val=&quot;007E4AEF&quot;/&gt;&lt;wsp:rsid wsp:val=&quot;007E4CC4&quot;/&gt;&lt;wsp:rsid wsp:val=&quot;007E5ACE&quot;/&gt;&lt;wsp:rsid wsp:val=&quot;007E6A1D&quot;/&gt;&lt;wsp:rsid wsp:val=&quot;007E6BF0&quot;/&gt;&lt;wsp:rsid wsp:val=&quot;007F13B5&quot;/&gt;&lt;wsp:rsid wsp:val=&quot;007F1574&quot;/&gt;&lt;wsp:rsid wsp:val=&quot;007F1DE2&quot;/&gt;&lt;wsp:rsid wsp:val=&quot;007F2823&quot;/&gt;&lt;wsp:rsid wsp:val=&quot;007F4DEB&quot;/&gt;&lt;wsp:rsid wsp:val=&quot;007F51F6&quot;/&gt;&lt;wsp:rsid wsp:val=&quot;007F56FB&quot;/&gt;&lt;wsp:rsid wsp:val=&quot;007F7384&quot;/&gt;&lt;wsp:rsid wsp:val=&quot;007F7984&quot;/&gt;&lt;wsp:rsid wsp:val=&quot;008009A4&quot;/&gt;&lt;wsp:rsid wsp:val=&quot;00801713&quot;/&gt;&lt;wsp:rsid wsp:val=&quot;0080203C&quot;/&gt;&lt;wsp:rsid wsp:val=&quot;0080336A&quot;/&gt;&lt;wsp:rsid wsp:val=&quot;008042F7&quot;/&gt;&lt;wsp:rsid wsp:val=&quot;00804B33&quot;/&gt;&lt;wsp:rsid wsp:val=&quot;00806E29&quot;/&gt;&lt;wsp:rsid wsp:val=&quot;008072B2&quot;/&gt;&lt;wsp:rsid wsp:val=&quot;0081004E&quot;/&gt;&lt;wsp:rsid wsp:val=&quot;00810C90&quot;/&gt;&lt;wsp:rsid wsp:val=&quot;00810C92&quot;/&gt;&lt;wsp:rsid wsp:val=&quot;00810E34&quot;/&gt;&lt;wsp:rsid wsp:val=&quot;00811BC1&quot;/&gt;&lt;wsp:rsid wsp:val=&quot;008133B7&quot;/&gt;&lt;wsp:rsid wsp:val=&quot;00813E57&quot;/&gt;&lt;wsp:rsid wsp:val=&quot;008143B9&quot;/&gt;&lt;wsp:rsid wsp:val=&quot;00815F1F&quot;/&gt;&lt;wsp:rsid wsp:val=&quot;008172A7&quot;/&gt;&lt;wsp:rsid wsp:val=&quot;008175E9&quot;/&gt;&lt;wsp:rsid wsp:val=&quot;00820577&quot;/&gt;&lt;wsp:rsid wsp:val=&quot;008210EB&quot;/&gt;&lt;wsp:rsid wsp:val=&quot;00821625&quot;/&gt;&lt;wsp:rsid wsp:val=&quot;00821D6B&quot;/&gt;&lt;wsp:rsid wsp:val=&quot;00821E12&quot;/&gt;&lt;wsp:rsid wsp:val=&quot;0082209D&quot;/&gt;&lt;wsp:rsid wsp:val=&quot;00822FBC&quot;/&gt;&lt;wsp:rsid wsp:val=&quot;008231C5&quot;/&gt;&lt;wsp:rsid wsp:val=&quot;008233CC&quot;/&gt;&lt;wsp:rsid wsp:val=&quot;008260EF&quot;/&gt;&lt;wsp:rsid wsp:val=&quot;00826483&quot;/&gt;&lt;wsp:rsid wsp:val=&quot;0082653F&quot;/&gt;&lt;wsp:rsid wsp:val=&quot;00827627&quot;/&gt;&lt;wsp:rsid wsp:val=&quot;00827F4D&quot;/&gt;&lt;wsp:rsid wsp:val=&quot;00830D87&quot;/&gt;&lt;wsp:rsid wsp:val=&quot;00831608&quot;/&gt;&lt;wsp:rsid wsp:val=&quot;00831A22&quot;/&gt;&lt;wsp:rsid wsp:val=&quot;008324A6&quot;/&gt;&lt;wsp:rsid wsp:val=&quot;008326FC&quot;/&gt;&lt;wsp:rsid wsp:val=&quot;00832B16&quot;/&gt;&lt;wsp:rsid wsp:val=&quot;00832F4A&quot;/&gt;&lt;wsp:rsid wsp:val=&quot;008336B9&quot;/&gt;&lt;wsp:rsid wsp:val=&quot;008337C1&quot;/&gt;&lt;wsp:rsid wsp:val=&quot;008339C2&quot;/&gt;&lt;wsp:rsid wsp:val=&quot;00833CAE&quot;/&gt;&lt;wsp:rsid wsp:val=&quot;00834153&quot;/&gt;&lt;wsp:rsid wsp:val=&quot;008341A1&quot;/&gt;&lt;wsp:rsid wsp:val=&quot;00834757&quot;/&gt;&lt;wsp:rsid wsp:val=&quot;008350C7&quot;/&gt;&lt;wsp:rsid wsp:val=&quot;00835C78&quot;/&gt;&lt;wsp:rsid wsp:val=&quot;00840423&quot;/&gt;&lt;wsp:rsid wsp:val=&quot;00841AEA&quot;/&gt;&lt;wsp:rsid wsp:val=&quot;00841BF3&quot;/&gt;&lt;wsp:rsid wsp:val=&quot;008425F7&quot;/&gt;&lt;wsp:rsid wsp:val=&quot;00842B1C&quot;/&gt;&lt;wsp:rsid wsp:val=&quot;00843EAE&quot;/&gt;&lt;wsp:rsid wsp:val=&quot;0084442E&quot;/&gt;&lt;wsp:rsid wsp:val=&quot;00845627&quot;/&gt;&lt;wsp:rsid wsp:val=&quot;00845884&quot;/&gt;&lt;wsp:rsid wsp:val=&quot;00845B9C&quot;/&gt;&lt;wsp:rsid wsp:val=&quot;00845D30&quot;/&gt;&lt;wsp:rsid wsp:val=&quot;00846054&quot;/&gt;&lt;wsp:rsid wsp:val=&quot;0084678F&quot;/&gt;&lt;wsp:rsid wsp:val=&quot;00847201&quot;/&gt;&lt;wsp:rsid wsp:val=&quot;00847595&quot;/&gt;&lt;wsp:rsid wsp:val=&quot;00847759&quot;/&gt;&lt;wsp:rsid wsp:val=&quot;00850982&quot;/&gt;&lt;wsp:rsid wsp:val=&quot;00850BD6&quot;/&gt;&lt;wsp:rsid wsp:val=&quot;00850CAE&quot;/&gt;&lt;wsp:rsid wsp:val=&quot;0085201A&quot;/&gt;&lt;wsp:rsid wsp:val=&quot;00852869&quot;/&gt;&lt;wsp:rsid wsp:val=&quot;0085297D&quot;/&gt;&lt;wsp:rsid wsp:val=&quot;008556F4&quot;/&gt;&lt;wsp:rsid wsp:val=&quot;00855EB8&quot;/&gt;&lt;wsp:rsid wsp:val=&quot;00856D7B&quot;/&gt;&lt;wsp:rsid wsp:val=&quot;00861226&quot;/&gt;&lt;wsp:rsid wsp:val=&quot;00861E64&quot;/&gt;&lt;wsp:rsid wsp:val=&quot;00861F92&quot;/&gt;&lt;wsp:rsid wsp:val=&quot;00862248&quot;/&gt;&lt;wsp:rsid wsp:val=&quot;00862C4A&quot;/&gt;&lt;wsp:rsid wsp:val=&quot;00862F1E&quot;/&gt;&lt;wsp:rsid wsp:val=&quot;0086315E&quot;/&gt;&lt;wsp:rsid wsp:val=&quot;008642CB&quot;/&gt;&lt;wsp:rsid wsp:val=&quot;00866122&quot;/&gt;&lt;wsp:rsid wsp:val=&quot;00866FD0&quot;/&gt;&lt;wsp:rsid wsp:val=&quot;00870283&quot;/&gt;&lt;wsp:rsid wsp:val=&quot;00870CC1&quot;/&gt;&lt;wsp:rsid wsp:val=&quot;00871A52&quot;/&gt;&lt;wsp:rsid wsp:val=&quot;00871D80&quot;/&gt;&lt;wsp:rsid wsp:val=&quot;008725E7&quot;/&gt;&lt;wsp:rsid wsp:val=&quot;00872953&quot;/&gt;&lt;wsp:rsid wsp:val=&quot;00873B62&quot;/&gt;&lt;wsp:rsid wsp:val=&quot;00874707&quot;/&gt;&lt;wsp:rsid wsp:val=&quot;0087593F&quot;/&gt;&lt;wsp:rsid wsp:val=&quot;00877360&quot;/&gt;&lt;wsp:rsid wsp:val=&quot;00880413&quot;/&gt;&lt;wsp:rsid wsp:val=&quot;00880D0D&quot;/&gt;&lt;wsp:rsid wsp:val=&quot;00880D3E&quot;/&gt;&lt;wsp:rsid wsp:val=&quot;008819BE&quot;/&gt;&lt;wsp:rsid wsp:val=&quot;0088203A&quot;/&gt;&lt;wsp:rsid wsp:val=&quot;008824FC&quot;/&gt;&lt;wsp:rsid wsp:val=&quot;008836F6&quot;/&gt;&lt;wsp:rsid wsp:val=&quot;00883AEE&quot;/&gt;&lt;wsp:rsid wsp:val=&quot;00883E0F&quot;/&gt;&lt;wsp:rsid wsp:val=&quot;00884577&quot;/&gt;&lt;wsp:rsid wsp:val=&quot;00884862&quot;/&gt;&lt;wsp:rsid wsp:val=&quot;0088503D&quot;/&gt;&lt;wsp:rsid wsp:val=&quot;00885708&quot;/&gt;&lt;wsp:rsid wsp:val=&quot;0088617C&quot;/&gt;&lt;wsp:rsid wsp:val=&quot;008864CC&quot;/&gt;&lt;wsp:rsid wsp:val=&quot;00886CC2&quot;/&gt;&lt;wsp:rsid wsp:val=&quot;008873EB&quot;/&gt;&lt;wsp:rsid wsp:val=&quot;0088794B&quot;/&gt;&lt;wsp:rsid wsp:val=&quot;00887A9C&quot;/&gt;&lt;wsp:rsid wsp:val=&quot;00887C19&quot;/&gt;&lt;wsp:rsid wsp:val=&quot;008901A0&quot;/&gt;&lt;wsp:rsid wsp:val=&quot;00890709&quot;/&gt;&lt;wsp:rsid wsp:val=&quot;00890835&quot;/&gt;&lt;wsp:rsid wsp:val=&quot;00891984&quot;/&gt;&lt;wsp:rsid wsp:val=&quot;00892013&quot;/&gt;&lt;wsp:rsid wsp:val=&quot;008927B9&quot;/&gt;&lt;wsp:rsid wsp:val=&quot;00892EC7&quot;/&gt;&lt;wsp:rsid wsp:val=&quot;008931E2&quot;/&gt;&lt;wsp:rsid wsp:val=&quot;00893D27&quot;/&gt;&lt;wsp:rsid wsp:val=&quot;008942F3&quot;/&gt;&lt;wsp:rsid wsp:val=&quot;0089475C&quot;/&gt;&lt;wsp:rsid wsp:val=&quot;00895176&quot;/&gt;&lt;wsp:rsid wsp:val=&quot;008951AA&quot;/&gt;&lt;wsp:rsid wsp:val=&quot;00896602&quot;/&gt;&lt;wsp:rsid wsp:val=&quot;00896CDC&quot;/&gt;&lt;wsp:rsid wsp:val=&quot;008970DE&quot;/&gt;&lt;wsp:rsid wsp:val=&quot;008A06BB&quot;/&gt;&lt;wsp:rsid wsp:val=&quot;008A076A&quot;/&gt;&lt;wsp:rsid wsp:val=&quot;008A0E35&quot;/&gt;&lt;wsp:rsid wsp:val=&quot;008A0E7C&quot;/&gt;&lt;wsp:rsid wsp:val=&quot;008A21D9&quot;/&gt;&lt;wsp:rsid wsp:val=&quot;008A21FB&quot;/&gt;&lt;wsp:rsid wsp:val=&quot;008A2375&quot;/&gt;&lt;wsp:rsid wsp:val=&quot;008A42C6&quot;/&gt;&lt;wsp:rsid wsp:val=&quot;008A4ABC&quot;/&gt;&lt;wsp:rsid wsp:val=&quot;008A5E30&quot;/&gt;&lt;wsp:rsid wsp:val=&quot;008A620A&quot;/&gt;&lt;wsp:rsid wsp:val=&quot;008A625B&quot;/&gt;&lt;wsp:rsid wsp:val=&quot;008A6DA2&quot;/&gt;&lt;wsp:rsid wsp:val=&quot;008A6FD1&quot;/&gt;&lt;wsp:rsid wsp:val=&quot;008B073E&quot;/&gt;&lt;wsp:rsid wsp:val=&quot;008B28A0&quot;/&gt;&lt;wsp:rsid wsp:val=&quot;008B38DC&quot;/&gt;&lt;wsp:rsid wsp:val=&quot;008B3C7C&quot;/&gt;&lt;wsp:rsid wsp:val=&quot;008B41A1&quot;/&gt;&lt;wsp:rsid wsp:val=&quot;008B42C2&quot;/&gt;&lt;wsp:rsid wsp:val=&quot;008B5C7B&quot;/&gt;&lt;wsp:rsid wsp:val=&quot;008B5CA1&quot;/&gt;&lt;wsp:rsid wsp:val=&quot;008B5F4B&quot;/&gt;&lt;wsp:rsid wsp:val=&quot;008B6176&quot;/&gt;&lt;wsp:rsid wsp:val=&quot;008B7884&quot;/&gt;&lt;wsp:rsid wsp:val=&quot;008C04E0&quot;/&gt;&lt;wsp:rsid wsp:val=&quot;008C0B47&quot;/&gt;&lt;wsp:rsid wsp:val=&quot;008C10FF&quot;/&gt;&lt;wsp:rsid wsp:val=&quot;008C11A9&quot;/&gt;&lt;wsp:rsid wsp:val=&quot;008C21EE&quot;/&gt;&lt;wsp:rsid wsp:val=&quot;008C2C7A&quot;/&gt;&lt;wsp:rsid wsp:val=&quot;008C2F02&quot;/&gt;&lt;wsp:rsid wsp:val=&quot;008C3299&quot;/&gt;&lt;wsp:rsid wsp:val=&quot;008C3EE5&quot;/&gt;&lt;wsp:rsid wsp:val=&quot;008C440E&quot;/&gt;&lt;wsp:rsid wsp:val=&quot;008C51A7&quot;/&gt;&lt;wsp:rsid wsp:val=&quot;008C6EE5&quot;/&gt;&lt;wsp:rsid wsp:val=&quot;008C7A5F&quot;/&gt;&lt;wsp:rsid wsp:val=&quot;008D046F&quot;/&gt;&lt;wsp:rsid wsp:val=&quot;008D05BE&quot;/&gt;&lt;wsp:rsid wsp:val=&quot;008D0F13&quot;/&gt;&lt;wsp:rsid wsp:val=&quot;008D12F1&quot;/&gt;&lt;wsp:rsid wsp:val=&quot;008D2786&quot;/&gt;&lt;wsp:rsid wsp:val=&quot;008D408A&quot;/&gt;&lt;wsp:rsid wsp:val=&quot;008D44A6&quot;/&gt;&lt;wsp:rsid wsp:val=&quot;008D44C3&quot;/&gt;&lt;wsp:rsid wsp:val=&quot;008D4FEB&quot;/&gt;&lt;wsp:rsid wsp:val=&quot;008D520E&quot;/&gt;&lt;wsp:rsid wsp:val=&quot;008D523A&quot;/&gt;&lt;wsp:rsid wsp:val=&quot;008D59BC&quot;/&gt;&lt;wsp:rsid wsp:val=&quot;008D667D&quot;/&gt;&lt;wsp:rsid wsp:val=&quot;008E0029&quot;/&gt;&lt;wsp:rsid wsp:val=&quot;008E0AB3&quot;/&gt;&lt;wsp:rsid wsp:val=&quot;008E1809&quot;/&gt;&lt;wsp:rsid wsp:val=&quot;008E19A4&quot;/&gt;&lt;wsp:rsid wsp:val=&quot;008E1C39&quot;/&gt;&lt;wsp:rsid wsp:val=&quot;008E22D8&quot;/&gt;&lt;wsp:rsid wsp:val=&quot;008E2CA4&quot;/&gt;&lt;wsp:rsid wsp:val=&quot;008E353B&quot;/&gt;&lt;wsp:rsid wsp:val=&quot;008E3D53&quot;/&gt;&lt;wsp:rsid wsp:val=&quot;008E5907&quot;/&gt;&lt;wsp:rsid wsp:val=&quot;008E6275&quot;/&gt;&lt;wsp:rsid wsp:val=&quot;008E6DBA&quot;/&gt;&lt;wsp:rsid wsp:val=&quot;008E7019&quot;/&gt;&lt;wsp:rsid wsp:val=&quot;008E7792&quot;/&gt;&lt;wsp:rsid wsp:val=&quot;008E7A5C&quot;/&gt;&lt;wsp:rsid wsp:val=&quot;008F01D9&quot;/&gt;&lt;wsp:rsid wsp:val=&quot;008F062D&quot;/&gt;&lt;wsp:rsid wsp:val=&quot;008F159C&quot;/&gt;&lt;wsp:rsid wsp:val=&quot;008F2AE8&quot;/&gt;&lt;wsp:rsid wsp:val=&quot;008F2F08&quot;/&gt;&lt;wsp:rsid wsp:val=&quot;008F3748&quot;/&gt;&lt;wsp:rsid wsp:val=&quot;008F3F12&quot;/&gt;&lt;wsp:rsid wsp:val=&quot;008F46F5&quot;/&gt;&lt;wsp:rsid wsp:val=&quot;008F4712&quot;/&gt;&lt;wsp:rsid wsp:val=&quot;008F4921&quot;/&gt;&lt;wsp:rsid wsp:val=&quot;008F7DA5&quot;/&gt;&lt;wsp:rsid wsp:val=&quot;009004B4&quot;/&gt;&lt;wsp:rsid wsp:val=&quot;009006A4&quot;/&gt;&lt;wsp:rsid wsp:val=&quot;00900913&quot;/&gt;&lt;wsp:rsid wsp:val=&quot;00900942&quot;/&gt;&lt;wsp:rsid wsp:val=&quot;00901F89&quot;/&gt;&lt;wsp:rsid wsp:val=&quot;00902017&quot;/&gt;&lt;wsp:rsid wsp:val=&quot;009024BF&quot;/&gt;&lt;wsp:rsid wsp:val=&quot;00903A35&quot;/&gt;&lt;wsp:rsid wsp:val=&quot;00904354&quot;/&gt;&lt;wsp:rsid wsp:val=&quot;00904B6E&quot;/&gt;&lt;wsp:rsid wsp:val=&quot;00904CBF&quot;/&gt;&lt;wsp:rsid wsp:val=&quot;00904F0C&quot;/&gt;&lt;wsp:rsid wsp:val=&quot;00905219&quot;/&gt;&lt;wsp:rsid wsp:val=&quot;0090642C&quot;/&gt;&lt;wsp:rsid wsp:val=&quot;00906674&quot;/&gt;&lt;wsp:rsid wsp:val=&quot;00906A5D&quot;/&gt;&lt;wsp:rsid wsp:val=&quot;00906C35&quot;/&gt;&lt;wsp:rsid wsp:val=&quot;009070DA&quot;/&gt;&lt;wsp:rsid wsp:val=&quot;009109A0&quot;/&gt;&lt;wsp:rsid wsp:val=&quot;00910FE6&quot;/&gt;&lt;wsp:rsid wsp:val=&quot;00911C56&quot;/&gt;&lt;wsp:rsid wsp:val=&quot;009120DB&quot;/&gt;&lt;wsp:rsid wsp:val=&quot;00912372&quot;/&gt;&lt;wsp:rsid wsp:val=&quot;00913373&quot;/&gt;&lt;wsp:rsid wsp:val=&quot;00913B5A&quot;/&gt;&lt;wsp:rsid wsp:val=&quot;009141D8&quot;/&gt;&lt;wsp:rsid wsp:val=&quot;00914B3E&quot;/&gt;&lt;wsp:rsid wsp:val=&quot;0091546D&quot;/&gt;&lt;wsp:rsid wsp:val=&quot;00915C1D&quot;/&gt;&lt;wsp:rsid wsp:val=&quot;0091694B&quot;/&gt;&lt;wsp:rsid wsp:val=&quot;0091731D&quot;/&gt;&lt;wsp:rsid wsp:val=&quot;00920E58&quot;/&gt;&lt;wsp:rsid wsp:val=&quot;00920E68&quot;/&gt;&lt;wsp:rsid wsp:val=&quot;00921237&quot;/&gt;&lt;wsp:rsid wsp:val=&quot;00923160&quot;/&gt;&lt;wsp:rsid wsp:val=&quot;009234B6&quot;/&gt;&lt;wsp:rsid wsp:val=&quot;009235D0&quot;/&gt;&lt;wsp:rsid wsp:val=&quot;00923C62&quot;/&gt;&lt;wsp:rsid wsp:val=&quot;00923E27&quot;/&gt;&lt;wsp:rsid wsp:val=&quot;009258F8&quot;/&gt;&lt;wsp:rsid wsp:val=&quot;009264D6&quot;/&gt;&lt;wsp:rsid wsp:val=&quot;00926A48&quot;/&gt;&lt;wsp:rsid wsp:val=&quot;00926CE3&quot;/&gt;&lt;wsp:rsid wsp:val=&quot;00930135&quot;/&gt;&lt;wsp:rsid wsp:val=&quot;00930852&quot;/&gt;&lt;wsp:rsid wsp:val=&quot;00930FD3&quot;/&gt;&lt;wsp:rsid wsp:val=&quot;00931D30&quot;/&gt;&lt;wsp:rsid wsp:val=&quot;0093240C&quot;/&gt;&lt;wsp:rsid wsp:val=&quot;009325CD&quot;/&gt;&lt;wsp:rsid wsp:val=&quot;00933274&quot;/&gt;&lt;wsp:rsid wsp:val=&quot;009335D4&quot;/&gt;&lt;wsp:rsid wsp:val=&quot;00933710&quot;/&gt;&lt;wsp:rsid wsp:val=&quot;0093375E&quot;/&gt;&lt;wsp:rsid wsp:val=&quot;009356CF&quot;/&gt;&lt;wsp:rsid wsp:val=&quot;00935987&quot;/&gt;&lt;wsp:rsid wsp:val=&quot;00936357&quot;/&gt;&lt;wsp:rsid wsp:val=&quot;00936885&quot;/&gt;&lt;wsp:rsid wsp:val=&quot;00937432&quot;/&gt;&lt;wsp:rsid wsp:val=&quot;009375A1&quot;/&gt;&lt;wsp:rsid wsp:val=&quot;00937F29&quot;/&gt;&lt;wsp:rsid wsp:val=&quot;00940F90&quot;/&gt;&lt;wsp:rsid wsp:val=&quot;00941256&quot;/&gt;&lt;wsp:rsid wsp:val=&quot;009423A4&quot;/&gt;&lt;wsp:rsid wsp:val=&quot;00942BC8&quot;/&gt;&lt;wsp:rsid wsp:val=&quot;00942BD6&quot;/&gt;&lt;wsp:rsid wsp:val=&quot;009433E8&quot;/&gt;&lt;wsp:rsid wsp:val=&quot;009442D0&quot;/&gt;&lt;wsp:rsid wsp:val=&quot;00947F38&quot;/&gt;&lt;wsp:rsid wsp:val=&quot;00950311&quot;/&gt;&lt;wsp:rsid wsp:val=&quot;00951C3B&quot;/&gt;&lt;wsp:rsid wsp:val=&quot;009521D1&quot;/&gt;&lt;wsp:rsid wsp:val=&quot;00952D24&quot;/&gt;&lt;wsp:rsid wsp:val=&quot;0095353B&quot;/&gt;&lt;wsp:rsid wsp:val=&quot;009546AE&quot;/&gt;&lt;wsp:rsid wsp:val=&quot;0095470B&quot;/&gt;&lt;wsp:rsid wsp:val=&quot;00955097&quot;/&gt;&lt;wsp:rsid wsp:val=&quot;009560F9&quot;/&gt;&lt;wsp:rsid wsp:val=&quot;00956DE7&quot;/&gt;&lt;wsp:rsid wsp:val=&quot;00957549&quot;/&gt;&lt;wsp:rsid wsp:val=&quot;00957D66&quot;/&gt;&lt;wsp:rsid wsp:val=&quot;00960286&quot;/&gt;&lt;wsp:rsid wsp:val=&quot;009616CD&quot;/&gt;&lt;wsp:rsid wsp:val=&quot;00962446&quot;/&gt;&lt;wsp:rsid wsp:val=&quot;009636EA&quot;/&gt;&lt;wsp:rsid wsp:val=&quot;00963E77&quot;/&gt;&lt;wsp:rsid wsp:val=&quot;009654BE&quot;/&gt;&lt;wsp:rsid wsp:val=&quot;0096667A&quot;/&gt;&lt;wsp:rsid wsp:val=&quot;00966E23&quot;/&gt;&lt;wsp:rsid wsp:val=&quot;009675C8&quot;/&gt;&lt;wsp:rsid wsp:val=&quot;00970915&quot;/&gt;&lt;wsp:rsid wsp:val=&quot;009715A4&quot;/&gt;&lt;wsp:rsid wsp:val=&quot;00972052&quot;/&gt;&lt;wsp:rsid wsp:val=&quot;0097248A&quot;/&gt;&lt;wsp:rsid wsp:val=&quot;00972D69&quot;/&gt;&lt;wsp:rsid wsp:val=&quot;009732D0&quot;/&gt;&lt;wsp:rsid wsp:val=&quot;009733AA&quot;/&gt;&lt;wsp:rsid wsp:val=&quot;00973513&quot;/&gt;&lt;wsp:rsid wsp:val=&quot;009736D6&quot;/&gt;&lt;wsp:rsid wsp:val=&quot;00973C21&quot;/&gt;&lt;wsp:rsid wsp:val=&quot;009747F9&quot;/&gt;&lt;wsp:rsid wsp:val=&quot;00974AAB&quot;/&gt;&lt;wsp:rsid wsp:val=&quot;00974CBB&quot;/&gt;&lt;wsp:rsid wsp:val=&quot;00975058&quot;/&gt;&lt;wsp:rsid wsp:val=&quot;00975FAD&quot;/&gt;&lt;wsp:rsid wsp:val=&quot;00976311&quot;/&gt;&lt;wsp:rsid wsp:val=&quot;00976D19&quot;/&gt;&lt;wsp:rsid wsp:val=&quot;009771F4&quot;/&gt;&lt;wsp:rsid wsp:val=&quot;00977EE5&quot;/&gt;&lt;wsp:rsid wsp:val=&quot;009804D2&quot;/&gt;&lt;wsp:rsid wsp:val=&quot;0098050D&quot;/&gt;&lt;wsp:rsid wsp:val=&quot;009808EA&quot;/&gt;&lt;wsp:rsid wsp:val=&quot;00980EF0&quot;/&gt;&lt;wsp:rsid wsp:val=&quot;00981566&quot;/&gt;&lt;wsp:rsid wsp:val=&quot;00981A16&quot;/&gt;&lt;wsp:rsid wsp:val=&quot;00982BE7&quot;/&gt;&lt;wsp:rsid wsp:val=&quot;009836F0&quot;/&gt;&lt;wsp:rsid wsp:val=&quot;009837B9&quot;/&gt;&lt;wsp:rsid wsp:val=&quot;00984801&quot;/&gt;&lt;wsp:rsid wsp:val=&quot;00985EC8&quot;/&gt;&lt;wsp:rsid wsp:val=&quot;009866C5&quot;/&gt;&lt;wsp:rsid wsp:val=&quot;009907E3&quot;/&gt;&lt;wsp:rsid wsp:val=&quot;0099119B&quot;/&gt;&lt;wsp:rsid wsp:val=&quot;009912CE&quot;/&gt;&lt;wsp:rsid wsp:val=&quot;00991AFE&quot;/&gt;&lt;wsp:rsid wsp:val=&quot;009926C7&quot;/&gt;&lt;wsp:rsid wsp:val=&quot;009927FC&quot;/&gt;&lt;wsp:rsid wsp:val=&quot;00992BA6&quot;/&gt;&lt;wsp:rsid wsp:val=&quot;009932DF&quot;/&gt;&lt;wsp:rsid wsp:val=&quot;00993403&quot;/&gt;&lt;wsp:rsid wsp:val=&quot;009940A7&quot;/&gt;&lt;wsp:rsid wsp:val=&quot;00994BDC&quot;/&gt;&lt;wsp:rsid wsp:val=&quot;00995473&quot;/&gt;&lt;wsp:rsid wsp:val=&quot;009957A1&quot;/&gt;&lt;wsp:rsid wsp:val=&quot;009964F9&quot;/&gt;&lt;wsp:rsid wsp:val=&quot;00996FB2&quot;/&gt;&lt;wsp:rsid wsp:val=&quot;00997380&quot;/&gt;&lt;wsp:rsid wsp:val=&quot;00997BF8&quot;/&gt;&lt;wsp:rsid wsp:val=&quot;009A01FE&quot;/&gt;&lt;wsp:rsid wsp:val=&quot;009A0561&quot;/&gt;&lt;wsp:rsid wsp:val=&quot;009A05EA&quot;/&gt;&lt;wsp:rsid wsp:val=&quot;009A0AA8&quot;/&gt;&lt;wsp:rsid wsp:val=&quot;009A0B45&quot;/&gt;&lt;wsp:rsid wsp:val=&quot;009A0C32&quot;/&gt;&lt;wsp:rsid wsp:val=&quot;009A0D23&quot;/&gt;&lt;wsp:rsid wsp:val=&quot;009A129F&quot;/&gt;&lt;wsp:rsid wsp:val=&quot;009A1E7D&quot;/&gt;&lt;wsp:rsid wsp:val=&quot;009A3137&quot;/&gt;&lt;wsp:rsid wsp:val=&quot;009A4737&quot;/&gt;&lt;wsp:rsid wsp:val=&quot;009A4751&quot;/&gt;&lt;wsp:rsid wsp:val=&quot;009A5356&quot;/&gt;&lt;wsp:rsid wsp:val=&quot;009A5B77&quot;/&gt;&lt;wsp:rsid wsp:val=&quot;009A5D0A&quot;/&gt;&lt;wsp:rsid wsp:val=&quot;009B03A9&quot;/&gt;&lt;wsp:rsid wsp:val=&quot;009B0AB4&quot;/&gt;&lt;wsp:rsid wsp:val=&quot;009B0C1F&quot;/&gt;&lt;wsp:rsid wsp:val=&quot;009B12C8&quot;/&gt;&lt;wsp:rsid wsp:val=&quot;009B32BE&quot;/&gt;&lt;wsp:rsid wsp:val=&quot;009B3348&quot;/&gt;&lt;wsp:rsid wsp:val=&quot;009B44D3&quot;/&gt;&lt;wsp:rsid wsp:val=&quot;009B4F97&quot;/&gt;&lt;wsp:rsid wsp:val=&quot;009B52BB&quot;/&gt;&lt;wsp:rsid wsp:val=&quot;009B5759&quot;/&gt;&lt;wsp:rsid wsp:val=&quot;009B5E62&quot;/&gt;&lt;wsp:rsid wsp:val=&quot;009B639C&quot;/&gt;&lt;wsp:rsid wsp:val=&quot;009B6D1B&quot;/&gt;&lt;wsp:rsid wsp:val=&quot;009B759F&quot;/&gt;&lt;wsp:rsid wsp:val=&quot;009C19EF&quot;/&gt;&lt;wsp:rsid wsp:val=&quot;009C1C16&quot;/&gt;&lt;wsp:rsid wsp:val=&quot;009C1F73&quot;/&gt;&lt;wsp:rsid wsp:val=&quot;009C21C0&quot;/&gt;&lt;wsp:rsid wsp:val=&quot;009C256E&quot;/&gt;&lt;wsp:rsid wsp:val=&quot;009C2714&quot;/&gt;&lt;wsp:rsid wsp:val=&quot;009C2C19&quot;/&gt;&lt;wsp:rsid wsp:val=&quot;009C2E8D&quot;/&gt;&lt;wsp:rsid wsp:val=&quot;009C33E4&quot;/&gt;&lt;wsp:rsid wsp:val=&quot;009C341D&quot;/&gt;&lt;wsp:rsid wsp:val=&quot;009C350A&quot;/&gt;&lt;wsp:rsid wsp:val=&quot;009C3BFA&quot;/&gt;&lt;wsp:rsid wsp:val=&quot;009C3DC3&quot;/&gt;&lt;wsp:rsid wsp:val=&quot;009C4130&quot;/&gt;&lt;wsp:rsid wsp:val=&quot;009C428D&quot;/&gt;&lt;wsp:rsid wsp:val=&quot;009C4847&quot;/&gt;&lt;wsp:rsid wsp:val=&quot;009C5A14&quot;/&gt;&lt;wsp:rsid wsp:val=&quot;009C686B&quot;/&gt;&lt;wsp:rsid wsp:val=&quot;009C6A43&quot;/&gt;&lt;wsp:rsid wsp:val=&quot;009C6D89&quot;/&gt;&lt;wsp:rsid wsp:val=&quot;009C7816&quot;/&gt;&lt;wsp:rsid wsp:val=&quot;009C7CB8&quot;/&gt;&lt;wsp:rsid wsp:val=&quot;009C7FB0&quot;/&gt;&lt;wsp:rsid wsp:val=&quot;009C7FDB&quot;/&gt;&lt;wsp:rsid wsp:val=&quot;009D0756&quot;/&gt;&lt;wsp:rsid wsp:val=&quot;009D1570&quot;/&gt;&lt;wsp:rsid wsp:val=&quot;009D1A9E&quot;/&gt;&lt;wsp:rsid wsp:val=&quot;009D2BD7&quot;/&gt;&lt;wsp:rsid wsp:val=&quot;009D2C54&quot;/&gt;&lt;wsp:rsid wsp:val=&quot;009D37E6&quot;/&gt;&lt;wsp:rsid wsp:val=&quot;009D39B4&quot;/&gt;&lt;wsp:rsid wsp:val=&quot;009D4C79&quot;/&gt;&lt;wsp:rsid wsp:val=&quot;009D4D0D&quot;/&gt;&lt;wsp:rsid wsp:val=&quot;009D4F88&quot;/&gt;&lt;wsp:rsid wsp:val=&quot;009D4F93&quot;/&gt;&lt;wsp:rsid wsp:val=&quot;009D512F&quot;/&gt;&lt;wsp:rsid wsp:val=&quot;009D5A6D&quot;/&gt;&lt;wsp:rsid wsp:val=&quot;009D7A71&quot;/&gt;&lt;wsp:rsid wsp:val=&quot;009E0442&quot;/&gt;&lt;wsp:rsid wsp:val=&quot;009E044A&quot;/&gt;&lt;wsp:rsid wsp:val=&quot;009E0C40&quot;/&gt;&lt;wsp:rsid wsp:val=&quot;009E0C6E&quot;/&gt;&lt;wsp:rsid wsp:val=&quot;009E1C3A&quot;/&gt;&lt;wsp:rsid wsp:val=&quot;009E2A0E&quot;/&gt;&lt;wsp:rsid wsp:val=&quot;009E2D06&quot;/&gt;&lt;wsp:rsid wsp:val=&quot;009E4278&quot;/&gt;&lt;wsp:rsid wsp:val=&quot;009E45A6&quot;/&gt;&lt;wsp:rsid wsp:val=&quot;009E4F97&quot;/&gt;&lt;wsp:rsid wsp:val=&quot;009E59A9&quot;/&gt;&lt;wsp:rsid wsp:val=&quot;009E5A5B&quot;/&gt;&lt;wsp:rsid wsp:val=&quot;009E6E13&quot;/&gt;&lt;wsp:rsid wsp:val=&quot;009E7060&quot;/&gt;&lt;wsp:rsid wsp:val=&quot;009E7CA2&quot;/&gt;&lt;wsp:rsid wsp:val=&quot;009F1C5F&quot;/&gt;&lt;wsp:rsid wsp:val=&quot;009F1CDA&quot;/&gt;&lt;wsp:rsid wsp:val=&quot;009F1EF3&quot;/&gt;&lt;wsp:rsid wsp:val=&quot;009F23A2&quot;/&gt;&lt;wsp:rsid wsp:val=&quot;009F245A&quot;/&gt;&lt;wsp:rsid wsp:val=&quot;009F282C&quot;/&gt;&lt;wsp:rsid wsp:val=&quot;009F2BA7&quot;/&gt;&lt;wsp:rsid wsp:val=&quot;009F4FF1&quot;/&gt;&lt;wsp:rsid wsp:val=&quot;009F546A&quot;/&gt;&lt;wsp:rsid wsp:val=&quot;009F61C7&quot;/&gt;&lt;wsp:rsid wsp:val=&quot;009F62FD&quot;/&gt;&lt;wsp:rsid wsp:val=&quot;009F733D&quot;/&gt;&lt;wsp:rsid wsp:val=&quot;009F7528&quot;/&gt;&lt;wsp:rsid wsp:val=&quot;00A00B9B&quot;/&gt;&lt;wsp:rsid wsp:val=&quot;00A00C88&quot;/&gt;&lt;wsp:rsid wsp:val=&quot;00A00F84&quot;/&gt;&lt;wsp:rsid wsp:val=&quot;00A0104E&quot;/&gt;&lt;wsp:rsid wsp:val=&quot;00A01DB2&quot;/&gt;&lt;wsp:rsid wsp:val=&quot;00A0212F&quot;/&gt;&lt;wsp:rsid wsp:val=&quot;00A03E69&quot;/&gt;&lt;wsp:rsid wsp:val=&quot;00A04239&quot;/&gt;&lt;wsp:rsid wsp:val=&quot;00A07F97&quot;/&gt;&lt;wsp:rsid wsp:val=&quot;00A11895&quot;/&gt;&lt;wsp:rsid wsp:val=&quot;00A12BF9&quot;/&gt;&lt;wsp:rsid wsp:val=&quot;00A13CD6&quot;/&gt;&lt;wsp:rsid wsp:val=&quot;00A140AF&quot;/&gt;&lt;wsp:rsid wsp:val=&quot;00A145B2&quot;/&gt;&lt;wsp:rsid wsp:val=&quot;00A14BAB&quot;/&gt;&lt;wsp:rsid wsp:val=&quot;00A14D09&quot;/&gt;&lt;wsp:rsid wsp:val=&quot;00A155AD&quot;/&gt;&lt;wsp:rsid wsp:val=&quot;00A16595&quot;/&gt;&lt;wsp:rsid wsp:val=&quot;00A16CBE&quot;/&gt;&lt;wsp:rsid wsp:val=&quot;00A17D18&quot;/&gt;&lt;wsp:rsid wsp:val=&quot;00A206E1&quot;/&gt;&lt;wsp:rsid wsp:val=&quot;00A207F7&quot;/&gt;&lt;wsp:rsid wsp:val=&quot;00A215E2&quot;/&gt;&lt;wsp:rsid wsp:val=&quot;00A2175D&quot;/&gt;&lt;wsp:rsid wsp:val=&quot;00A2183A&quot;/&gt;&lt;wsp:rsid wsp:val=&quot;00A223CD&quot;/&gt;&lt;wsp:rsid wsp:val=&quot;00A2433B&quot;/&gt;&lt;wsp:rsid wsp:val=&quot;00A2465B&quot;/&gt;&lt;wsp:rsid wsp:val=&quot;00A2469E&quot;/&gt;&lt;wsp:rsid wsp:val=&quot;00A25946&quot;/&gt;&lt;wsp:rsid wsp:val=&quot;00A26AFB&quot;/&gt;&lt;wsp:rsid wsp:val=&quot;00A27A29&quot;/&gt;&lt;wsp:rsid wsp:val=&quot;00A27FA2&quot;/&gt;&lt;wsp:rsid wsp:val=&quot;00A30085&quot;/&gt;&lt;wsp:rsid wsp:val=&quot;00A30627&quot;/&gt;&lt;wsp:rsid wsp:val=&quot;00A311C7&quot;/&gt;&lt;wsp:rsid wsp:val=&quot;00A315D4&quot;/&gt;&lt;wsp:rsid wsp:val=&quot;00A32FC9&quot;/&gt;&lt;wsp:rsid wsp:val=&quot;00A3356A&quot;/&gt;&lt;wsp:rsid wsp:val=&quot;00A3372A&quot;/&gt;&lt;wsp:rsid wsp:val=&quot;00A338B7&quot;/&gt;&lt;wsp:rsid wsp:val=&quot;00A34ABC&quot;/&gt;&lt;wsp:rsid wsp:val=&quot;00A34BC7&quot;/&gt;&lt;wsp:rsid wsp:val=&quot;00A34FFC&quot;/&gt;&lt;wsp:rsid wsp:val=&quot;00A36751&quot;/&gt;&lt;wsp:rsid wsp:val=&quot;00A36AFD&quot;/&gt;&lt;wsp:rsid wsp:val=&quot;00A36B88&quot;/&gt;&lt;wsp:rsid wsp:val=&quot;00A4002E&quot;/&gt;&lt;wsp:rsid wsp:val=&quot;00A40095&quot;/&gt;&lt;wsp:rsid wsp:val=&quot;00A4035A&quot;/&gt;&lt;wsp:rsid wsp:val=&quot;00A404F2&quot;/&gt;&lt;wsp:rsid wsp:val=&quot;00A40885&quot;/&gt;&lt;wsp:rsid wsp:val=&quot;00A408B2&quot;/&gt;&lt;wsp:rsid wsp:val=&quot;00A42BE0&quot;/&gt;&lt;wsp:rsid wsp:val=&quot;00A4385C&quot;/&gt;&lt;wsp:rsid wsp:val=&quot;00A44289&quot;/&gt;&lt;wsp:rsid wsp:val=&quot;00A442BE&quot;/&gt;&lt;wsp:rsid wsp:val=&quot;00A449ED&quot;/&gt;&lt;wsp:rsid wsp:val=&quot;00A45558&quot;/&gt;&lt;wsp:rsid wsp:val=&quot;00A45936&quot;/&gt;&lt;wsp:rsid wsp:val=&quot;00A45A39&quot;/&gt;&lt;wsp:rsid wsp:val=&quot;00A47B71&quot;/&gt;&lt;wsp:rsid wsp:val=&quot;00A507C2&quot;/&gt;&lt;wsp:rsid wsp:val=&quot;00A50B0D&quot;/&gt;&lt;wsp:rsid wsp:val=&quot;00A518CA&quot;/&gt;&lt;wsp:rsid wsp:val=&quot;00A52432&quot;/&gt;&lt;wsp:rsid wsp:val=&quot;00A52591&quot;/&gt;&lt;wsp:rsid wsp:val=&quot;00A52DC7&quot;/&gt;&lt;wsp:rsid wsp:val=&quot;00A530B8&quot;/&gt;&lt;wsp:rsid wsp:val=&quot;00A54995&quot;/&gt;&lt;wsp:rsid wsp:val=&quot;00A55FDA&quot;/&gt;&lt;wsp:rsid wsp:val=&quot;00A56538&quot;/&gt;&lt;wsp:rsid wsp:val=&quot;00A56ED3&quot;/&gt;&lt;wsp:rsid wsp:val=&quot;00A57562&quot;/&gt;&lt;wsp:rsid wsp:val=&quot;00A577B5&quot;/&gt;&lt;wsp:rsid wsp:val=&quot;00A57EBE&quot;/&gt;&lt;wsp:rsid wsp:val=&quot;00A57F89&quot;/&gt;&lt;wsp:rsid wsp:val=&quot;00A60042&quot;/&gt;&lt;wsp:rsid wsp:val=&quot;00A605E7&quot;/&gt;&lt;wsp:rsid wsp:val=&quot;00A6088D&quot;/&gt;&lt;wsp:rsid wsp:val=&quot;00A61132&quot;/&gt;&lt;wsp:rsid wsp:val=&quot;00A61CC9&quot;/&gt;&lt;wsp:rsid wsp:val=&quot;00A645AA&quot;/&gt;&lt;wsp:rsid wsp:val=&quot;00A646E5&quot;/&gt;&lt;wsp:rsid wsp:val=&quot;00A64D8E&quot;/&gt;&lt;wsp:rsid wsp:val=&quot;00A65A04&quot;/&gt;&lt;wsp:rsid wsp:val=&quot;00A65EEA&quot;/&gt;&lt;wsp:rsid wsp:val=&quot;00A66F6F&quot;/&gt;&lt;wsp:rsid wsp:val=&quot;00A67DE9&quot;/&gt;&lt;wsp:rsid wsp:val=&quot;00A70B18&quot;/&gt;&lt;wsp:rsid wsp:val=&quot;00A71252&quot;/&gt;&lt;wsp:rsid wsp:val=&quot;00A7149F&quot;/&gt;&lt;wsp:rsid wsp:val=&quot;00A71FC1&quot;/&gt;&lt;wsp:rsid wsp:val=&quot;00A721F3&quot;/&gt;&lt;wsp:rsid wsp:val=&quot;00A728BF&quot;/&gt;&lt;wsp:rsid wsp:val=&quot;00A729C3&quot;/&gt;&lt;wsp:rsid wsp:val=&quot;00A72E3D&quot;/&gt;&lt;wsp:rsid wsp:val=&quot;00A731E4&quot;/&gt;&lt;wsp:rsid wsp:val=&quot;00A73856&quot;/&gt;&lt;wsp:rsid wsp:val=&quot;00A74033&quot;/&gt;&lt;wsp:rsid wsp:val=&quot;00A75113&quot;/&gt;&lt;wsp:rsid wsp:val=&quot;00A75139&quot;/&gt;&lt;wsp:rsid wsp:val=&quot;00A75A4F&quot;/&gt;&lt;wsp:rsid wsp:val=&quot;00A75E27&quot;/&gt;&lt;wsp:rsid wsp:val=&quot;00A761F8&quot;/&gt;&lt;wsp:rsid wsp:val=&quot;00A765F9&quot;/&gt;&lt;wsp:rsid wsp:val=&quot;00A76757&quot;/&gt;&lt;wsp:rsid wsp:val=&quot;00A77413&quot;/&gt;&lt;wsp:rsid wsp:val=&quot;00A7796F&quot;/&gt;&lt;wsp:rsid wsp:val=&quot;00A77F4C&quot;/&gt;&lt;wsp:rsid wsp:val=&quot;00A810E6&quot;/&gt;&lt;wsp:rsid wsp:val=&quot;00A8125D&quot;/&gt;&lt;wsp:rsid wsp:val=&quot;00A82542&quot;/&gt;&lt;wsp:rsid wsp:val=&quot;00A82790&quot;/&gt;&lt;wsp:rsid wsp:val=&quot;00A82A3A&quot;/&gt;&lt;wsp:rsid wsp:val=&quot;00A8332A&quot;/&gt;&lt;wsp:rsid wsp:val=&quot;00A838E5&quot;/&gt;&lt;wsp:rsid wsp:val=&quot;00A8430E&quot;/&gt;&lt;wsp:rsid wsp:val=&quot;00A84455&quot;/&gt;&lt;wsp:rsid wsp:val=&quot;00A84FD0&quot;/&gt;&lt;wsp:rsid wsp:val=&quot;00A85058&quot;/&gt;&lt;wsp:rsid wsp:val=&quot;00A859A7&quot;/&gt;&lt;wsp:rsid wsp:val=&quot;00A86694&quot;/&gt;&lt;wsp:rsid wsp:val=&quot;00A87099&quot;/&gt;&lt;wsp:rsid wsp:val=&quot;00A87AD4&quot;/&gt;&lt;wsp:rsid wsp:val=&quot;00A87D78&quot;/&gt;&lt;wsp:rsid wsp:val=&quot;00A87FB7&quot;/&gt;&lt;wsp:rsid wsp:val=&quot;00A91718&quot;/&gt;&lt;wsp:rsid wsp:val=&quot;00A91ADC&quot;/&gt;&lt;wsp:rsid wsp:val=&quot;00A91E3D&quot;/&gt;&lt;wsp:rsid wsp:val=&quot;00A92767&quot;/&gt;&lt;wsp:rsid wsp:val=&quot;00A92D01&quot;/&gt;&lt;wsp:rsid wsp:val=&quot;00A93710&quot;/&gt;&lt;wsp:rsid wsp:val=&quot;00A950BF&quot;/&gt;&lt;wsp:rsid wsp:val=&quot;00A95616&quot;/&gt;&lt;wsp:rsid wsp:val=&quot;00A95D3A&quot;/&gt;&lt;wsp:rsid wsp:val=&quot;00A95FBD&quot;/&gt;&lt;wsp:rsid wsp:val=&quot;00A9606C&quot;/&gt;&lt;wsp:rsid wsp:val=&quot;00A9667F&quot;/&gt;&lt;wsp:rsid wsp:val=&quot;00A97075&quot;/&gt;&lt;wsp:rsid wsp:val=&quot;00A97657&quot;/&gt;&lt;wsp:rsid wsp:val=&quot;00A97A12&quot;/&gt;&lt;wsp:rsid wsp:val=&quot;00AA0223&quot;/&gt;&lt;wsp:rsid wsp:val=&quot;00AA04CB&quot;/&gt;&lt;wsp:rsid wsp:val=&quot;00AA0FB9&quot;/&gt;&lt;wsp:rsid wsp:val=&quot;00AA1A17&quot;/&gt;&lt;wsp:rsid wsp:val=&quot;00AA3155&quot;/&gt;&lt;wsp:rsid wsp:val=&quot;00AA3793&quot;/&gt;&lt;wsp:rsid wsp:val=&quot;00AA407B&quot;/&gt;&lt;wsp:rsid wsp:val=&quot;00AA4632&quot;/&gt;&lt;wsp:rsid wsp:val=&quot;00AA49CD&quot;/&gt;&lt;wsp:rsid wsp:val=&quot;00AA5E26&quot;/&gt;&lt;wsp:rsid wsp:val=&quot;00AA6F95&quot;/&gt;&lt;wsp:rsid wsp:val=&quot;00AA70C8&quot;/&gt;&lt;wsp:rsid wsp:val=&quot;00AA76F8&quot;/&gt;&lt;wsp:rsid wsp:val=&quot;00AA7C30&quot;/&gt;&lt;wsp:rsid wsp:val=&quot;00AA7EA6&quot;/&gt;&lt;wsp:rsid wsp:val=&quot;00AA7F9A&quot;/&gt;&lt;wsp:rsid wsp:val=&quot;00AB005C&quot;/&gt;&lt;wsp:rsid wsp:val=&quot;00AB09C3&quot;/&gt;&lt;wsp:rsid wsp:val=&quot;00AB09EF&quot;/&gt;&lt;wsp:rsid wsp:val=&quot;00AB0FEE&quot;/&gt;&lt;wsp:rsid wsp:val=&quot;00AB191F&quot;/&gt;&lt;wsp:rsid wsp:val=&quot;00AB3DD8&quot;/&gt;&lt;wsp:rsid wsp:val=&quot;00AB49B4&quot;/&gt;&lt;wsp:rsid wsp:val=&quot;00AB4FF6&quot;/&gt;&lt;wsp:rsid wsp:val=&quot;00AB610C&quot;/&gt;&lt;wsp:rsid wsp:val=&quot;00AB698A&quot;/&gt;&lt;wsp:rsid wsp:val=&quot;00AB6E1C&quot;/&gt;&lt;wsp:rsid wsp:val=&quot;00AB728C&quot;/&gt;&lt;wsp:rsid wsp:val=&quot;00AB7878&quot;/&gt;&lt;wsp:rsid wsp:val=&quot;00AB7C06&quot;/&gt;&lt;wsp:rsid wsp:val=&quot;00AC05F7&quot;/&gt;&lt;wsp:rsid wsp:val=&quot;00AC07A5&quot;/&gt;&lt;wsp:rsid wsp:val=&quot;00AC188F&quot;/&gt;&lt;wsp:rsid wsp:val=&quot;00AC337B&quot;/&gt;&lt;wsp:rsid wsp:val=&quot;00AC3625&quot;/&gt;&lt;wsp:rsid wsp:val=&quot;00AC3E86&quot;/&gt;&lt;wsp:rsid wsp:val=&quot;00AC4198&quot;/&gt;&lt;wsp:rsid wsp:val=&quot;00AC4E1B&quot;/&gt;&lt;wsp:rsid wsp:val=&quot;00AC62AE&quot;/&gt;&lt;wsp:rsid wsp:val=&quot;00AC6C0C&quot;/&gt;&lt;wsp:rsid wsp:val=&quot;00AC6EBE&quot;/&gt;&lt;wsp:rsid wsp:val=&quot;00AC6F86&quot;/&gt;&lt;wsp:rsid wsp:val=&quot;00AD0038&quot;/&gt;&lt;wsp:rsid wsp:val=&quot;00AD092D&quot;/&gt;&lt;wsp:rsid wsp:val=&quot;00AD0C3B&quot;/&gt;&lt;wsp:rsid wsp:val=&quot;00AD11CD&quot;/&gt;&lt;wsp:rsid wsp:val=&quot;00AD3505&quot;/&gt;&lt;wsp:rsid wsp:val=&quot;00AD35FD&quot;/&gt;&lt;wsp:rsid wsp:val=&quot;00AD408A&quot;/&gt;&lt;wsp:rsid wsp:val=&quot;00AD4B74&quot;/&gt;&lt;wsp:rsid wsp:val=&quot;00AD4C2A&quot;/&gt;&lt;wsp:rsid wsp:val=&quot;00AD63E4&quot;/&gt;&lt;wsp:rsid wsp:val=&quot;00AD7ADA&quot;/&gt;&lt;wsp:rsid wsp:val=&quot;00AD7E29&quot;/&gt;&lt;wsp:rsid wsp:val=&quot;00AE142E&quot;/&gt;&lt;wsp:rsid wsp:val=&quot;00AE1F05&quot;/&gt;&lt;wsp:rsid wsp:val=&quot;00AE234D&quot;/&gt;&lt;wsp:rsid wsp:val=&quot;00AE2931&quot;/&gt;&lt;wsp:rsid wsp:val=&quot;00AE3562&quot;/&gt;&lt;wsp:rsid wsp:val=&quot;00AE3DA7&quot;/&gt;&lt;wsp:rsid wsp:val=&quot;00AE3F9E&quot;/&gt;&lt;wsp:rsid wsp:val=&quot;00AE49B5&quot;/&gt;&lt;wsp:rsid wsp:val=&quot;00AE57C6&quot;/&gt;&lt;wsp:rsid wsp:val=&quot;00AE58BC&quot;/&gt;&lt;wsp:rsid wsp:val=&quot;00AE6A0D&quot;/&gt;&lt;wsp:rsid wsp:val=&quot;00AE72A8&quot;/&gt;&lt;wsp:rsid wsp:val=&quot;00AF1511&quot;/&gt;&lt;wsp:rsid wsp:val=&quot;00AF1BE1&quot;/&gt;&lt;wsp:rsid wsp:val=&quot;00AF1BF5&quot;/&gt;&lt;wsp:rsid wsp:val=&quot;00AF1E44&quot;/&gt;&lt;wsp:rsid wsp:val=&quot;00AF3DE3&quot;/&gt;&lt;wsp:rsid wsp:val=&quot;00AF6288&quot;/&gt;&lt;wsp:rsid wsp:val=&quot;00AF71EF&quot;/&gt;&lt;wsp:rsid wsp:val=&quot;00AF7558&quot;/&gt;&lt;wsp:rsid wsp:val=&quot;00AF7887&quot;/&gt;&lt;wsp:rsid wsp:val=&quot;00B0085C&quot;/&gt;&lt;wsp:rsid wsp:val=&quot;00B00BCE&quot;/&gt;&lt;wsp:rsid wsp:val=&quot;00B00CDC&quot;/&gt;&lt;wsp:rsid wsp:val=&quot;00B01A3F&quot;/&gt;&lt;wsp:rsid wsp:val=&quot;00B026C1&quot;/&gt;&lt;wsp:rsid wsp:val=&quot;00B02797&quot;/&gt;&lt;wsp:rsid wsp:val=&quot;00B03E58&quot;/&gt;&lt;wsp:rsid wsp:val=&quot;00B04B1C&quot;/&gt;&lt;wsp:rsid wsp:val=&quot;00B059E2&quot;/&gt;&lt;wsp:rsid wsp:val=&quot;00B06CF7&quot;/&gt;&lt;wsp:rsid wsp:val=&quot;00B0753E&quot;/&gt;&lt;wsp:rsid wsp:val=&quot;00B07D6A&quot;/&gt;&lt;wsp:rsid wsp:val=&quot;00B104B6&quot;/&gt;&lt;wsp:rsid wsp:val=&quot;00B1053D&quot;/&gt;&lt;wsp:rsid wsp:val=&quot;00B10D0F&quot;/&gt;&lt;wsp:rsid wsp:val=&quot;00B10D56&quot;/&gt;&lt;wsp:rsid wsp:val=&quot;00B113B2&quot;/&gt;&lt;wsp:rsid wsp:val=&quot;00B117B5&quot;/&gt;&lt;wsp:rsid wsp:val=&quot;00B11EC2&quot;/&gt;&lt;wsp:rsid wsp:val=&quot;00B13F6E&quot;/&gt;&lt;wsp:rsid wsp:val=&quot;00B146C1&quot;/&gt;&lt;wsp:rsid wsp:val=&quot;00B1543A&quot;/&gt;&lt;wsp:rsid wsp:val=&quot;00B165C9&quot;/&gt;&lt;wsp:rsid wsp:val=&quot;00B17152&quot;/&gt;&lt;wsp:rsid wsp:val=&quot;00B17203&quot;/&gt;&lt;wsp:rsid wsp:val=&quot;00B17346&quot;/&gt;&lt;wsp:rsid wsp:val=&quot;00B178CD&quot;/&gt;&lt;wsp:rsid wsp:val=&quot;00B20161&quot;/&gt;&lt;wsp:rsid wsp:val=&quot;00B20773&quot;/&gt;&lt;wsp:rsid wsp:val=&quot;00B21686&quot;/&gt;&lt;wsp:rsid wsp:val=&quot;00B23447&quot;/&gt;&lt;wsp:rsid wsp:val=&quot;00B240BB&quot;/&gt;&lt;wsp:rsid wsp:val=&quot;00B24291&quot;/&gt;&lt;wsp:rsid wsp:val=&quot;00B243A9&quot;/&gt;&lt;wsp:rsid wsp:val=&quot;00B24808&quot;/&gt;&lt;wsp:rsid wsp:val=&quot;00B249B8&quot;/&gt;&lt;wsp:rsid wsp:val=&quot;00B2509D&quot;/&gt;&lt;wsp:rsid wsp:val=&quot;00B25139&quot;/&gt;&lt;wsp:rsid wsp:val=&quot;00B25325&quot;/&gt;&lt;wsp:rsid wsp:val=&quot;00B25E64&quot;/&gt;&lt;wsp:rsid wsp:val=&quot;00B26B25&quot;/&gt;&lt;wsp:rsid wsp:val=&quot;00B27AF4&quot;/&gt;&lt;wsp:rsid wsp:val=&quot;00B31897&quot;/&gt;&lt;wsp:rsid wsp:val=&quot;00B31A99&quot;/&gt;&lt;wsp:rsid wsp:val=&quot;00B34063&quot;/&gt;&lt;wsp:rsid wsp:val=&quot;00B34A23&quot;/&gt;&lt;wsp:rsid wsp:val=&quot;00B34E23&quot;/&gt;&lt;wsp:rsid wsp:val=&quot;00B35536&quot;/&gt;&lt;wsp:rsid wsp:val=&quot;00B355FE&quot;/&gt;&lt;wsp:rsid wsp:val=&quot;00B357A9&quot;/&gt;&lt;wsp:rsid wsp:val=&quot;00B35AC3&quot;/&gt;&lt;wsp:rsid wsp:val=&quot;00B37D8C&quot;/&gt;&lt;wsp:rsid wsp:val=&quot;00B400CF&quot;/&gt;&lt;wsp:rsid wsp:val=&quot;00B408D4&quot;/&gt;&lt;wsp:rsid wsp:val=&quot;00B40D4C&quot;/&gt;&lt;wsp:rsid wsp:val=&quot;00B4151A&quot;/&gt;&lt;wsp:rsid wsp:val=&quot;00B424CE&quot;/&gt;&lt;wsp:rsid wsp:val=&quot;00B4280F&quot;/&gt;&lt;wsp:rsid wsp:val=&quot;00B435E0&quot;/&gt;&lt;wsp:rsid wsp:val=&quot;00B43916&quot;/&gt;&lt;wsp:rsid wsp:val=&quot;00B4421F&quot;/&gt;&lt;wsp:rsid wsp:val=&quot;00B448F5&quot;/&gt;&lt;wsp:rsid wsp:val=&quot;00B47BEE&quot;/&gt;&lt;wsp:rsid wsp:val=&quot;00B503FF&quot;/&gt;&lt;wsp:rsid wsp:val=&quot;00B50A07&quot;/&gt;&lt;wsp:rsid wsp:val=&quot;00B50F34&quot;/&gt;&lt;wsp:rsid wsp:val=&quot;00B51058&quot;/&gt;&lt;wsp:rsid wsp:val=&quot;00B51385&quot;/&gt;&lt;wsp:rsid wsp:val=&quot;00B53413&quot;/&gt;&lt;wsp:rsid wsp:val=&quot;00B53718&quot;/&gt;&lt;wsp:rsid wsp:val=&quot;00B54B56&quot;/&gt;&lt;wsp:rsid wsp:val=&quot;00B56D03&quot;/&gt;&lt;wsp:rsid wsp:val=&quot;00B5779D&quot;/&gt;&lt;wsp:rsid wsp:val=&quot;00B628D1&quot;/&gt;&lt;wsp:rsid wsp:val=&quot;00B638C3&quot;/&gt;&lt;wsp:rsid wsp:val=&quot;00B6416B&quot;/&gt;&lt;wsp:rsid wsp:val=&quot;00B64A6A&quot;/&gt;&lt;wsp:rsid wsp:val=&quot;00B662C0&quot;/&gt;&lt;wsp:rsid wsp:val=&quot;00B66BFB&quot;/&gt;&lt;wsp:rsid wsp:val=&quot;00B67466&quot;/&gt;&lt;wsp:rsid wsp:val=&quot;00B67A99&quot;/&gt;&lt;wsp:rsid wsp:val=&quot;00B71051&quot;/&gt;&lt;wsp:rsid wsp:val=&quot;00B71642&quot;/&gt;&lt;wsp:rsid wsp:val=&quot;00B71A7E&quot;/&gt;&lt;wsp:rsid wsp:val=&quot;00B71ADC&quot;/&gt;&lt;wsp:rsid wsp:val=&quot;00B71D5F&quot;/&gt;&lt;wsp:rsid wsp:val=&quot;00B720E9&quot;/&gt;&lt;wsp:rsid wsp:val=&quot;00B73C03&quot;/&gt;&lt;wsp:rsid wsp:val=&quot;00B73D89&quot;/&gt;&lt;wsp:rsid wsp:val=&quot;00B74791&quot;/&gt;&lt;wsp:rsid wsp:val=&quot;00B76095&quot;/&gt;&lt;wsp:rsid wsp:val=&quot;00B80AC4&quot;/&gt;&lt;wsp:rsid wsp:val=&quot;00B820F6&quot;/&gt;&lt;wsp:rsid wsp:val=&quot;00B831BC&quot;/&gt;&lt;wsp:rsid wsp:val=&quot;00B840D6&quot;/&gt;&lt;wsp:rsid wsp:val=&quot;00B84284&quot;/&gt;&lt;wsp:rsid wsp:val=&quot;00B848AE&quot;/&gt;&lt;wsp:rsid wsp:val=&quot;00B84BAA&quot;/&gt;&lt;wsp:rsid wsp:val=&quot;00B85D68&quot;/&gt;&lt;wsp:rsid wsp:val=&quot;00B86E06&quot;/&gt;&lt;wsp:rsid wsp:val=&quot;00B905FE&quot;/&gt;&lt;wsp:rsid wsp:val=&quot;00B90BF3&quot;/&gt;&lt;wsp:rsid wsp:val=&quot;00B912BE&quot;/&gt;&lt;wsp:rsid wsp:val=&quot;00B9194B&quot;/&gt;&lt;wsp:rsid wsp:val=&quot;00B91B39&quot;/&gt;&lt;wsp:rsid wsp:val=&quot;00B941AC&quot;/&gt;&lt;wsp:rsid wsp:val=&quot;00B955DF&quot;/&gt;&lt;wsp:rsid wsp:val=&quot;00B9590C&quot;/&gt;&lt;wsp:rsid wsp:val=&quot;00B95F1E&quot;/&gt;&lt;wsp:rsid wsp:val=&quot;00B96491&quot;/&gt;&lt;wsp:rsid wsp:val=&quot;00B966C5&quot;/&gt;&lt;wsp:rsid wsp:val=&quot;00B966ED&quot;/&gt;&lt;wsp:rsid wsp:val=&quot;00BA0169&quot;/&gt;&lt;wsp:rsid wsp:val=&quot;00BA2779&quot;/&gt;&lt;wsp:rsid wsp:val=&quot;00BA3C9A&quot;/&gt;&lt;wsp:rsid wsp:val=&quot;00BA4374&quot;/&gt;&lt;wsp:rsid wsp:val=&quot;00BA4F04&quot;/&gt;&lt;wsp:rsid wsp:val=&quot;00BA5212&quot;/&gt;&lt;wsp:rsid wsp:val=&quot;00BA57A3&quot;/&gt;&lt;wsp:rsid wsp:val=&quot;00BA5CAE&quot;/&gt;&lt;wsp:rsid wsp:val=&quot;00BB03FF&quot;/&gt;&lt;wsp:rsid wsp:val=&quot;00BB0C6A&quot;/&gt;&lt;wsp:rsid wsp:val=&quot;00BB0D07&quot;/&gt;&lt;wsp:rsid wsp:val=&quot;00BB1294&quot;/&gt;&lt;wsp:rsid wsp:val=&quot;00BB1A37&quot;/&gt;&lt;wsp:rsid wsp:val=&quot;00BB1BBD&quot;/&gt;&lt;wsp:rsid wsp:val=&quot;00BB28E8&quot;/&gt;&lt;wsp:rsid wsp:val=&quot;00BB4230&quot;/&gt;&lt;wsp:rsid wsp:val=&quot;00BB44E1&quot;/&gt;&lt;wsp:rsid wsp:val=&quot;00BB4B73&quot;/&gt;&lt;wsp:rsid wsp:val=&quot;00BB5038&quot;/&gt;&lt;wsp:rsid wsp:val=&quot;00BB51E8&quot;/&gt;&lt;wsp:rsid wsp:val=&quot;00BB5FD4&quot;/&gt;&lt;wsp:rsid wsp:val=&quot;00BB62BE&quot;/&gt;&lt;wsp:rsid wsp:val=&quot;00BB6701&quot;/&gt;&lt;wsp:rsid wsp:val=&quot;00BB68B2&quot;/&gt;&lt;wsp:rsid wsp:val=&quot;00BB6C28&quot;/&gt;&lt;wsp:rsid wsp:val=&quot;00BB7542&quot;/&gt;&lt;wsp:rsid wsp:val=&quot;00BC0A76&quot;/&gt;&lt;wsp:rsid wsp:val=&quot;00BC2159&quot;/&gt;&lt;wsp:rsid wsp:val=&quot;00BC3488&quot;/&gt;&lt;wsp:rsid wsp:val=&quot;00BC350F&quot;/&gt;&lt;wsp:rsid wsp:val=&quot;00BC3640&quot;/&gt;&lt;wsp:rsid wsp:val=&quot;00BC37E3&quot;/&gt;&lt;wsp:rsid wsp:val=&quot;00BC3B31&quot;/&gt;&lt;wsp:rsid wsp:val=&quot;00BC3D69&quot;/&gt;&lt;wsp:rsid wsp:val=&quot;00BC4EFC&quot;/&gt;&lt;wsp:rsid wsp:val=&quot;00BC5270&quot;/&gt;&lt;wsp:rsid wsp:val=&quot;00BC53E6&quot;/&gt;&lt;wsp:rsid wsp:val=&quot;00BC5A30&quot;/&gt;&lt;wsp:rsid wsp:val=&quot;00BC5E13&quot;/&gt;&lt;wsp:rsid wsp:val=&quot;00BC5F5F&quot;/&gt;&lt;wsp:rsid wsp:val=&quot;00BC71D9&quot;/&gt;&lt;wsp:rsid wsp:val=&quot;00BC7F5F&quot;/&gt;&lt;wsp:rsid wsp:val=&quot;00BD05F1&quot;/&gt;&lt;wsp:rsid wsp:val=&quot;00BD0FA7&quot;/&gt;&lt;wsp:rsid wsp:val=&quot;00BD1919&quot;/&gt;&lt;wsp:rsid wsp:val=&quot;00BD1E7A&quot;/&gt;&lt;wsp:rsid wsp:val=&quot;00BD1F3E&quot;/&gt;&lt;wsp:rsid wsp:val=&quot;00BD1FCB&quot;/&gt;&lt;wsp:rsid wsp:val=&quot;00BD260C&quot;/&gt;&lt;wsp:rsid wsp:val=&quot;00BD3232&quot;/&gt;&lt;wsp:rsid wsp:val=&quot;00BD323F&quot;/&gt;&lt;wsp:rsid wsp:val=&quot;00BD3BB2&quot;/&gt;&lt;wsp:rsid wsp:val=&quot;00BD41FF&quot;/&gt;&lt;wsp:rsid wsp:val=&quot;00BD4216&quot;/&gt;&lt;wsp:rsid wsp:val=&quot;00BD4763&quot;/&gt;&lt;wsp:rsid wsp:val=&quot;00BD489A&quot;/&gt;&lt;wsp:rsid wsp:val=&quot;00BD4EC4&quot;/&gt;&lt;wsp:rsid wsp:val=&quot;00BD57A0&quot;/&gt;&lt;wsp:rsid wsp:val=&quot;00BD6BCD&quot;/&gt;&lt;wsp:rsid wsp:val=&quot;00BD7E52&quot;/&gt;&lt;wsp:rsid wsp:val=&quot;00BE136E&quot;/&gt;&lt;wsp:rsid wsp:val=&quot;00BE16D8&quot;/&gt;&lt;wsp:rsid wsp:val=&quot;00BE2E10&quot;/&gt;&lt;wsp:rsid wsp:val=&quot;00BE30C4&quot;/&gt;&lt;wsp:rsid wsp:val=&quot;00BE31A2&quot;/&gt;&lt;wsp:rsid wsp:val=&quot;00BE3A8F&quot;/&gt;&lt;wsp:rsid wsp:val=&quot;00BE423B&quot;/&gt;&lt;wsp:rsid wsp:val=&quot;00BE55DF&quot;/&gt;&lt;wsp:rsid wsp:val=&quot;00BE651C&quot;/&gt;&lt;wsp:rsid wsp:val=&quot;00BE690D&quot;/&gt;&lt;wsp:rsid wsp:val=&quot;00BE6AEF&quot;/&gt;&lt;wsp:rsid wsp:val=&quot;00BF10B4&quot;/&gt;&lt;wsp:rsid wsp:val=&quot;00BF1FB1&quot;/&gt;&lt;wsp:rsid wsp:val=&quot;00BF260F&quot;/&gt;&lt;wsp:rsid wsp:val=&quot;00BF3634&quot;/&gt;&lt;wsp:rsid wsp:val=&quot;00BF41A7&quot;/&gt;&lt;wsp:rsid wsp:val=&quot;00BF4C42&quot;/&gt;&lt;wsp:rsid wsp:val=&quot;00BF4FFE&quot;/&gt;&lt;wsp:rsid wsp:val=&quot;00BF5787&quot;/&gt;&lt;wsp:rsid wsp:val=&quot;00BF5FB2&quot;/&gt;&lt;wsp:rsid wsp:val=&quot;00BF60D8&quot;/&gt;&lt;wsp:rsid wsp:val=&quot;00BF641D&quot;/&gt;&lt;wsp:rsid wsp:val=&quot;00BF73ED&quot;/&gt;&lt;wsp:rsid wsp:val=&quot;00BF741C&quot;/&gt;&lt;wsp:rsid wsp:val=&quot;00C0052B&quot;/&gt;&lt;wsp:rsid wsp:val=&quot;00C013F3&quot;/&gt;&lt;wsp:rsid wsp:val=&quot;00C014DF&quot;/&gt;&lt;wsp:rsid wsp:val=&quot;00C02EFA&quot;/&gt;&lt;wsp:rsid wsp:val=&quot;00C03509&quot;/&gt;&lt;wsp:rsid wsp:val=&quot;00C03E49&quot;/&gt;&lt;wsp:rsid wsp:val=&quot;00C04117&quot;/&gt;&lt;wsp:rsid wsp:val=&quot;00C04259&quot;/&gt;&lt;wsp:rsid wsp:val=&quot;00C05E85&quot;/&gt;&lt;wsp:rsid wsp:val=&quot;00C0760B&quot;/&gt;&lt;wsp:rsid wsp:val=&quot;00C07CAE&quot;/&gt;&lt;wsp:rsid wsp:val=&quot;00C1019F&quot;/&gt;&lt;wsp:rsid wsp:val=&quot;00C12D96&quot;/&gt;&lt;wsp:rsid wsp:val=&quot;00C12FF3&quot;/&gt;&lt;wsp:rsid wsp:val=&quot;00C13C10&quot;/&gt;&lt;wsp:rsid wsp:val=&quot;00C14314&quot;/&gt;&lt;wsp:rsid wsp:val=&quot;00C14E7F&quot;/&gt;&lt;wsp:rsid wsp:val=&quot;00C14FC5&quot;/&gt;&lt;wsp:rsid wsp:val=&quot;00C1715E&quot;/&gt;&lt;wsp:rsid wsp:val=&quot;00C17A7F&quot;/&gt;&lt;wsp:rsid wsp:val=&quot;00C17F77&quot;/&gt;&lt;wsp:rsid wsp:val=&quot;00C2077A&quot;/&gt;&lt;wsp:rsid wsp:val=&quot;00C20BDB&quot;/&gt;&lt;wsp:rsid wsp:val=&quot;00C21513&quot;/&gt;&lt;wsp:rsid wsp:val=&quot;00C215AD&quot;/&gt;&lt;wsp:rsid wsp:val=&quot;00C217F1&quot;/&gt;&lt;wsp:rsid wsp:val=&quot;00C21F78&quot;/&gt;&lt;wsp:rsid wsp:val=&quot;00C226C5&quot;/&gt;&lt;wsp:rsid wsp:val=&quot;00C22A51&quot;/&gt;&lt;wsp:rsid wsp:val=&quot;00C2314D&quot;/&gt;&lt;wsp:rsid wsp:val=&quot;00C237DA&quot;/&gt;&lt;wsp:rsid wsp:val=&quot;00C23998&quot;/&gt;&lt;wsp:rsid wsp:val=&quot;00C23B9C&quot;/&gt;&lt;wsp:rsid wsp:val=&quot;00C23E97&quot;/&gt;&lt;wsp:rsid wsp:val=&quot;00C2482B&quot;/&gt;&lt;wsp:rsid wsp:val=&quot;00C25872&quot;/&gt;&lt;wsp:rsid wsp:val=&quot;00C25B6E&quot;/&gt;&lt;wsp:rsid wsp:val=&quot;00C25E39&quot;/&gt;&lt;wsp:rsid wsp:val=&quot;00C262EF&quot;/&gt;&lt;wsp:rsid wsp:val=&quot;00C26B22&quot;/&gt;&lt;wsp:rsid wsp:val=&quot;00C275AE&quot;/&gt;&lt;wsp:rsid wsp:val=&quot;00C27E9E&quot;/&gt;&lt;wsp:rsid wsp:val=&quot;00C30897&quot;/&gt;&lt;wsp:rsid wsp:val=&quot;00C322C1&quot;/&gt;&lt;wsp:rsid wsp:val=&quot;00C32A6F&quot;/&gt;&lt;wsp:rsid wsp:val=&quot;00C335E7&quot;/&gt;&lt;wsp:rsid wsp:val=&quot;00C35A66&quot;/&gt;&lt;wsp:rsid wsp:val=&quot;00C35DCA&quot;/&gt;&lt;wsp:rsid wsp:val=&quot;00C35FBC&quot;/&gt;&lt;wsp:rsid wsp:val=&quot;00C37312&quot;/&gt;&lt;wsp:rsid wsp:val=&quot;00C3753B&quot;/&gt;&lt;wsp:rsid wsp:val=&quot;00C378E2&quot;/&gt;&lt;wsp:rsid wsp:val=&quot;00C41126&quot;/&gt;&lt;wsp:rsid wsp:val=&quot;00C412A0&quot;/&gt;&lt;wsp:rsid wsp:val=&quot;00C414E8&quot;/&gt;&lt;wsp:rsid wsp:val=&quot;00C41A76&quot;/&gt;&lt;wsp:rsid wsp:val=&quot;00C41CF0&quot;/&gt;&lt;wsp:rsid wsp:val=&quot;00C42322&quot;/&gt;&lt;wsp:rsid wsp:val=&quot;00C428C9&quot;/&gt;&lt;wsp:rsid wsp:val=&quot;00C439D3&quot;/&gt;&lt;wsp:rsid wsp:val=&quot;00C43D47&quot;/&gt;&lt;wsp:rsid wsp:val=&quot;00C44967&quot;/&gt;&lt;wsp:rsid wsp:val=&quot;00C45323&quot;/&gt;&lt;wsp:rsid wsp:val=&quot;00C45C27&quot;/&gt;&lt;wsp:rsid wsp:val=&quot;00C45C5D&quot;/&gt;&lt;wsp:rsid wsp:val=&quot;00C4631E&quot;/&gt;&lt;wsp:rsid wsp:val=&quot;00C479B0&quot;/&gt;&lt;wsp:rsid wsp:val=&quot;00C506AF&quot;/&gt;&lt;wsp:rsid wsp:val=&quot;00C507FB&quot;/&gt;&lt;wsp:rsid wsp:val=&quot;00C50C12&quot;/&gt;&lt;wsp:rsid wsp:val=&quot;00C50EEF&quot;/&gt;&lt;wsp:rsid wsp:val=&quot;00C51074&quot;/&gt;&lt;wsp:rsid wsp:val=&quot;00C5274A&quot;/&gt;&lt;wsp:rsid wsp:val=&quot;00C55EA2&quot;/&gt;&lt;wsp:rsid wsp:val=&quot;00C56413&quot;/&gt;&lt;wsp:rsid wsp:val=&quot;00C56503&quot;/&gt;&lt;wsp:rsid wsp:val=&quot;00C57011&quot;/&gt;&lt;wsp:rsid wsp:val=&quot;00C575A7&quot;/&gt;&lt;wsp:rsid wsp:val=&quot;00C57B9F&quot;/&gt;&lt;wsp:rsid wsp:val=&quot;00C60D9C&quot;/&gt;&lt;wsp:rsid wsp:val=&quot;00C6181A&quot;/&gt;&lt;wsp:rsid wsp:val=&quot;00C61B80&quot;/&gt;&lt;wsp:rsid wsp:val=&quot;00C62A99&quot;/&gt;&lt;wsp:rsid wsp:val=&quot;00C62BDD&quot;/&gt;&lt;wsp:rsid wsp:val=&quot;00C62F37&quot;/&gt;&lt;wsp:rsid wsp:val=&quot;00C63B5E&quot;/&gt;&lt;wsp:rsid wsp:val=&quot;00C63B79&quot;/&gt;&lt;wsp:rsid wsp:val=&quot;00C63F17&quot;/&gt;&lt;wsp:rsid wsp:val=&quot;00C63F34&quot;/&gt;&lt;wsp:rsid wsp:val=&quot;00C647CC&quot;/&gt;&lt;wsp:rsid wsp:val=&quot;00C6496C&quot;/&gt;&lt;wsp:rsid wsp:val=&quot;00C64F8E&quot;/&gt;&lt;wsp:rsid wsp:val=&quot;00C659CB&quot;/&gt;&lt;wsp:rsid wsp:val=&quot;00C66D83&quot;/&gt;&lt;wsp:rsid wsp:val=&quot;00C67049&quot;/&gt;&lt;wsp:rsid wsp:val=&quot;00C6711C&quot;/&gt;&lt;wsp:rsid wsp:val=&quot;00C67171&quot;/&gt;&lt;wsp:rsid wsp:val=&quot;00C674B1&quot;/&gt;&lt;wsp:rsid wsp:val=&quot;00C67DD1&quot;/&gt;&lt;wsp:rsid wsp:val=&quot;00C70109&quot;/&gt;&lt;wsp:rsid wsp:val=&quot;00C70398&quot;/&gt;&lt;wsp:rsid wsp:val=&quot;00C704BC&quot;/&gt;&lt;wsp:rsid wsp:val=&quot;00C70628&quot;/&gt;&lt;wsp:rsid wsp:val=&quot;00C7069A&quot;/&gt;&lt;wsp:rsid wsp:val=&quot;00C711FD&quot;/&gt;&lt;wsp:rsid wsp:val=&quot;00C71D08&quot;/&gt;&lt;wsp:rsid wsp:val=&quot;00C72D84&quot;/&gt;&lt;wsp:rsid wsp:val=&quot;00C73934&quot;/&gt;&lt;wsp:rsid wsp:val=&quot;00C73CE3&quot;/&gt;&lt;wsp:rsid wsp:val=&quot;00C750A9&quot;/&gt;&lt;wsp:rsid wsp:val=&quot;00C7559B&quot;/&gt;&lt;wsp:rsid wsp:val=&quot;00C75E26&quot;/&gt;&lt;wsp:rsid wsp:val=&quot;00C7603D&quot;/&gt;&lt;wsp:rsid wsp:val=&quot;00C760FA&quot;/&gt;&lt;wsp:rsid wsp:val=&quot;00C76423&quot;/&gt;&lt;wsp:rsid wsp:val=&quot;00C7794E&quot;/&gt;&lt;wsp:rsid wsp:val=&quot;00C77D03&quot;/&gt;&lt;wsp:rsid wsp:val=&quot;00C77D90&quot;/&gt;&lt;wsp:rsid wsp:val=&quot;00C77EF7&quot;/&gt;&lt;wsp:rsid wsp:val=&quot;00C802BA&quot;/&gt;&lt;wsp:rsid wsp:val=&quot;00C81215&quot;/&gt;&lt;wsp:rsid wsp:val=&quot;00C8248A&quot;/&gt;&lt;wsp:rsid wsp:val=&quot;00C832E1&quot;/&gt;&lt;wsp:rsid wsp:val=&quot;00C84550&quot;/&gt;&lt;wsp:rsid wsp:val=&quot;00C85012&quot;/&gt;&lt;wsp:rsid wsp:val=&quot;00C857BC&quot;/&gt;&lt;wsp:rsid wsp:val=&quot;00C858FF&quot;/&gt;&lt;wsp:rsid wsp:val=&quot;00C866DA&quot;/&gt;&lt;wsp:rsid wsp:val=&quot;00C879ED&quot;/&gt;&lt;wsp:rsid wsp:val=&quot;00C87DAF&quot;/&gt;&lt;wsp:rsid wsp:val=&quot;00C906D5&quot;/&gt;&lt;wsp:rsid wsp:val=&quot;00C9104F&quot;/&gt;&lt;wsp:rsid wsp:val=&quot;00C91094&quot;/&gt;&lt;wsp:rsid wsp:val=&quot;00C92403&quot;/&gt;&lt;wsp:rsid wsp:val=&quot;00C92664&quot;/&gt;&lt;wsp:rsid wsp:val=&quot;00C93096&quot;/&gt;&lt;wsp:rsid wsp:val=&quot;00C93E66&quot;/&gt;&lt;wsp:rsid wsp:val=&quot;00C93FDC&quot;/&gt;&lt;wsp:rsid wsp:val=&quot;00C941A7&quot;/&gt;&lt;wsp:rsid wsp:val=&quot;00C9455D&quot;/&gt;&lt;wsp:rsid wsp:val=&quot;00C947B6&quot;/&gt;&lt;wsp:rsid wsp:val=&quot;00C9541B&quot;/&gt;&lt;wsp:rsid wsp:val=&quot;00C96047&quot;/&gt;&lt;wsp:rsid wsp:val=&quot;00C96320&quot;/&gt;&lt;wsp:rsid wsp:val=&quot;00C96CDB&quot;/&gt;&lt;wsp:rsid wsp:val=&quot;00C975D4&quot;/&gt;&lt;wsp:rsid wsp:val=&quot;00C97BC4&quot;/&gt;&lt;wsp:rsid wsp:val=&quot;00C97BF5&quot;/&gt;&lt;wsp:rsid wsp:val=&quot;00CA0344&quot;/&gt;&lt;wsp:rsid wsp:val=&quot;00CA0D79&quot;/&gt;&lt;wsp:rsid wsp:val=&quot;00CA1CB0&quot;/&gt;&lt;wsp:rsid wsp:val=&quot;00CA2063&quot;/&gt;&lt;wsp:rsid wsp:val=&quot;00CA29FB&quot;/&gt;&lt;wsp:rsid wsp:val=&quot;00CA2E56&quot;/&gt;&lt;wsp:rsid wsp:val=&quot;00CA2F52&quot;/&gt;&lt;wsp:rsid wsp:val=&quot;00CA524C&quot;/&gt;&lt;wsp:rsid wsp:val=&quot;00CA5932&quot;/&gt;&lt;wsp:rsid wsp:val=&quot;00CA6527&quot;/&gt;&lt;wsp:rsid wsp:val=&quot;00CA741A&quot;/&gt;&lt;wsp:rsid wsp:val=&quot;00CA74DE&quot;/&gt;&lt;wsp:rsid wsp:val=&quot;00CB002E&quot;/&gt;&lt;wsp:rsid wsp:val=&quot;00CB0A7E&quot;/&gt;&lt;wsp:rsid wsp:val=&quot;00CB0B64&quot;/&gt;&lt;wsp:rsid wsp:val=&quot;00CB0CB8&quot;/&gt;&lt;wsp:rsid wsp:val=&quot;00CB0EAD&quot;/&gt;&lt;wsp:rsid wsp:val=&quot;00CB1AB1&quot;/&gt;&lt;wsp:rsid wsp:val=&quot;00CB20B2&quot;/&gt;&lt;wsp:rsid wsp:val=&quot;00CB2D9A&quot;/&gt;&lt;wsp:rsid wsp:val=&quot;00CB4B0B&quot;/&gt;&lt;wsp:rsid wsp:val=&quot;00CB5535&quot;/&gt;&lt;wsp:rsid wsp:val=&quot;00CB5743&quot;/&gt;&lt;wsp:rsid wsp:val=&quot;00CB5D85&quot;/&gt;&lt;wsp:rsid wsp:val=&quot;00CB5EA6&quot;/&gt;&lt;wsp:rsid wsp:val=&quot;00CB6669&quot;/&gt;&lt;wsp:rsid wsp:val=&quot;00CB78C7&quot;/&gt;&lt;wsp:rsid wsp:val=&quot;00CC04D7&quot;/&gt;&lt;wsp:rsid wsp:val=&quot;00CC1D4A&quot;/&gt;&lt;wsp:rsid wsp:val=&quot;00CC3AC4&quot;/&gt;&lt;wsp:rsid wsp:val=&quot;00CC3DDA&quot;/&gt;&lt;wsp:rsid wsp:val=&quot;00CC49EB&quot;/&gt;&lt;wsp:rsid wsp:val=&quot;00CC593A&quot;/&gt;&lt;wsp:rsid wsp:val=&quot;00CC5C51&quot;/&gt;&lt;wsp:rsid wsp:val=&quot;00CC5E6E&quot;/&gt;&lt;wsp:rsid wsp:val=&quot;00CC602C&quot;/&gt;&lt;wsp:rsid wsp:val=&quot;00CC7356&quot;/&gt;&lt;wsp:rsid wsp:val=&quot;00CC7BAB&quot;/&gt;&lt;wsp:rsid wsp:val=&quot;00CD0350&quot;/&gt;&lt;wsp:rsid wsp:val=&quot;00CD12EF&quot;/&gt;&lt;wsp:rsid wsp:val=&quot;00CD14CD&quot;/&gt;&lt;wsp:rsid wsp:val=&quot;00CD1559&quot;/&gt;&lt;wsp:rsid wsp:val=&quot;00CD163D&quot;/&gt;&lt;wsp:rsid wsp:val=&quot;00CD2105&quot;/&gt;&lt;wsp:rsid wsp:val=&quot;00CD23E4&quot;/&gt;&lt;wsp:rsid wsp:val=&quot;00CD2990&quot;/&gt;&lt;wsp:rsid wsp:val=&quot;00CD2D6B&quot;/&gt;&lt;wsp:rsid wsp:val=&quot;00CD2FDA&quot;/&gt;&lt;wsp:rsid wsp:val=&quot;00CD3407&quot;/&gt;&lt;wsp:rsid wsp:val=&quot;00CD36E1&quot;/&gt;&lt;wsp:rsid wsp:val=&quot;00CD38BF&quot;/&gt;&lt;wsp:rsid wsp:val=&quot;00CD405F&quot;/&gt;&lt;wsp:rsid wsp:val=&quot;00CD409E&quot;/&gt;&lt;wsp:rsid wsp:val=&quot;00CD4187&quot;/&gt;&lt;wsp:rsid wsp:val=&quot;00CD45FE&quot;/&gt;&lt;wsp:rsid wsp:val=&quot;00CD4617&quot;/&gt;&lt;wsp:rsid wsp:val=&quot;00CD4EAA&quot;/&gt;&lt;wsp:rsid wsp:val=&quot;00CD6543&quot;/&gt;&lt;wsp:rsid wsp:val=&quot;00CD68FB&quot;/&gt;&lt;wsp:rsid wsp:val=&quot;00CD6F3D&quot;/&gt;&lt;wsp:rsid wsp:val=&quot;00CD74FF&quot;/&gt;&lt;wsp:rsid wsp:val=&quot;00CD7C38&quot;/&gt;&lt;wsp:rsid wsp:val=&quot;00CD7C3F&quot;/&gt;&lt;wsp:rsid wsp:val=&quot;00CE0853&quot;/&gt;&lt;wsp:rsid wsp:val=&quot;00CE0CC0&quot;/&gt;&lt;wsp:rsid wsp:val=&quot;00CE21A3&quot;/&gt;&lt;wsp:rsid wsp:val=&quot;00CE293D&quot;/&gt;&lt;wsp:rsid wsp:val=&quot;00CE29AE&quot;/&gt;&lt;wsp:rsid wsp:val=&quot;00CE348E&quot;/&gt;&lt;wsp:rsid wsp:val=&quot;00CE370F&quot;/&gt;&lt;wsp:rsid wsp:val=&quot;00CE3731&quot;/&gt;&lt;wsp:rsid wsp:val=&quot;00CE3CAE&quot;/&gt;&lt;wsp:rsid wsp:val=&quot;00CE3FAC&quot;/&gt;&lt;wsp:rsid wsp:val=&quot;00CE4306&quot;/&gt;&lt;wsp:rsid wsp:val=&quot;00CE4630&quot;/&gt;&lt;wsp:rsid wsp:val=&quot;00CE494E&quot;/&gt;&lt;wsp:rsid wsp:val=&quot;00CE4C8C&quot;/&gt;&lt;wsp:rsid wsp:val=&quot;00CE6022&quot;/&gt;&lt;wsp:rsid wsp:val=&quot;00CE6958&quot;/&gt;&lt;wsp:rsid wsp:val=&quot;00CE6CCC&quot;/&gt;&lt;wsp:rsid wsp:val=&quot;00CE72C4&quot;/&gt;&lt;wsp:rsid wsp:val=&quot;00CE7742&quot;/&gt;&lt;wsp:rsid wsp:val=&quot;00CE7E52&quot;/&gt;&lt;wsp:rsid wsp:val=&quot;00CF2683&quot;/&gt;&lt;wsp:rsid wsp:val=&quot;00CF3B21&quot;/&gt;&lt;wsp:rsid wsp:val=&quot;00CF5D82&quot;/&gt;&lt;wsp:rsid wsp:val=&quot;00CF6B4E&quot;/&gt;&lt;wsp:rsid wsp:val=&quot;00CF77B2&quot;/&gt;&lt;wsp:rsid wsp:val=&quot;00D00EDB&quot;/&gt;&lt;wsp:rsid wsp:val=&quot;00D01E3E&quot;/&gt;&lt;wsp:rsid wsp:val=&quot;00D029F9&quot;/&gt;&lt;wsp:rsid wsp:val=&quot;00D03026&quot;/&gt;&lt;wsp:rsid wsp:val=&quot;00D04545&quot;/&gt;&lt;wsp:rsid wsp:val=&quot;00D04D66&quot;/&gt;&lt;wsp:rsid wsp:val=&quot;00D050C3&quot;/&gt;&lt;wsp:rsid wsp:val=&quot;00D05744&quot;/&gt;&lt;wsp:rsid wsp:val=&quot;00D05AE3&quot;/&gt;&lt;wsp:rsid wsp:val=&quot;00D05D44&quot;/&gt;&lt;wsp:rsid wsp:val=&quot;00D06A17&quot;/&gt;&lt;wsp:rsid wsp:val=&quot;00D06D85&quot;/&gt;&lt;wsp:rsid wsp:val=&quot;00D06E06&quot;/&gt;&lt;wsp:rsid wsp:val=&quot;00D0719C&quot;/&gt;&lt;wsp:rsid wsp:val=&quot;00D0740E&quot;/&gt;&lt;wsp:rsid wsp:val=&quot;00D07632&quot;/&gt;&lt;wsp:rsid wsp:val=&quot;00D11401&quot;/&gt;&lt;wsp:rsid wsp:val=&quot;00D120BA&quot;/&gt;&lt;wsp:rsid wsp:val=&quot;00D13552&quot;/&gt;&lt;wsp:rsid wsp:val=&quot;00D136CF&quot;/&gt;&lt;wsp:rsid wsp:val=&quot;00D13986&quot;/&gt;&lt;wsp:rsid wsp:val=&quot;00D14B5F&quot;/&gt;&lt;wsp:rsid wsp:val=&quot;00D157EC&quot;/&gt;&lt;wsp:rsid wsp:val=&quot;00D15C93&quot;/&gt;&lt;wsp:rsid wsp:val=&quot;00D1612E&quot;/&gt;&lt;wsp:rsid wsp:val=&quot;00D16BD8&quot;/&gt;&lt;wsp:rsid wsp:val=&quot;00D17202&quot;/&gt;&lt;wsp:rsid wsp:val=&quot;00D179A0&quot;/&gt;&lt;wsp:rsid wsp:val=&quot;00D17EB7&quot;/&gt;&lt;wsp:rsid wsp:val=&quot;00D205A1&quot;/&gt;&lt;wsp:rsid wsp:val=&quot;00D2228E&quot;/&gt;&lt;wsp:rsid wsp:val=&quot;00D22435&quot;/&gt;&lt;wsp:rsid wsp:val=&quot;00D22A39&quot;/&gt;&lt;wsp:rsid wsp:val=&quot;00D24703&quot;/&gt;&lt;wsp:rsid wsp:val=&quot;00D25313&quot;/&gt;&lt;wsp:rsid wsp:val=&quot;00D25564&quot;/&gt;&lt;wsp:rsid wsp:val=&quot;00D25D99&quot;/&gt;&lt;wsp:rsid wsp:val=&quot;00D26852&quot;/&gt;&lt;wsp:rsid wsp:val=&quot;00D26F89&quot;/&gt;&lt;wsp:rsid wsp:val=&quot;00D27B81&quot;/&gt;&lt;wsp:rsid wsp:val=&quot;00D30539&quot;/&gt;&lt;wsp:rsid wsp:val=&quot;00D30607&quot;/&gt;&lt;wsp:rsid wsp:val=&quot;00D30872&quot;/&gt;&lt;wsp:rsid wsp:val=&quot;00D30A6A&quot;/&gt;&lt;wsp:rsid wsp:val=&quot;00D316CF&quot;/&gt;&lt;wsp:rsid wsp:val=&quot;00D31CD2&quot;/&gt;&lt;wsp:rsid wsp:val=&quot;00D31DB7&quot;/&gt;&lt;wsp:rsid wsp:val=&quot;00D32473&quot;/&gt;&lt;wsp:rsid wsp:val=&quot;00D32653&quot;/&gt;&lt;wsp:rsid wsp:val=&quot;00D32AFF&quot;/&gt;&lt;wsp:rsid wsp:val=&quot;00D32F17&quot;/&gt;&lt;wsp:rsid wsp:val=&quot;00D33A0B&quot;/&gt;&lt;wsp:rsid wsp:val=&quot;00D3455C&quot;/&gt;&lt;wsp:rsid wsp:val=&quot;00D348A2&quot;/&gt;&lt;wsp:rsid wsp:val=&quot;00D35357&quot;/&gt;&lt;wsp:rsid wsp:val=&quot;00D3562D&quot;/&gt;&lt;wsp:rsid wsp:val=&quot;00D36089&quot;/&gt;&lt;wsp:rsid wsp:val=&quot;00D361EA&quot;/&gt;&lt;wsp:rsid wsp:val=&quot;00D37ED3&quot;/&gt;&lt;wsp:rsid wsp:val=&quot;00D40748&quot;/&gt;&lt;wsp:rsid wsp:val=&quot;00D41274&quot;/&gt;&lt;wsp:rsid wsp:val=&quot;00D4143A&quot;/&gt;&lt;wsp:rsid wsp:val=&quot;00D415D3&quot;/&gt;&lt;wsp:rsid wsp:val=&quot;00D42729&quot;/&gt;&lt;wsp:rsid wsp:val=&quot;00D429F2&quot;/&gt;&lt;wsp:rsid wsp:val=&quot;00D42F06&quot;/&gt;&lt;wsp:rsid wsp:val=&quot;00D43958&quot;/&gt;&lt;wsp:rsid wsp:val=&quot;00D4613C&quot;/&gt;&lt;wsp:rsid wsp:val=&quot;00D46AE0&quot;/&gt;&lt;wsp:rsid wsp:val=&quot;00D47BEE&quot;/&gt;&lt;wsp:rsid wsp:val=&quot;00D47E2B&quot;/&gt;&lt;wsp:rsid wsp:val=&quot;00D50047&quot;/&gt;&lt;wsp:rsid wsp:val=&quot;00D5036F&quot;/&gt;&lt;wsp:rsid wsp:val=&quot;00D506D4&quot;/&gt;&lt;wsp:rsid wsp:val=&quot;00D50A72&quot;/&gt;&lt;wsp:rsid wsp:val=&quot;00D51945&quot;/&gt;&lt;wsp:rsid wsp:val=&quot;00D5236F&quot;/&gt;&lt;wsp:rsid wsp:val=&quot;00D52A3F&quot;/&gt;&lt;wsp:rsid wsp:val=&quot;00D539BA&quot;/&gt;&lt;wsp:rsid wsp:val=&quot;00D543E8&quot;/&gt;&lt;wsp:rsid wsp:val=&quot;00D54544&quot;/&gt;&lt;wsp:rsid wsp:val=&quot;00D54C6E&quot;/&gt;&lt;wsp:rsid wsp:val=&quot;00D55029&quot;/&gt;&lt;wsp:rsid wsp:val=&quot;00D57CF3&quot;/&gt;&lt;wsp:rsid wsp:val=&quot;00D60BF3&quot;/&gt;&lt;wsp:rsid wsp:val=&quot;00D61FC0&quot;/&gt;&lt;wsp:rsid wsp:val=&quot;00D63F60&quot;/&gt;&lt;wsp:rsid wsp:val=&quot;00D64778&quot;/&gt;&lt;wsp:rsid wsp:val=&quot;00D64FA4&quot;/&gt;&lt;wsp:rsid wsp:val=&quot;00D659ED&quot;/&gt;&lt;wsp:rsid wsp:val=&quot;00D65EC2&quot;/&gt;&lt;wsp:rsid wsp:val=&quot;00D66C3F&quot;/&gt;&lt;wsp:rsid wsp:val=&quot;00D67B48&quot;/&gt;&lt;wsp:rsid wsp:val=&quot;00D700B0&quot;/&gt;&lt;wsp:rsid wsp:val=&quot;00D70D97&quot;/&gt;&lt;wsp:rsid wsp:val=&quot;00D711F4&quot;/&gt;&lt;wsp:rsid wsp:val=&quot;00D719C0&quot;/&gt;&lt;wsp:rsid wsp:val=&quot;00D73986&quot;/&gt;&lt;wsp:rsid wsp:val=&quot;00D747C0&quot;/&gt;&lt;wsp:rsid wsp:val=&quot;00D74B48&quot;/&gt;&lt;wsp:rsid wsp:val=&quot;00D76935&quot;/&gt;&lt;wsp:rsid wsp:val=&quot;00D76BDD&quot;/&gt;&lt;wsp:rsid wsp:val=&quot;00D7753D&quot;/&gt;&lt;wsp:rsid wsp:val=&quot;00D77DCB&quot;/&gt;&lt;wsp:rsid wsp:val=&quot;00D80340&quot;/&gt;&lt;wsp:rsid wsp:val=&quot;00D80DB2&quot;/&gt;&lt;wsp:rsid wsp:val=&quot;00D81582&quot;/&gt;&lt;wsp:rsid wsp:val=&quot;00D81BD2&quot;/&gt;&lt;wsp:rsid wsp:val=&quot;00D8256F&quot;/&gt;&lt;wsp:rsid wsp:val=&quot;00D82B90&quot;/&gt;&lt;wsp:rsid wsp:val=&quot;00D82BA2&quot;/&gt;&lt;wsp:rsid wsp:val=&quot;00D82C7A&quot;/&gt;&lt;wsp:rsid wsp:val=&quot;00D83422&quot;/&gt;&lt;wsp:rsid wsp:val=&quot;00D835A7&quot;/&gt;&lt;wsp:rsid wsp:val=&quot;00D83680&quot;/&gt;&lt;wsp:rsid wsp:val=&quot;00D85DF3&quot;/&gt;&lt;wsp:rsid wsp:val=&quot;00D8613F&quot;/&gt;&lt;wsp:rsid wsp:val=&quot;00D865E2&quot;/&gt;&lt;wsp:rsid wsp:val=&quot;00D86E97&quot;/&gt;&lt;wsp:rsid wsp:val=&quot;00D870E2&quot;/&gt;&lt;wsp:rsid wsp:val=&quot;00D8730B&quot;/&gt;&lt;wsp:rsid wsp:val=&quot;00D8760B&quot;/&gt;&lt;wsp:rsid wsp:val=&quot;00D87DF3&quot;/&gt;&lt;wsp:rsid wsp:val=&quot;00D903A4&quot;/&gt;&lt;wsp:rsid wsp:val=&quot;00D9051B&quot;/&gt;&lt;wsp:rsid wsp:val=&quot;00D92105&quot;/&gt;&lt;wsp:rsid wsp:val=&quot;00D9364E&quot;/&gt;&lt;wsp:rsid wsp:val=&quot;00D93B21&quot;/&gt;&lt;wsp:rsid wsp:val=&quot;00D94E0D&quot;/&gt;&lt;wsp:rsid wsp:val=&quot;00D9507A&quot;/&gt;&lt;wsp:rsid wsp:val=&quot;00D954CA&quot;/&gt;&lt;wsp:rsid wsp:val=&quot;00D969BC&quot;/&gt;&lt;wsp:rsid wsp:val=&quot;00D97267&quot;/&gt;&lt;wsp:rsid wsp:val=&quot;00D972F2&quot;/&gt;&lt;wsp:rsid wsp:val=&quot;00D978C9&quot;/&gt;&lt;wsp:rsid wsp:val=&quot;00D97CE1&quot;/&gt;&lt;wsp:rsid wsp:val=&quot;00DA0FD5&quot;/&gt;&lt;wsp:rsid wsp:val=&quot;00DA10E4&quot;/&gt;&lt;wsp:rsid wsp:val=&quot;00DA25C3&quot;/&gt;&lt;wsp:rsid wsp:val=&quot;00DA3007&quot;/&gt;&lt;wsp:rsid wsp:val=&quot;00DA37EE&quot;/&gt;&lt;wsp:rsid wsp:val=&quot;00DA3AC5&quot;/&gt;&lt;wsp:rsid wsp:val=&quot;00DA3F80&quot;/&gt;&lt;wsp:rsid wsp:val=&quot;00DA43CC&quot;/&gt;&lt;wsp:rsid wsp:val=&quot;00DA4D67&quot;/&gt;&lt;wsp:rsid wsp:val=&quot;00DA5805&quot;/&gt;&lt;wsp:rsid wsp:val=&quot;00DA6356&quot;/&gt;&lt;wsp:rsid wsp:val=&quot;00DA657E&quot;/&gt;&lt;wsp:rsid wsp:val=&quot;00DA755A&quot;/&gt;&lt;wsp:rsid wsp:val=&quot;00DA78E9&quot;/&gt;&lt;wsp:rsid wsp:val=&quot;00DB00BF&quot;/&gt;&lt;wsp:rsid wsp:val=&quot;00DB071F&quot;/&gt;&lt;wsp:rsid wsp:val=&quot;00DB168C&quot;/&gt;&lt;wsp:rsid wsp:val=&quot;00DB1859&quot;/&gt;&lt;wsp:rsid wsp:val=&quot;00DB1FAC&quot;/&gt;&lt;wsp:rsid wsp:val=&quot;00DB2257&quot;/&gt;&lt;wsp:rsid wsp:val=&quot;00DB26F7&quot;/&gt;&lt;wsp:rsid wsp:val=&quot;00DB332E&quot;/&gt;&lt;wsp:rsid wsp:val=&quot;00DB37DD&quot;/&gt;&lt;wsp:rsid wsp:val=&quot;00DB3809&quot;/&gt;&lt;wsp:rsid wsp:val=&quot;00DB38C7&quot;/&gt;&lt;wsp:rsid wsp:val=&quot;00DB3FBC&quot;/&gt;&lt;wsp:rsid wsp:val=&quot;00DB4F61&quot;/&gt;&lt;wsp:rsid wsp:val=&quot;00DB5B10&quot;/&gt;&lt;wsp:rsid wsp:val=&quot;00DB5E0C&quot;/&gt;&lt;wsp:rsid wsp:val=&quot;00DB640A&quot;/&gt;&lt;wsp:rsid wsp:val=&quot;00DB6935&quot;/&gt;&lt;wsp:rsid wsp:val=&quot;00DB6BD0&quot;/&gt;&lt;wsp:rsid wsp:val=&quot;00DB6C13&quot;/&gt;&lt;wsp:rsid wsp:val=&quot;00DB75A6&quot;/&gt;&lt;wsp:rsid wsp:val=&quot;00DB76F1&quot;/&gt;&lt;wsp:rsid wsp:val=&quot;00DC160F&quot;/&gt;&lt;wsp:rsid wsp:val=&quot;00DC1EB7&quot;/&gt;&lt;wsp:rsid wsp:val=&quot;00DC21A7&quot;/&gt;&lt;wsp:rsid wsp:val=&quot;00DC288C&quot;/&gt;&lt;wsp:rsid wsp:val=&quot;00DC2FC2&quot;/&gt;&lt;wsp:rsid wsp:val=&quot;00DC384A&quot;/&gt;&lt;wsp:rsid wsp:val=&quot;00DC43A4&quot;/&gt;&lt;wsp:rsid wsp:val=&quot;00DC6279&quot;/&gt;&lt;wsp:rsid wsp:val=&quot;00DC6394&quot;/&gt;&lt;wsp:rsid wsp:val=&quot;00DC6938&quot;/&gt;&lt;wsp:rsid wsp:val=&quot;00DD06AA&quot;/&gt;&lt;wsp:rsid wsp:val=&quot;00DD06CE&quot;/&gt;&lt;wsp:rsid wsp:val=&quot;00DD1798&quot;/&gt;&lt;wsp:rsid wsp:val=&quot;00DD1A70&quot;/&gt;&lt;wsp:rsid wsp:val=&quot;00DD236E&quot;/&gt;&lt;wsp:rsid wsp:val=&quot;00DD45B2&quot;/&gt;&lt;wsp:rsid wsp:val=&quot;00DD529B&quot;/&gt;&lt;wsp:rsid wsp:val=&quot;00DD5C78&quot;/&gt;&lt;wsp:rsid wsp:val=&quot;00DD6D9E&quot;/&gt;&lt;wsp:rsid wsp:val=&quot;00DD7101&quot;/&gt;&lt;wsp:rsid wsp:val=&quot;00DD76B8&quot;/&gt;&lt;wsp:rsid wsp:val=&quot;00DE0058&quot;/&gt;&lt;wsp:rsid wsp:val=&quot;00DE008D&quot;/&gt;&lt;wsp:rsid wsp:val=&quot;00DE054D&quot;/&gt;&lt;wsp:rsid wsp:val=&quot;00DE0570&quot;/&gt;&lt;wsp:rsid wsp:val=&quot;00DE06A4&quot;/&gt;&lt;wsp:rsid wsp:val=&quot;00DE0FF6&quot;/&gt;&lt;wsp:rsid wsp:val=&quot;00DE1C11&quot;/&gt;&lt;wsp:rsid wsp:val=&quot;00DE1E5B&quot;/&gt;&lt;wsp:rsid wsp:val=&quot;00DE282F&quot;/&gt;&lt;wsp:rsid wsp:val=&quot;00DE2A55&quot;/&gt;&lt;wsp:rsid wsp:val=&quot;00DE2AFE&quot;/&gt;&lt;wsp:rsid wsp:val=&quot;00DE2CF2&quot;/&gt;&lt;wsp:rsid wsp:val=&quot;00DE318E&quot;/&gt;&lt;wsp:rsid wsp:val=&quot;00DE31E4&quot;/&gt;&lt;wsp:rsid wsp:val=&quot;00DE3660&quot;/&gt;&lt;wsp:rsid wsp:val=&quot;00DE3CCE&quot;/&gt;&lt;wsp:rsid wsp:val=&quot;00DE42B5&quot;/&gt;&lt;wsp:rsid wsp:val=&quot;00DE56F7&quot;/&gt;&lt;wsp:rsid wsp:val=&quot;00DE578F&quot;/&gt;&lt;wsp:rsid wsp:val=&quot;00DE6F87&quot;/&gt;&lt;wsp:rsid wsp:val=&quot;00DE7246&quot;/&gt;&lt;wsp:rsid wsp:val=&quot;00DE7255&quot;/&gt;&lt;wsp:rsid wsp:val=&quot;00DE72DD&quot;/&gt;&lt;wsp:rsid wsp:val=&quot;00DF012A&quot;/&gt;&lt;wsp:rsid wsp:val=&quot;00DF01A8&quot;/&gt;&lt;wsp:rsid wsp:val=&quot;00DF0398&quot;/&gt;&lt;wsp:rsid wsp:val=&quot;00DF06B8&quot;/&gt;&lt;wsp:rsid wsp:val=&quot;00DF07D6&quot;/&gt;&lt;wsp:rsid wsp:val=&quot;00DF0DD8&quot;/&gt;&lt;wsp:rsid wsp:val=&quot;00DF2E23&quot;/&gt;&lt;wsp:rsid wsp:val=&quot;00DF2EAE&quot;/&gt;&lt;wsp:rsid wsp:val=&quot;00DF4EC1&quot;/&gt;&lt;wsp:rsid wsp:val=&quot;00DF5098&quot;/&gt;&lt;wsp:rsid wsp:val=&quot;00DF5165&quot;/&gt;&lt;wsp:rsid wsp:val=&quot;00DF59C4&quot;/&gt;&lt;wsp:rsid wsp:val=&quot;00DF5FC2&quot;/&gt;&lt;wsp:rsid wsp:val=&quot;00DF6310&quot;/&gt;&lt;wsp:rsid wsp:val=&quot;00DF65A9&quot;/&gt;&lt;wsp:rsid wsp:val=&quot;00DF7AF5&quot;/&gt;&lt;wsp:rsid wsp:val=&quot;00DF7ED9&quot;/&gt;&lt;wsp:rsid wsp:val=&quot;00E00AD1&quot;/&gt;&lt;wsp:rsid wsp:val=&quot;00E01050&quot;/&gt;&lt;wsp:rsid wsp:val=&quot;00E02F2B&quot;/&gt;&lt;wsp:rsid wsp:val=&quot;00E03B48&quot;/&gt;&lt;wsp:rsid wsp:val=&quot;00E05162&quot;/&gt;&lt;wsp:rsid wsp:val=&quot;00E053D0&quot;/&gt;&lt;wsp:rsid wsp:val=&quot;00E05E0E&quot;/&gt;&lt;wsp:rsid wsp:val=&quot;00E07222&quot;/&gt;&lt;wsp:rsid wsp:val=&quot;00E07447&quot;/&gt;&lt;wsp:rsid wsp:val=&quot;00E07688&quot;/&gt;&lt;wsp:rsid wsp:val=&quot;00E112E2&quot;/&gt;&lt;wsp:rsid wsp:val=&quot;00E11819&quot;/&gt;&lt;wsp:rsid wsp:val=&quot;00E1318C&quot;/&gt;&lt;wsp:rsid wsp:val=&quot;00E13207&quot;/&gt;&lt;wsp:rsid wsp:val=&quot;00E137BA&quot;/&gt;&lt;wsp:rsid wsp:val=&quot;00E1396D&quot;/&gt;&lt;wsp:rsid wsp:val=&quot;00E13F26&quot;/&gt;&lt;wsp:rsid wsp:val=&quot;00E14130&quot;/&gt;&lt;wsp:rsid wsp:val=&quot;00E145ED&quot;/&gt;&lt;wsp:rsid wsp:val=&quot;00E14F14&quot;/&gt;&lt;wsp:rsid wsp:val=&quot;00E1592A&quot;/&gt;&lt;wsp:rsid wsp:val=&quot;00E15F95&quot;/&gt;&lt;wsp:rsid wsp:val=&quot;00E16EA1&quot;/&gt;&lt;wsp:rsid wsp:val=&quot;00E17AAC&quot;/&gt;&lt;wsp:rsid wsp:val=&quot;00E17D7C&quot;/&gt;&lt;wsp:rsid wsp:val=&quot;00E2006D&quot;/&gt;&lt;wsp:rsid wsp:val=&quot;00E20419&quot;/&gt;&lt;wsp:rsid wsp:val=&quot;00E2351B&quot;/&gt;&lt;wsp:rsid wsp:val=&quot;00E2368C&quot;/&gt;&lt;wsp:rsid wsp:val=&quot;00E239EB&quot;/&gt;&lt;wsp:rsid wsp:val=&quot;00E254A5&quot;/&gt;&lt;wsp:rsid wsp:val=&quot;00E263E8&quot;/&gt;&lt;wsp:rsid wsp:val=&quot;00E2697B&quot;/&gt;&lt;wsp:rsid wsp:val=&quot;00E27857&quot;/&gt;&lt;wsp:rsid wsp:val=&quot;00E278F6&quot;/&gt;&lt;wsp:rsid wsp:val=&quot;00E3104C&quot;/&gt;&lt;wsp:rsid wsp:val=&quot;00E31D1B&quot;/&gt;&lt;wsp:rsid wsp:val=&quot;00E32236&quot;/&gt;&lt;wsp:rsid wsp:val=&quot;00E325E6&quot;/&gt;&lt;wsp:rsid wsp:val=&quot;00E3287B&quot;/&gt;&lt;wsp:rsid wsp:val=&quot;00E32C5D&quot;/&gt;&lt;wsp:rsid wsp:val=&quot;00E345DC&quot;/&gt;&lt;wsp:rsid wsp:val=&quot;00E353DC&quot;/&gt;&lt;wsp:rsid wsp:val=&quot;00E35AF5&quot;/&gt;&lt;wsp:rsid wsp:val=&quot;00E3717B&quot;/&gt;&lt;wsp:rsid wsp:val=&quot;00E377DA&quot;/&gt;&lt;wsp:rsid wsp:val=&quot;00E379F8&quot;/&gt;&lt;wsp:rsid wsp:val=&quot;00E37C85&quot;/&gt;&lt;wsp:rsid wsp:val=&quot;00E405DB&quot;/&gt;&lt;wsp:rsid wsp:val=&quot;00E40A48&quot;/&gt;&lt;wsp:rsid wsp:val=&quot;00E414EB&quot;/&gt;&lt;wsp:rsid wsp:val=&quot;00E4198D&quot;/&gt;&lt;wsp:rsid wsp:val=&quot;00E42989&quot;/&gt;&lt;wsp:rsid wsp:val=&quot;00E43236&quot;/&gt;&lt;wsp:rsid wsp:val=&quot;00E436EB&quot;/&gt;&lt;wsp:rsid wsp:val=&quot;00E45170&quot;/&gt;&lt;wsp:rsid wsp:val=&quot;00E455DE&quot;/&gt;&lt;wsp:rsid wsp:val=&quot;00E45F6A&quot;/&gt;&lt;wsp:rsid wsp:val=&quot;00E4686A&quot;/&gt;&lt;wsp:rsid wsp:val=&quot;00E4789F&quot;/&gt;&lt;wsp:rsid wsp:val=&quot;00E47AAD&quot;/&gt;&lt;wsp:rsid wsp:val=&quot;00E47EEC&quot;/&gt;&lt;wsp:rsid wsp:val=&quot;00E50344&quot;/&gt;&lt;wsp:rsid wsp:val=&quot;00E50A15&quot;/&gt;&lt;wsp:rsid wsp:val=&quot;00E52451&quot;/&gt;&lt;wsp:rsid wsp:val=&quot;00E5253A&quot;/&gt;&lt;wsp:rsid wsp:val=&quot;00E5268E&quot;/&gt;&lt;wsp:rsid wsp:val=&quot;00E53B2F&quot;/&gt;&lt;wsp:rsid wsp:val=&quot;00E549D3&quot;/&gt;&lt;wsp:rsid wsp:val=&quot;00E54CB9&quot;/&gt;&lt;wsp:rsid wsp:val=&quot;00E54CD7&quot;/&gt;&lt;wsp:rsid wsp:val=&quot;00E5634B&quot;/&gt;&lt;wsp:rsid wsp:val=&quot;00E56DEF&quot;/&gt;&lt;wsp:rsid wsp:val=&quot;00E575D8&quot;/&gt;&lt;wsp:rsid wsp:val=&quot;00E575E1&quot;/&gt;&lt;wsp:rsid wsp:val=&quot;00E57BBA&quot;/&gt;&lt;wsp:rsid wsp:val=&quot;00E603C1&quot;/&gt;&lt;wsp:rsid wsp:val=&quot;00E614A8&quot;/&gt;&lt;wsp:rsid wsp:val=&quot;00E6219F&quot;/&gt;&lt;wsp:rsid wsp:val=&quot;00E6368A&quot;/&gt;&lt;wsp:rsid wsp:val=&quot;00E66F09&quot;/&gt;&lt;wsp:rsid wsp:val=&quot;00E67168&quot;/&gt;&lt;wsp:rsid wsp:val=&quot;00E70C81&quot;/&gt;&lt;wsp:rsid wsp:val=&quot;00E711DF&quot;/&gt;&lt;wsp:rsid wsp:val=&quot;00E719CD&quot;/&gt;&lt;wsp:rsid wsp:val=&quot;00E71A2B&quot;/&gt;&lt;wsp:rsid wsp:val=&quot;00E72272&quot;/&gt;&lt;wsp:rsid wsp:val=&quot;00E7239F&quot;/&gt;&lt;wsp:rsid wsp:val=&quot;00E7242E&quot;/&gt;&lt;wsp:rsid wsp:val=&quot;00E72433&quot;/&gt;&lt;wsp:rsid wsp:val=&quot;00E7272F&quot;/&gt;&lt;wsp:rsid wsp:val=&quot;00E72746&quot;/&gt;&lt;wsp:rsid wsp:val=&quot;00E7275B&quot;/&gt;&lt;wsp:rsid wsp:val=&quot;00E72889&quot;/&gt;&lt;wsp:rsid wsp:val=&quot;00E729F5&quot;/&gt;&lt;wsp:rsid wsp:val=&quot;00E731A6&quot;/&gt;&lt;wsp:rsid wsp:val=&quot;00E7445E&quot;/&gt;&lt;wsp:rsid wsp:val=&quot;00E7554C&quot;/&gt;&lt;wsp:rsid wsp:val=&quot;00E75633&quot;/&gt;&lt;wsp:rsid wsp:val=&quot;00E75B7B&quot;/&gt;&lt;wsp:rsid wsp:val=&quot;00E7642D&quot;/&gt;&lt;wsp:rsid wsp:val=&quot;00E76530&quot;/&gt;&lt;wsp:rsid wsp:val=&quot;00E76862&quot;/&gt;&lt;wsp:rsid wsp:val=&quot;00E76BC9&quot;/&gt;&lt;wsp:rsid wsp:val=&quot;00E81745&quot;/&gt;&lt;wsp:rsid wsp:val=&quot;00E8195E&quot;/&gt;&lt;wsp:rsid wsp:val=&quot;00E819BC&quot;/&gt;&lt;wsp:rsid wsp:val=&quot;00E82B4A&quot;/&gt;&lt;wsp:rsid wsp:val=&quot;00E842D8&quot;/&gt;&lt;wsp:rsid wsp:val=&quot;00E86C65&quot;/&gt;&lt;wsp:rsid wsp:val=&quot;00E86D2D&quot;/&gt;&lt;wsp:rsid wsp:val=&quot;00E904A5&quot;/&gt;&lt;wsp:rsid wsp:val=&quot;00E913C5&quot;/&gt;&lt;wsp:rsid wsp:val=&quot;00E91DAF&quot;/&gt;&lt;wsp:rsid wsp:val=&quot;00E91EB4&quot;/&gt;&lt;wsp:rsid wsp:val=&quot;00E91F73&quot;/&gt;&lt;wsp:rsid wsp:val=&quot;00E92B7D&quot;/&gt;&lt;wsp:rsid wsp:val=&quot;00E9439C&quot;/&gt;&lt;wsp:rsid wsp:val=&quot;00E944EB&quot;/&gt;&lt;wsp:rsid wsp:val=&quot;00E94845&quot;/&gt;&lt;wsp:rsid wsp:val=&quot;00E94A79&quot;/&gt;&lt;wsp:rsid wsp:val=&quot;00E9577E&quot;/&gt;&lt;wsp:rsid wsp:val=&quot;00E9580B&quot;/&gt;&lt;wsp:rsid wsp:val=&quot;00E964AC&quot;/&gt;&lt;wsp:rsid wsp:val=&quot;00E96840&quot;/&gt;&lt;wsp:rsid wsp:val=&quot;00E97E58&quot;/&gt;&lt;wsp:rsid wsp:val=&quot;00EA053E&quot;/&gt;&lt;wsp:rsid wsp:val=&quot;00EA0FED&quot;/&gt;&lt;wsp:rsid wsp:val=&quot;00EA1BE9&quot;/&gt;&lt;wsp:rsid wsp:val=&quot;00EA369C&quot;/&gt;&lt;wsp:rsid wsp:val=&quot;00EA44F0&quot;/&gt;&lt;wsp:rsid wsp:val=&quot;00EA45FC&quot;/&gt;&lt;wsp:rsid wsp:val=&quot;00EA4A83&quot;/&gt;&lt;wsp:rsid wsp:val=&quot;00EA51DB&quot;/&gt;&lt;wsp:rsid wsp:val=&quot;00EA554E&quot;/&gt;&lt;wsp:rsid wsp:val=&quot;00EA5DE7&quot;/&gt;&lt;wsp:rsid wsp:val=&quot;00EA5E73&quot;/&gt;&lt;wsp:rsid wsp:val=&quot;00EA630B&quot;/&gt;&lt;wsp:rsid wsp:val=&quot;00EA7C19&quot;/&gt;&lt;wsp:rsid wsp:val=&quot;00EB01C5&quot;/&gt;&lt;wsp:rsid wsp:val=&quot;00EB0277&quot;/&gt;&lt;wsp:rsid wsp:val=&quot;00EB0FBD&quot;/&gt;&lt;wsp:rsid wsp:val=&quot;00EB2FEE&quot;/&gt;&lt;wsp:rsid wsp:val=&quot;00EB3020&quot;/&gt;&lt;wsp:rsid wsp:val=&quot;00EB4C4C&quot;/&gt;&lt;wsp:rsid wsp:val=&quot;00EB4C5E&quot;/&gt;&lt;wsp:rsid wsp:val=&quot;00EB4D19&quot;/&gt;&lt;wsp:rsid wsp:val=&quot;00EB4FA4&quot;/&gt;&lt;wsp:rsid wsp:val=&quot;00EB574E&quot;/&gt;&lt;wsp:rsid wsp:val=&quot;00EB5C37&quot;/&gt;&lt;wsp:rsid wsp:val=&quot;00EB7136&quot;/&gt;&lt;wsp:rsid wsp:val=&quot;00EB76CE&quot;/&gt;&lt;wsp:rsid wsp:val=&quot;00EC095E&quot;/&gt;&lt;wsp:rsid wsp:val=&quot;00EC09E0&quot;/&gt;&lt;wsp:rsid wsp:val=&quot;00EC171F&quot;/&gt;&lt;wsp:rsid wsp:val=&quot;00EC18AD&quot;/&gt;&lt;wsp:rsid wsp:val=&quot;00EC192D&quot;/&gt;&lt;wsp:rsid wsp:val=&quot;00EC2572&quot;/&gt;&lt;wsp:rsid wsp:val=&quot;00EC26C2&quot;/&gt;&lt;wsp:rsid wsp:val=&quot;00EC3DAE&quot;/&gt;&lt;wsp:rsid wsp:val=&quot;00EC5BDC&quot;/&gt;&lt;wsp:rsid wsp:val=&quot;00EC5E9D&quot;/&gt;&lt;wsp:rsid wsp:val=&quot;00EC66CC&quot;/&gt;&lt;wsp:rsid wsp:val=&quot;00EC7175&quot;/&gt;&lt;wsp:rsid wsp:val=&quot;00EC73B4&quot;/&gt;&lt;wsp:rsid wsp:val=&quot;00ED082C&quot;/&gt;&lt;wsp:rsid wsp:val=&quot;00ED12A5&quot;/&gt;&lt;wsp:rsid wsp:val=&quot;00ED14D9&quot;/&gt;&lt;wsp:rsid wsp:val=&quot;00ED3FAD&quot;/&gt;&lt;wsp:rsid wsp:val=&quot;00ED4BA9&quot;/&gt;&lt;wsp:rsid wsp:val=&quot;00ED4E37&quot;/&gt;&lt;wsp:rsid wsp:val=&quot;00ED4F9E&quot;/&gt;&lt;wsp:rsid wsp:val=&quot;00ED6F3F&quot;/&gt;&lt;wsp:rsid wsp:val=&quot;00ED7B79&quot;/&gt;&lt;wsp:rsid wsp:val=&quot;00EE0AE4&quot;/&gt;&lt;wsp:rsid wsp:val=&quot;00EE15FC&quot;/&gt;&lt;wsp:rsid wsp:val=&quot;00EE32B0&quot;/&gt;&lt;wsp:rsid wsp:val=&quot;00EE3365&quot;/&gt;&lt;wsp:rsid wsp:val=&quot;00EE4DB0&quot;/&gt;&lt;wsp:rsid wsp:val=&quot;00EE55DB&quot;/&gt;&lt;wsp:rsid wsp:val=&quot;00EE5A0F&quot;/&gt;&lt;wsp:rsid wsp:val=&quot;00EE7344&quot;/&gt;&lt;wsp:rsid wsp:val=&quot;00EE7E23&quot;/&gt;&lt;wsp:rsid wsp:val=&quot;00EF0651&quot;/&gt;&lt;wsp:rsid wsp:val=&quot;00EF1843&quot;/&gt;&lt;wsp:rsid wsp:val=&quot;00EF1EE2&quot;/&gt;&lt;wsp:rsid wsp:val=&quot;00EF212E&quot;/&gt;&lt;wsp:rsid wsp:val=&quot;00EF2499&quot;/&gt;&lt;wsp:rsid wsp:val=&quot;00EF26F0&quot;/&gt;&lt;wsp:rsid wsp:val=&quot;00EF3159&quot;/&gt;&lt;wsp:rsid wsp:val=&quot;00EF3A46&quot;/&gt;&lt;wsp:rsid wsp:val=&quot;00EF48D8&quot;/&gt;&lt;wsp:rsid wsp:val=&quot;00EF64C6&quot;/&gt;&lt;wsp:rsid wsp:val=&quot;00EF6717&quot;/&gt;&lt;wsp:rsid wsp:val=&quot;00EF69E9&quot;/&gt;&lt;wsp:rsid wsp:val=&quot;00EF6EB0&quot;/&gt;&lt;wsp:rsid wsp:val=&quot;00EF714C&quot;/&gt;&lt;wsp:rsid wsp:val=&quot;00EF7EEF&quot;/&gt;&lt;wsp:rsid wsp:val=&quot;00F00333&quot;/&gt;&lt;wsp:rsid wsp:val=&quot;00F003D2&quot;/&gt;&lt;wsp:rsid wsp:val=&quot;00F006BC&quot;/&gt;&lt;wsp:rsid wsp:val=&quot;00F01033&quot;/&gt;&lt;wsp:rsid wsp:val=&quot;00F0108D&quot;/&gt;&lt;wsp:rsid wsp:val=&quot;00F0226A&quot;/&gt;&lt;wsp:rsid wsp:val=&quot;00F02C48&quot;/&gt;&lt;wsp:rsid wsp:val=&quot;00F04C04&quot;/&gt;&lt;wsp:rsid wsp:val=&quot;00F05A3A&quot;/&gt;&lt;wsp:rsid wsp:val=&quot;00F076D3&quot;/&gt;&lt;wsp:rsid wsp:val=&quot;00F077E0&quot;/&gt;&lt;wsp:rsid wsp:val=&quot;00F10982&quot;/&gt;&lt;wsp:rsid wsp:val=&quot;00F112BE&quot;/&gt;&lt;wsp:rsid wsp:val=&quot;00F116E9&quot;/&gt;&lt;wsp:rsid wsp:val=&quot;00F11BEE&quot;/&gt;&lt;wsp:rsid wsp:val=&quot;00F11F1A&quot;/&gt;&lt;wsp:rsid wsp:val=&quot;00F1275B&quot;/&gt;&lt;wsp:rsid wsp:val=&quot;00F12A77&quot;/&gt;&lt;wsp:rsid wsp:val=&quot;00F149C1&quot;/&gt;&lt;wsp:rsid wsp:val=&quot;00F15227&quot;/&gt;&lt;wsp:rsid wsp:val=&quot;00F15505&quot;/&gt;&lt;wsp:rsid wsp:val=&quot;00F15D47&quot;/&gt;&lt;wsp:rsid wsp:val=&quot;00F15FBC&quot;/&gt;&lt;wsp:rsid wsp:val=&quot;00F161C0&quot;/&gt;&lt;wsp:rsid wsp:val=&quot;00F167B0&quot;/&gt;&lt;wsp:rsid wsp:val=&quot;00F16D83&quot;/&gt;&lt;wsp:rsid wsp:val=&quot;00F17AC0&quot;/&gt;&lt;wsp:rsid wsp:val=&quot;00F20316&quot;/&gt;&lt;wsp:rsid wsp:val=&quot;00F20614&quot;/&gt;&lt;wsp:rsid wsp:val=&quot;00F20A6A&quot;/&gt;&lt;wsp:rsid wsp:val=&quot;00F224FB&quot;/&gt;&lt;wsp:rsid wsp:val=&quot;00F229F6&quot;/&gt;&lt;wsp:rsid wsp:val=&quot;00F22C20&quot;/&gt;&lt;wsp:rsid wsp:val=&quot;00F23C3B&quot;/&gt;&lt;wsp:rsid wsp:val=&quot;00F26C97&quot;/&gt;&lt;wsp:rsid wsp:val=&quot;00F27827&quot;/&gt;&lt;wsp:rsid wsp:val=&quot;00F27885&quot;/&gt;&lt;wsp:rsid wsp:val=&quot;00F30FD9&quot;/&gt;&lt;wsp:rsid wsp:val=&quot;00F32934&quot;/&gt;&lt;wsp:rsid wsp:val=&quot;00F32CDF&quot;/&gt;&lt;wsp:rsid wsp:val=&quot;00F3422B&quot;/&gt;&lt;wsp:rsid wsp:val=&quot;00F35BC2&quot;/&gt;&lt;wsp:rsid wsp:val=&quot;00F36304&quot;/&gt;&lt;wsp:rsid wsp:val=&quot;00F36F36&quot;/&gt;&lt;wsp:rsid wsp:val=&quot;00F37D04&quot;/&gt;&lt;wsp:rsid wsp:val=&quot;00F4103D&quot;/&gt;&lt;wsp:rsid wsp:val=&quot;00F41338&quot;/&gt;&lt;wsp:rsid wsp:val=&quot;00F4135A&quot;/&gt;&lt;wsp:rsid wsp:val=&quot;00F42323&quot;/&gt;&lt;wsp:rsid wsp:val=&quot;00F42EB1&quot;/&gt;&lt;wsp:rsid wsp:val=&quot;00F4361F&quot;/&gt;&lt;wsp:rsid wsp:val=&quot;00F440EB&quot;/&gt;&lt;wsp:rsid wsp:val=&quot;00F4503A&quot;/&gt;&lt;wsp:rsid wsp:val=&quot;00F457F7&quot;/&gt;&lt;wsp:rsid wsp:val=&quot;00F458AB&quot;/&gt;&lt;wsp:rsid wsp:val=&quot;00F46CF0&quot;/&gt;&lt;wsp:rsid wsp:val=&quot;00F472D0&quot;/&gt;&lt;wsp:rsid wsp:val=&quot;00F47EED&quot;/&gt;&lt;wsp:rsid wsp:val=&quot;00F504BF&quot;/&gt;&lt;wsp:rsid wsp:val=&quot;00F5144A&quot;/&gt;&lt;wsp:rsid wsp:val=&quot;00F52529&quot;/&gt;&lt;wsp:rsid wsp:val=&quot;00F52BBB&quot;/&gt;&lt;wsp:rsid wsp:val=&quot;00F53552&quot;/&gt;&lt;wsp:rsid wsp:val=&quot;00F5447B&quot;/&gt;&lt;wsp:rsid wsp:val=&quot;00F5467D&quot;/&gt;&lt;wsp:rsid wsp:val=&quot;00F54FF1&quot;/&gt;&lt;wsp:rsid wsp:val=&quot;00F5541E&quot;/&gt;&lt;wsp:rsid wsp:val=&quot;00F5558E&quot;/&gt;&lt;wsp:rsid wsp:val=&quot;00F556C4&quot;/&gt;&lt;wsp:rsid wsp:val=&quot;00F56942&quot;/&gt;&lt;wsp:rsid wsp:val=&quot;00F60C10&quot;/&gt;&lt;wsp:rsid wsp:val=&quot;00F62C40&quot;/&gt;&lt;wsp:rsid wsp:val=&quot;00F6302C&quot;/&gt;&lt;wsp:rsid wsp:val=&quot;00F633C5&quot;/&gt;&lt;wsp:rsid wsp:val=&quot;00F64E38&quot;/&gt;&lt;wsp:rsid wsp:val=&quot;00F669FF&quot;/&gt;&lt;wsp:rsid wsp:val=&quot;00F6735C&quot;/&gt;&lt;wsp:rsid wsp:val=&quot;00F71A4F&quot;/&gt;&lt;wsp:rsid wsp:val=&quot;00F7238F&quot;/&gt;&lt;wsp:rsid wsp:val=&quot;00F73A52&quot;/&gt;&lt;wsp:rsid wsp:val=&quot;00F74FBD&quot;/&gt;&lt;wsp:rsid wsp:val=&quot;00F754D0&quot;/&gt;&lt;wsp:rsid wsp:val=&quot;00F758CC&quot;/&gt;&lt;wsp:rsid wsp:val=&quot;00F75CC0&quot;/&gt;&lt;wsp:rsid wsp:val=&quot;00F75E85&quot;/&gt;&lt;wsp:rsid wsp:val=&quot;00F76446&quot;/&gt;&lt;wsp:rsid wsp:val=&quot;00F767D6&quot;/&gt;&lt;wsp:rsid wsp:val=&quot;00F7711E&quot;/&gt;&lt;wsp:rsid wsp:val=&quot;00F77C6E&quot;/&gt;&lt;wsp:rsid wsp:val=&quot;00F80597&quot;/&gt;&lt;wsp:rsid wsp:val=&quot;00F80F6A&quot;/&gt;&lt;wsp:rsid wsp:val=&quot;00F8100D&quot;/&gt;&lt;wsp:rsid wsp:val=&quot;00F812A3&quot;/&gt;&lt;wsp:rsid wsp:val=&quot;00F81D7E&quot;/&gt;&lt;wsp:rsid wsp:val=&quot;00F81DF9&quot;/&gt;&lt;wsp:rsid wsp:val=&quot;00F83028&quot;/&gt;&lt;wsp:rsid wsp:val=&quot;00F84049&quot;/&gt;&lt;wsp:rsid wsp:val=&quot;00F8418C&quot;/&gt;&lt;wsp:rsid wsp:val=&quot;00F8453D&quot;/&gt;&lt;wsp:rsid wsp:val=&quot;00F84E54&quot;/&gt;&lt;wsp:rsid wsp:val=&quot;00F860A7&quot;/&gt;&lt;wsp:rsid wsp:val=&quot;00F87075&quot;/&gt;&lt;wsp:rsid wsp:val=&quot;00F87891&quot;/&gt;&lt;wsp:rsid wsp:val=&quot;00F87A65&quot;/&gt;&lt;wsp:rsid wsp:val=&quot;00F9076E&quot;/&gt;&lt;wsp:rsid wsp:val=&quot;00F90A96&quot;/&gt;&lt;wsp:rsid wsp:val=&quot;00F9156B&quot;/&gt;&lt;wsp:rsid wsp:val=&quot;00F91F81&quot;/&gt;&lt;wsp:rsid wsp:val=&quot;00F92DE5&quot;/&gt;&lt;wsp:rsid wsp:val=&quot;00F92E0B&quot;/&gt;&lt;wsp:rsid wsp:val=&quot;00F92E27&quot;/&gt;&lt;wsp:rsid wsp:val=&quot;00F97387&quot;/&gt;&lt;wsp:rsid wsp:val=&quot;00F97641&quot;/&gt;&lt;wsp:rsid wsp:val=&quot;00F97CA5&quot;/&gt;&lt;wsp:rsid wsp:val=&quot;00FA010F&quot;/&gt;&lt;wsp:rsid wsp:val=&quot;00FA02E4&quot;/&gt;&lt;wsp:rsid wsp:val=&quot;00FA03B8&quot;/&gt;&lt;wsp:rsid wsp:val=&quot;00FA04B2&quot;/&gt;&lt;wsp:rsid wsp:val=&quot;00FA0ECF&quot;/&gt;&lt;wsp:rsid wsp:val=&quot;00FA1173&quot;/&gt;&lt;wsp:rsid wsp:val=&quot;00FA1D78&quot;/&gt;&lt;wsp:rsid wsp:val=&quot;00FA313A&quot;/&gt;&lt;wsp:rsid wsp:val=&quot;00FA3690&quot;/&gt;&lt;wsp:rsid wsp:val=&quot;00FA3C12&quot;/&gt;&lt;wsp:rsid wsp:val=&quot;00FA3E32&quot;/&gt;&lt;wsp:rsid wsp:val=&quot;00FA443D&quot;/&gt;&lt;wsp:rsid wsp:val=&quot;00FA4A8F&quot;/&gt;&lt;wsp:rsid wsp:val=&quot;00FA4B8A&quot;/&gt;&lt;wsp:rsid wsp:val=&quot;00FA4DAB&quot;/&gt;&lt;wsp:rsid wsp:val=&quot;00FA4EDB&quot;/&gt;&lt;wsp:rsid wsp:val=&quot;00FA5C8C&quot;/&gt;&lt;wsp:rsid wsp:val=&quot;00FA5D21&quot;/&gt;&lt;wsp:rsid wsp:val=&quot;00FA5FE4&quot;/&gt;&lt;wsp:rsid wsp:val=&quot;00FA649C&quot;/&gt;&lt;wsp:rsid wsp:val=&quot;00FA6662&quot;/&gt;&lt;wsp:rsid wsp:val=&quot;00FA745F&quot;/&gt;&lt;wsp:rsid wsp:val=&quot;00FB0168&quot;/&gt;&lt;wsp:rsid wsp:val=&quot;00FB12DC&quot;/&gt;&lt;wsp:rsid wsp:val=&quot;00FB16BD&quot;/&gt;&lt;wsp:rsid wsp:val=&quot;00FB2040&quot;/&gt;&lt;wsp:rsid wsp:val=&quot;00FB3AD7&quot;/&gt;&lt;wsp:rsid wsp:val=&quot;00FB3D31&quot;/&gt;&lt;wsp:rsid wsp:val=&quot;00FB4FB6&quot;/&gt;&lt;wsp:rsid wsp:val=&quot;00FB542B&quot;/&gt;&lt;wsp:rsid wsp:val=&quot;00FB5696&quot;/&gt;&lt;wsp:rsid wsp:val=&quot;00FB6482&quot;/&gt;&lt;wsp:rsid wsp:val=&quot;00FB686E&quot;/&gt;&lt;wsp:rsid wsp:val=&quot;00FB7130&quot;/&gt;&lt;wsp:rsid wsp:val=&quot;00FB770E&quot;/&gt;&lt;wsp:rsid wsp:val=&quot;00FC01B8&quot;/&gt;&lt;wsp:rsid wsp:val=&quot;00FC0984&quot;/&gt;&lt;wsp:rsid wsp:val=&quot;00FC1111&quot;/&gt;&lt;wsp:rsid wsp:val=&quot;00FC2F43&quot;/&gt;&lt;wsp:rsid wsp:val=&quot;00FC3A59&quot;/&gt;&lt;wsp:rsid wsp:val=&quot;00FC411C&quot;/&gt;&lt;wsp:rsid wsp:val=&quot;00FC4AF3&quot;/&gt;&lt;wsp:rsid wsp:val=&quot;00FC5599&quot;/&gt;&lt;wsp:rsid wsp:val=&quot;00FC6278&quot;/&gt;&lt;wsp:rsid wsp:val=&quot;00FC6700&quot;/&gt;&lt;wsp:rsid wsp:val=&quot;00FC6ACF&quot;/&gt;&lt;wsp:rsid wsp:val=&quot;00FC6BCD&quot;/&gt;&lt;wsp:rsid wsp:val=&quot;00FD01B8&quot;/&gt;&lt;wsp:rsid wsp:val=&quot;00FD07DF&quot;/&gt;&lt;wsp:rsid wsp:val=&quot;00FD0913&quot;/&gt;&lt;wsp:rsid wsp:val=&quot;00FD0BEB&quot;/&gt;&lt;wsp:rsid wsp:val=&quot;00FD1979&quot;/&gt;&lt;wsp:rsid wsp:val=&quot;00FD2D41&quot;/&gt;&lt;wsp:rsid wsp:val=&quot;00FD482D&quot;/&gt;&lt;wsp:rsid wsp:val=&quot;00FD4D87&quot;/&gt;&lt;wsp:rsid wsp:val=&quot;00FD53DB&quot;/&gt;&lt;wsp:rsid wsp:val=&quot;00FD5E72&quot;/&gt;&lt;wsp:rsid wsp:val=&quot;00FD6662&quot;/&gt;&lt;wsp:rsid wsp:val=&quot;00FD6AA3&quot;/&gt;&lt;wsp:rsid wsp:val=&quot;00FD703A&quot;/&gt;&lt;wsp:rsid wsp:val=&quot;00FE001E&quot;/&gt;&lt;wsp:rsid wsp:val=&quot;00FE02B2&quot;/&gt;&lt;wsp:rsid wsp:val=&quot;00FE0694&quot;/&gt;&lt;wsp:rsid wsp:val=&quot;00FE16BD&quot;/&gt;&lt;wsp:rsid wsp:val=&quot;00FE17A3&quot;/&gt;&lt;wsp:rsid wsp:val=&quot;00FE1826&quot;/&gt;&lt;wsp:rsid wsp:val=&quot;00FE1EC8&quot;/&gt;&lt;wsp:rsid wsp:val=&quot;00FE2C22&quot;/&gt;&lt;wsp:rsid wsp:val=&quot;00FE36E9&quot;/&gt;&lt;wsp:rsid wsp:val=&quot;00FE3980&quot;/&gt;&lt;wsp:rsid wsp:val=&quot;00FE42FB&quot;/&gt;&lt;wsp:rsid wsp:val=&quot;00FE4DB7&quot;/&gt;&lt;wsp:rsid wsp:val=&quot;00FE5447&quot;/&gt;&lt;wsp:rsid wsp:val=&quot;00FE5A4D&quot;/&gt;&lt;wsp:rsid wsp:val=&quot;00FE5EAC&quot;/&gt;&lt;wsp:rsid wsp:val=&quot;00FE660A&quot;/&gt;&lt;wsp:rsid wsp:val=&quot;00FE6B72&quot;/&gt;&lt;wsp:rsid wsp:val=&quot;00FE79A3&quot;/&gt;&lt;wsp:rsid wsp:val=&quot;00FF09F6&quot;/&gt;&lt;wsp:rsid wsp:val=&quot;00FF1032&quot;/&gt;&lt;wsp:rsid wsp:val=&quot;00FF1674&quot;/&gt;&lt;wsp:rsid wsp:val=&quot;00FF30DC&quot;/&gt;&lt;wsp:rsid wsp:val=&quot;00FF5946&quot;/&gt;&lt;wsp:rsid wsp:val=&quot;00FF59F6&quot;/&gt;&lt;wsp:rsid wsp:val=&quot;00FF7065&quot;/&gt;&lt;wsp:rsid wsp:val=&quot;0C237E39&quot;/&gt;&lt;wsp:rsid wsp:val=&quot;109B6BF9&quot;/&gt;&lt;wsp:rsid wsp:val=&quot;222B5367&quot;/&gt;&lt;wsp:rsid wsp:val=&quot;58352B0E&quot;/&gt;&lt;wsp:rsid wsp:val=&quot;770051B8&quot;/&gt;&lt;wsp:rsid wsp:val=&quot;7BCE39B1&quot;/&gt;&lt;/wsp:rsids&gt;&lt;/w:docPr&gt;&lt;w:body&gt;&lt;w:p wsp:rsidR=&quot;00000000&quot; wsp:rsidRDefault=&quot;006D55F2&quot;&gt;&lt;m:oMathPara&gt;&lt;m:oMath&gt;&lt;m:sSub&gt;&lt;m:sSubPr&gt;&lt;m:ctrlPr&gt;&lt;w:rPr&gt;&lt;w:rFonts w:ascii=&quot;Cambria Math&quot; w:h-ansi=&quot;Cambria Math&quot;/&gt;&lt;wx:font wx:val=&quot;Cambria Math&quot;/&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i&lt;/m:t&gt;&lt;/m:r&gt;&lt;/m:sub&gt;&lt;/m:sSub&gt;&lt;m:r&gt;&lt;m:rPr&gt;&lt;m:sty m:val=&quot;p&quot;/&gt;&lt;/m:rPr&gt;&lt;w:rPr&gt;&lt;w:rFonts w:ascii=&quot;Cambria Math&quot; w:h-ansi=&quot;Cambria Math&quot;/&gt;&lt;wx:font wx:val=&quot;Cambria Math&quot;/&gt;&lt;w:sz w:val=&quot;24&quot;/&gt;&lt;/w:rPr&gt;&lt;m:t&gt;=&lt;/m:t&gt;&lt;/m:r&gt;&lt;m:f&gt;&lt;m:fPr&gt;&lt;m:ctrlPr&gt;&lt;w:rPr&gt;&lt;w:rFonts w:ascii=&quot;Cambria Math&quot; w:h-ansi=&quot;Cambria Math&quot;/&gt;&lt;wx:font wx:val=&quot;Cambria Math&quot;/&gt;&lt;w:sz w:val=&quot;24&quot;/&gt;&lt;/w:rPr&gt;&lt;/m:ctrlPr&gt;&lt;/m:fPr&gt;&lt;m:num&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C&lt;/m:t&gt;&lt;/m:r&gt;&lt;/m:e&gt;&lt;m:sub&gt;&lt;m:r&gt;&lt;w:rPr&gt;&lt;w:rFonts w:ascii=&quot;Cambria Math&quot; w:h-ansi=&quot;Cambria Math&quot;/&gt;&lt;wx:font wx:val=&quot;Cambria Math&quot;/&gt;&lt;w:i/&gt;&lt;w:sz w:val=&quot;24&quot;/&gt;&lt;/w:rPr&gt;&lt;m:t&gt;i&lt;/m:t&gt;&lt;/m:r&gt;&lt;/m:sub&gt;&lt;/m:sSub&gt;&lt;/m:num&gt;&lt;m:den&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C&lt;/m:t&gt;&lt;/m:r&gt;&lt;/m:e&gt;&lt;m:sub&gt;&lt;m:r&gt;&lt;w:rPr&gt;&lt;w:rFonts w:ascii=&quot;Cambria Math&quot; w:h-ansi=&quot;Cambria Math&quot;/&gt;&lt;wx:font wx:val=&quot;Cambria Math&quot;/&gt;&lt;w:i/&gt;&lt;w:sz w:val=&quot;24&quot;/&gt;&lt;/w:rPr&gt;&lt;m:t&gt;0i&lt;/m:t&gt;&lt;/m:r&gt;&lt;/m:sub&gt;&lt;/m:sSub&gt;&lt;/m:den&gt;&lt;/m:f&gt;&lt;m:r&gt;&lt;w:rPr&gt;&lt;w:rFonts w:ascii=&quot;Cambria Math&quot; w:h-ansi=&quot;Cambria Math&quot;/&gt;&lt;wx:font wx:val=&quot;Cambria Math&quot;/&gt;&lt;w:i/&gt;&lt;w:sz w:val=&quot;24&quot;/&gt;&lt;/w:rPr&gt;&lt;m:t&gt;脳100%&lt;/m:t&gt;&lt;/m:r&gt;&lt;/m:oMath&gt;&lt;/m:oMathPara&gt;&lt;/w:p&gt;&lt;w:sectPr wsp:rsidR=&quot;00000000&quot;&gt;&lt;w:pgSz w:w=&quot;12240&quot; w:h=&quot;15840&quot;/&gt;&lt;w:pgMar w:top=&quot;1440&quot; w:right=&quot;1800&quot; w:bottom=&quot;1440&quot; w:lsssssssssssssssssssssssssssssssssssssseft=&quot;1800&quot; w:hea&quot;der=&quot;720o&quot; w:wfooter=&quot;720&quot; w:gutter=&quot;0&quot;/&gt;&lt;w:cols w:space=&quot;720&quot;/&gt;&lt;/w:sectPr&gt;&lt;/w:body&gt;&lt;/w:wordDocument&gt;">
                  <v:path/>
                  <v:fill on="f" focussize="0,0"/>
                  <v:stroke on="f" joinstyle="miter"/>
                  <v:imagedata r:id="rId13" chromakey="#FFFFFF" o:title=""/>
                  <o:lock v:ext="edit" aspectratio="t"/>
                  <w10:wrap type="none"/>
                  <w10:anchorlock/>
                </v:shape>
              </w:pict>
            </w:r>
          </w:p>
          <w:p w14:paraId="23C9CEFB">
            <w:pPr>
              <w:spacing w:line="480" w:lineRule="exact"/>
              <w:ind w:firstLine="422" w:firstLineChars="176"/>
              <w:jc w:val="left"/>
              <w:rPr>
                <w:sz w:val="24"/>
              </w:rPr>
            </w:pPr>
            <m:oMath>
              <m:sSub>
                <m:sSubPr>
                  <m:ctrlPr>
                    <w:rPr>
                      <w:rFonts w:ascii="Cambria Math" w:hAnsi="Cambria Math"/>
                      <w:sz w:val="24"/>
                    </w:rPr>
                  </m:ctrlPr>
                </m:sSubPr>
                <m:e>
                  <m:r>
                    <m:rPr/>
                    <w:rPr>
                      <w:rFonts w:ascii="Cambria Math" w:hAnsi="Cambria Math"/>
                      <w:sz w:val="24"/>
                    </w:rPr>
                    <m:t>P</m:t>
                  </m:r>
                  <m:ctrlPr>
                    <w:rPr>
                      <w:rFonts w:ascii="Cambria Math" w:hAnsi="Cambria Math"/>
                      <w:sz w:val="24"/>
                    </w:rPr>
                  </m:ctrlPr>
                </m:e>
                <m:sub>
                  <m:r>
                    <m:rPr/>
                    <w:rPr>
                      <w:rFonts w:ascii="Cambria Math" w:hAnsi="Cambria Math"/>
                      <w:sz w:val="24"/>
                    </w:rPr>
                    <m:t>i</m:t>
                  </m:r>
                  <m:ctrlPr>
                    <w:rPr>
                      <w:rFonts w:ascii="Cambria Math" w:hAnsi="Cambria Math"/>
                      <w:sz w:val="24"/>
                    </w:rPr>
                  </m:ctrlPr>
                </m:sub>
              </m:sSub>
            </m:oMath>
            <w:r>
              <w:rPr>
                <w:sz w:val="24"/>
              </w:rPr>
              <w:t xml:space="preserve"> ——</w:t>
            </w:r>
            <w:r>
              <w:rPr>
                <w:rFonts w:hint="eastAsia"/>
                <w:sz w:val="24"/>
              </w:rPr>
              <w:t>第</w:t>
            </w:r>
            <w:r>
              <w:rPr>
                <w:sz w:val="24"/>
              </w:rPr>
              <w:t>i</w:t>
            </w:r>
            <w:r>
              <w:rPr>
                <w:rFonts w:hint="eastAsia"/>
                <w:sz w:val="24"/>
              </w:rPr>
              <w:t>个污染物的最大地面空气质量浓度</w:t>
            </w:r>
            <w:r>
              <w:rPr>
                <w:sz w:val="24"/>
              </w:rPr>
              <w:t xml:space="preserve"> </w:t>
            </w:r>
            <w:r>
              <w:rPr>
                <w:rFonts w:hint="eastAsia"/>
                <w:sz w:val="24"/>
              </w:rPr>
              <w:t>占标率，</w:t>
            </w:r>
            <w:r>
              <w:rPr>
                <w:sz w:val="24"/>
              </w:rPr>
              <w:t>%</w:t>
            </w:r>
            <w:r>
              <w:rPr>
                <w:rFonts w:hint="eastAsia"/>
                <w:sz w:val="24"/>
              </w:rPr>
              <w:t>；</w:t>
            </w:r>
          </w:p>
          <w:p w14:paraId="200B627F">
            <w:pPr>
              <w:spacing w:line="480" w:lineRule="exact"/>
              <w:ind w:firstLine="422" w:firstLineChars="176"/>
              <w:rPr>
                <w:sz w:val="24"/>
              </w:rPr>
            </w:pPr>
            <m:oMath>
              <m:sSub>
                <m:sSubPr>
                  <m:ctrlPr>
                    <w:rPr>
                      <w:rFonts w:ascii="Cambria Math" w:hAnsi="Cambria Math"/>
                      <w:i/>
                      <w:sz w:val="24"/>
                    </w:rPr>
                  </m:ctrlPr>
                </m:sSubPr>
                <m:e>
                  <m:r>
                    <m:rPr/>
                    <w:rPr>
                      <w:rFonts w:ascii="Cambria Math" w:hAnsi="Cambria Math"/>
                      <w:sz w:val="24"/>
                    </w:rPr>
                    <m:t>C</m:t>
                  </m:r>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sz w:val="24"/>
              </w:rPr>
              <w:t>——</w:t>
            </w:r>
            <w:r>
              <w:rPr>
                <w:rFonts w:hint="eastAsia"/>
                <w:sz w:val="24"/>
              </w:rPr>
              <w:t>采用估算模型计算出的第</w:t>
            </w:r>
            <w:r>
              <w:rPr>
                <w:sz w:val="24"/>
              </w:rPr>
              <w:t>i</w:t>
            </w:r>
            <w:r>
              <w:rPr>
                <w:rFonts w:hint="eastAsia"/>
                <w:sz w:val="24"/>
              </w:rPr>
              <w:t>个污染物的最大</w:t>
            </w:r>
            <w:r>
              <w:rPr>
                <w:sz w:val="24"/>
              </w:rPr>
              <w:t>1h</w:t>
            </w:r>
            <w:r>
              <w:rPr>
                <w:rFonts w:hint="eastAsia"/>
                <w:sz w:val="24"/>
              </w:rPr>
              <w:t>地面空气质量浓度，</w:t>
            </w:r>
            <w:r>
              <w:rPr>
                <w:sz w:val="24"/>
              </w:rPr>
              <w:t>μg/m</w:t>
            </w:r>
            <w:r>
              <w:rPr>
                <w:sz w:val="24"/>
                <w:vertAlign w:val="superscript"/>
              </w:rPr>
              <w:t>3</w:t>
            </w:r>
            <w:r>
              <w:rPr>
                <w:rFonts w:hint="eastAsia"/>
                <w:sz w:val="24"/>
              </w:rPr>
              <w:t>；</w:t>
            </w:r>
          </w:p>
          <w:p w14:paraId="745DC680">
            <w:pPr>
              <w:spacing w:line="480" w:lineRule="exact"/>
              <w:ind w:firstLine="422" w:firstLineChars="176"/>
              <w:jc w:val="left"/>
              <w:rPr>
                <w:sz w:val="24"/>
              </w:rPr>
            </w:pPr>
            <m:oMath>
              <m:sSub>
                <m:sSubPr>
                  <m:ctrlPr>
                    <w:rPr>
                      <w:rFonts w:ascii="Cambria Math" w:hAnsi="Cambria Math"/>
                      <w:i/>
                      <w:sz w:val="24"/>
                    </w:rPr>
                  </m:ctrlPr>
                </m:sSubPr>
                <m:e>
                  <m:r>
                    <m:rPr/>
                    <w:rPr>
                      <w:rFonts w:ascii="Cambria Math" w:hAnsi="Cambria Math"/>
                      <w:sz w:val="24"/>
                    </w:rPr>
                    <m:t>C</m:t>
                  </m:r>
                  <m:ctrlPr>
                    <w:rPr>
                      <w:rFonts w:ascii="Cambria Math" w:hAnsi="Cambria Math"/>
                      <w:i/>
                      <w:sz w:val="24"/>
                    </w:rPr>
                  </m:ctrlPr>
                </m:e>
                <m:sub>
                  <m:r>
                    <m:rPr/>
                    <w:rPr>
                      <w:rFonts w:ascii="Cambria Math" w:hAnsi="Cambria Math"/>
                      <w:sz w:val="24"/>
                    </w:rPr>
                    <m:t>0i</m:t>
                  </m:r>
                  <m:ctrlPr>
                    <w:rPr>
                      <w:rFonts w:ascii="Cambria Math" w:hAnsi="Cambria Math"/>
                      <w:i/>
                      <w:sz w:val="24"/>
                    </w:rPr>
                  </m:ctrlPr>
                </m:sub>
              </m:sSub>
            </m:oMath>
            <w:r>
              <w:rPr>
                <w:sz w:val="24"/>
              </w:rPr>
              <w:t>——</w:t>
            </w:r>
            <w:r>
              <w:rPr>
                <w:rFonts w:hint="eastAsia"/>
                <w:sz w:val="24"/>
              </w:rPr>
              <w:t>第</w:t>
            </w:r>
            <w:r>
              <w:rPr>
                <w:sz w:val="24"/>
              </w:rPr>
              <w:t>i</w:t>
            </w:r>
            <w:r>
              <w:rPr>
                <w:rFonts w:hint="eastAsia"/>
                <w:sz w:val="24"/>
              </w:rPr>
              <w:t>个污染物的环境空气质量浓度标准，</w:t>
            </w:r>
            <w:r>
              <w:rPr>
                <w:sz w:val="24"/>
              </w:rPr>
              <w:t>μg/m</w:t>
            </w:r>
            <w:r>
              <w:rPr>
                <w:sz w:val="24"/>
                <w:vertAlign w:val="superscript"/>
              </w:rPr>
              <w:t>3</w:t>
            </w:r>
            <w:r>
              <w:rPr>
                <w:rFonts w:hint="eastAsia"/>
                <w:sz w:val="24"/>
              </w:rPr>
              <w:t>。</w:t>
            </w:r>
          </w:p>
          <w:p w14:paraId="2EC4D900">
            <w:pPr>
              <w:spacing w:line="480" w:lineRule="exact"/>
              <w:ind w:firstLine="422" w:firstLineChars="176"/>
              <w:jc w:val="left"/>
              <w:rPr>
                <w:sz w:val="24"/>
              </w:rPr>
            </w:pPr>
            <w:r>
              <w:rPr>
                <w:rFonts w:hint="eastAsia"/>
                <w:sz w:val="24"/>
              </w:rPr>
              <w:t>（</w:t>
            </w:r>
            <w:r>
              <w:rPr>
                <w:sz w:val="24"/>
              </w:rPr>
              <w:t>2</w:t>
            </w:r>
            <w:r>
              <w:rPr>
                <w:rFonts w:hint="eastAsia"/>
                <w:sz w:val="24"/>
              </w:rPr>
              <w:t>）评价等级判别表</w:t>
            </w:r>
          </w:p>
          <w:p w14:paraId="50C5A818">
            <w:pPr>
              <w:spacing w:line="480" w:lineRule="exact"/>
              <w:ind w:firstLine="422" w:firstLineChars="176"/>
              <w:jc w:val="left"/>
              <w:rPr>
                <w:sz w:val="24"/>
              </w:rPr>
            </w:pPr>
            <w:r>
              <w:rPr>
                <w:rFonts w:hint="eastAsia"/>
                <w:sz w:val="24"/>
              </w:rPr>
              <w:t>评价等级按下表的分级判据进行划分</w:t>
            </w:r>
          </w:p>
          <w:p w14:paraId="49CE8B6B">
            <w:pPr>
              <w:spacing w:line="480" w:lineRule="exact"/>
              <w:ind w:firstLine="422" w:firstLineChars="176"/>
              <w:jc w:val="center"/>
              <w:rPr>
                <w:rFonts w:ascii="黑体" w:hAnsi="黑体" w:eastAsia="黑体"/>
                <w:sz w:val="24"/>
              </w:rPr>
            </w:pPr>
            <w:r>
              <w:rPr>
                <w:rFonts w:hint="eastAsia" w:ascii="黑体" w:hAnsi="黑体" w:eastAsia="黑体"/>
                <w:sz w:val="24"/>
              </w:rPr>
              <w:t>表</w:t>
            </w:r>
            <w:r>
              <w:rPr>
                <w:rFonts w:ascii="黑体" w:hAnsi="黑体" w:eastAsia="黑体"/>
                <w:sz w:val="24"/>
              </w:rPr>
              <w:t xml:space="preserve">7-2 </w:t>
            </w:r>
            <w:r>
              <w:rPr>
                <w:rFonts w:hint="eastAsia" w:ascii="黑体" w:hAnsi="黑体" w:eastAsia="黑体"/>
                <w:sz w:val="24"/>
              </w:rPr>
              <w:t>评价等级判别表</w:t>
            </w:r>
          </w:p>
          <w:tbl>
            <w:tblPr>
              <w:tblStyle w:val="25"/>
              <w:tblW w:w="8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7"/>
              <w:gridCol w:w="4306"/>
            </w:tblGrid>
            <w:tr w14:paraId="34E4D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4217" w:type="dxa"/>
                  <w:tcBorders>
                    <w:top w:val="single" w:color="auto" w:sz="12" w:space="0"/>
                    <w:left w:val="single" w:color="auto" w:sz="12" w:space="0"/>
                    <w:bottom w:val="single" w:color="auto" w:sz="4" w:space="0"/>
                    <w:right w:val="single" w:color="auto" w:sz="4" w:space="0"/>
                  </w:tcBorders>
                  <w:vAlign w:val="center"/>
                </w:tcPr>
                <w:p w14:paraId="13C75487">
                  <w:pPr>
                    <w:jc w:val="center"/>
                    <w:rPr>
                      <w:szCs w:val="21"/>
                    </w:rPr>
                  </w:pPr>
                  <w:r>
                    <w:rPr>
                      <w:rFonts w:hint="eastAsia"/>
                      <w:szCs w:val="21"/>
                    </w:rPr>
                    <w:t>评价工作等级</w:t>
                  </w:r>
                </w:p>
              </w:tc>
              <w:tc>
                <w:tcPr>
                  <w:tcW w:w="4306" w:type="dxa"/>
                  <w:tcBorders>
                    <w:top w:val="single" w:color="auto" w:sz="12" w:space="0"/>
                    <w:left w:val="single" w:color="auto" w:sz="4" w:space="0"/>
                    <w:bottom w:val="single" w:color="auto" w:sz="4" w:space="0"/>
                    <w:right w:val="single" w:color="auto" w:sz="12" w:space="0"/>
                  </w:tcBorders>
                  <w:vAlign w:val="center"/>
                </w:tcPr>
                <w:p w14:paraId="61026B8C">
                  <w:pPr>
                    <w:jc w:val="center"/>
                    <w:rPr>
                      <w:szCs w:val="21"/>
                    </w:rPr>
                  </w:pPr>
                  <w:r>
                    <w:rPr>
                      <w:rFonts w:hint="eastAsia"/>
                      <w:szCs w:val="21"/>
                    </w:rPr>
                    <w:t>评价工作分级判据</w:t>
                  </w:r>
                </w:p>
              </w:tc>
            </w:tr>
            <w:tr w14:paraId="72191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4217" w:type="dxa"/>
                  <w:tcBorders>
                    <w:top w:val="single" w:color="auto" w:sz="4" w:space="0"/>
                    <w:left w:val="single" w:color="auto" w:sz="12" w:space="0"/>
                    <w:bottom w:val="single" w:color="auto" w:sz="4" w:space="0"/>
                    <w:right w:val="single" w:color="auto" w:sz="4" w:space="0"/>
                  </w:tcBorders>
                  <w:vAlign w:val="center"/>
                </w:tcPr>
                <w:p w14:paraId="49F33078">
                  <w:pPr>
                    <w:jc w:val="center"/>
                    <w:rPr>
                      <w:szCs w:val="21"/>
                    </w:rPr>
                  </w:pPr>
                  <w:r>
                    <w:rPr>
                      <w:rFonts w:hint="eastAsia"/>
                      <w:szCs w:val="21"/>
                    </w:rPr>
                    <w:t>一级评价</w:t>
                  </w:r>
                </w:p>
              </w:tc>
              <w:tc>
                <w:tcPr>
                  <w:tcW w:w="4306" w:type="dxa"/>
                  <w:tcBorders>
                    <w:top w:val="single" w:color="auto" w:sz="4" w:space="0"/>
                    <w:left w:val="single" w:color="auto" w:sz="4" w:space="0"/>
                    <w:bottom w:val="single" w:color="auto" w:sz="4" w:space="0"/>
                    <w:right w:val="single" w:color="auto" w:sz="12" w:space="0"/>
                  </w:tcBorders>
                  <w:vAlign w:val="center"/>
                </w:tcPr>
                <w:p w14:paraId="11973D58">
                  <w:pPr>
                    <w:jc w:val="center"/>
                    <w:rPr>
                      <w:szCs w:val="21"/>
                    </w:rPr>
                  </w:pPr>
                  <w:r>
                    <w:rPr>
                      <w:szCs w:val="21"/>
                    </w:rPr>
                    <w:t>Pmax</w:t>
                  </w:r>
                  <w:r>
                    <w:rPr>
                      <w:rFonts w:hint="eastAsia" w:ascii="宋体" w:hAnsi="宋体" w:cs="宋体"/>
                      <w:szCs w:val="21"/>
                    </w:rPr>
                    <w:t>≧</w:t>
                  </w:r>
                  <w:r>
                    <w:rPr>
                      <w:szCs w:val="21"/>
                    </w:rPr>
                    <w:t>10%</w:t>
                  </w:r>
                </w:p>
              </w:tc>
            </w:tr>
            <w:tr w14:paraId="5B4BA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4217" w:type="dxa"/>
                  <w:tcBorders>
                    <w:top w:val="single" w:color="auto" w:sz="4" w:space="0"/>
                    <w:left w:val="single" w:color="auto" w:sz="12" w:space="0"/>
                    <w:bottom w:val="single" w:color="auto" w:sz="4" w:space="0"/>
                    <w:right w:val="single" w:color="auto" w:sz="4" w:space="0"/>
                  </w:tcBorders>
                  <w:vAlign w:val="center"/>
                </w:tcPr>
                <w:p w14:paraId="46F957D6">
                  <w:pPr>
                    <w:jc w:val="center"/>
                    <w:rPr>
                      <w:szCs w:val="21"/>
                    </w:rPr>
                  </w:pPr>
                  <w:r>
                    <w:rPr>
                      <w:rFonts w:hint="eastAsia"/>
                      <w:szCs w:val="21"/>
                    </w:rPr>
                    <w:t>二级评价</w:t>
                  </w:r>
                </w:p>
              </w:tc>
              <w:tc>
                <w:tcPr>
                  <w:tcW w:w="4306" w:type="dxa"/>
                  <w:tcBorders>
                    <w:top w:val="single" w:color="auto" w:sz="4" w:space="0"/>
                    <w:left w:val="single" w:color="auto" w:sz="4" w:space="0"/>
                    <w:bottom w:val="single" w:color="auto" w:sz="4" w:space="0"/>
                    <w:right w:val="single" w:color="auto" w:sz="12" w:space="0"/>
                  </w:tcBorders>
                  <w:vAlign w:val="center"/>
                </w:tcPr>
                <w:p w14:paraId="66AB78F1">
                  <w:pPr>
                    <w:jc w:val="center"/>
                    <w:rPr>
                      <w:szCs w:val="21"/>
                    </w:rPr>
                  </w:pPr>
                  <w:r>
                    <w:rPr>
                      <w:szCs w:val="21"/>
                    </w:rPr>
                    <w:t>1%</w:t>
                  </w:r>
                  <w:r>
                    <w:rPr>
                      <w:rFonts w:hint="eastAsia" w:ascii="宋体" w:hAnsi="宋体" w:cs="宋体"/>
                      <w:szCs w:val="21"/>
                    </w:rPr>
                    <w:t>≦</w:t>
                  </w:r>
                  <w:r>
                    <w:rPr>
                      <w:szCs w:val="21"/>
                    </w:rPr>
                    <w:t>Pmax&lt;10%</w:t>
                  </w:r>
                </w:p>
              </w:tc>
            </w:tr>
            <w:tr w14:paraId="544A0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4217" w:type="dxa"/>
                  <w:tcBorders>
                    <w:top w:val="single" w:color="auto" w:sz="4" w:space="0"/>
                    <w:left w:val="single" w:color="auto" w:sz="12" w:space="0"/>
                    <w:bottom w:val="single" w:color="auto" w:sz="12" w:space="0"/>
                    <w:right w:val="single" w:color="auto" w:sz="4" w:space="0"/>
                  </w:tcBorders>
                  <w:vAlign w:val="center"/>
                </w:tcPr>
                <w:p w14:paraId="00F8F0C4">
                  <w:pPr>
                    <w:jc w:val="center"/>
                    <w:rPr>
                      <w:szCs w:val="21"/>
                    </w:rPr>
                  </w:pPr>
                  <w:r>
                    <w:rPr>
                      <w:rFonts w:hint="eastAsia"/>
                      <w:szCs w:val="21"/>
                    </w:rPr>
                    <w:t>三级评价</w:t>
                  </w:r>
                </w:p>
              </w:tc>
              <w:tc>
                <w:tcPr>
                  <w:tcW w:w="4306" w:type="dxa"/>
                  <w:tcBorders>
                    <w:top w:val="single" w:color="auto" w:sz="4" w:space="0"/>
                    <w:left w:val="single" w:color="auto" w:sz="4" w:space="0"/>
                    <w:bottom w:val="single" w:color="auto" w:sz="12" w:space="0"/>
                    <w:right w:val="single" w:color="auto" w:sz="12" w:space="0"/>
                  </w:tcBorders>
                  <w:vAlign w:val="center"/>
                </w:tcPr>
                <w:p w14:paraId="69393F9B">
                  <w:pPr>
                    <w:jc w:val="center"/>
                    <w:rPr>
                      <w:szCs w:val="21"/>
                    </w:rPr>
                  </w:pPr>
                  <w:r>
                    <w:rPr>
                      <w:szCs w:val="21"/>
                    </w:rPr>
                    <w:t>Pmax&lt;1%</w:t>
                  </w:r>
                </w:p>
              </w:tc>
            </w:tr>
          </w:tbl>
          <w:p w14:paraId="368F7370">
            <w:pPr>
              <w:spacing w:line="480" w:lineRule="exact"/>
              <w:ind w:firstLine="422" w:firstLineChars="176"/>
              <w:jc w:val="left"/>
              <w:rPr>
                <w:sz w:val="24"/>
              </w:rPr>
            </w:pPr>
            <w:r>
              <w:rPr>
                <w:rFonts w:hint="eastAsia"/>
                <w:sz w:val="24"/>
              </w:rPr>
              <w:t>（</w:t>
            </w:r>
            <w:r>
              <w:rPr>
                <w:sz w:val="24"/>
              </w:rPr>
              <w:t>3</w:t>
            </w:r>
            <w:r>
              <w:rPr>
                <w:rFonts w:hint="eastAsia"/>
                <w:sz w:val="24"/>
              </w:rPr>
              <w:t>）污染物评价标准</w:t>
            </w:r>
          </w:p>
          <w:p w14:paraId="384C6CE6">
            <w:pPr>
              <w:spacing w:line="480" w:lineRule="exact"/>
              <w:ind w:firstLine="422" w:firstLineChars="176"/>
              <w:jc w:val="left"/>
              <w:rPr>
                <w:sz w:val="24"/>
              </w:rPr>
            </w:pPr>
            <w:r>
              <w:rPr>
                <w:rFonts w:hint="eastAsia"/>
                <w:sz w:val="24"/>
              </w:rPr>
              <w:t>污染物评价标准和来源见下表。</w:t>
            </w:r>
          </w:p>
          <w:p w14:paraId="66FA8BE5">
            <w:pPr>
              <w:spacing w:line="480" w:lineRule="exact"/>
              <w:ind w:firstLine="422" w:firstLineChars="176"/>
              <w:jc w:val="center"/>
              <w:rPr>
                <w:rFonts w:ascii="黑体" w:hAnsi="黑体" w:eastAsia="黑体"/>
                <w:sz w:val="24"/>
              </w:rPr>
            </w:pPr>
            <w:r>
              <w:rPr>
                <w:rFonts w:hint="eastAsia" w:ascii="黑体" w:hAnsi="黑体" w:eastAsia="黑体"/>
                <w:sz w:val="24"/>
              </w:rPr>
              <w:t>表</w:t>
            </w:r>
            <w:r>
              <w:rPr>
                <w:rFonts w:ascii="黑体" w:hAnsi="黑体" w:eastAsia="黑体"/>
                <w:sz w:val="24"/>
              </w:rPr>
              <w:t xml:space="preserve">7-3  </w:t>
            </w:r>
            <w:r>
              <w:rPr>
                <w:rFonts w:hint="eastAsia" w:ascii="黑体" w:hAnsi="黑体" w:eastAsia="黑体"/>
                <w:sz w:val="24"/>
              </w:rPr>
              <w:t>污染物评价标准</w:t>
            </w:r>
          </w:p>
          <w:tbl>
            <w:tblPr>
              <w:tblStyle w:val="25"/>
              <w:tblW w:w="8527"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577"/>
              <w:gridCol w:w="1253"/>
              <w:gridCol w:w="1253"/>
              <w:gridCol w:w="2222"/>
              <w:gridCol w:w="2222"/>
            </w:tblGrid>
            <w:tr w14:paraId="2106E40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00" w:hRule="atLeast"/>
              </w:trPr>
              <w:tc>
                <w:tcPr>
                  <w:tcW w:w="1577" w:type="dxa"/>
                  <w:tcBorders>
                    <w:top w:val="single" w:color="auto" w:sz="12" w:space="0"/>
                    <w:left w:val="single" w:color="auto" w:sz="12" w:space="0"/>
                    <w:bottom w:val="single" w:color="auto" w:sz="2" w:space="0"/>
                    <w:right w:val="single" w:color="auto" w:sz="2" w:space="0"/>
                  </w:tcBorders>
                  <w:vAlign w:val="center"/>
                </w:tcPr>
                <w:p w14:paraId="34D5AFF3">
                  <w:pPr>
                    <w:jc w:val="center"/>
                    <w:rPr>
                      <w:rFonts w:ascii="等线" w:eastAsia="等线"/>
                      <w:szCs w:val="21"/>
                    </w:rPr>
                  </w:pPr>
                  <w:r>
                    <w:rPr>
                      <w:rFonts w:hint="eastAsia" w:ascii="宋体" w:hAnsi="宋体"/>
                      <w:szCs w:val="21"/>
                    </w:rPr>
                    <w:t>污染物名称</w:t>
                  </w:r>
                </w:p>
              </w:tc>
              <w:tc>
                <w:tcPr>
                  <w:tcW w:w="1253" w:type="dxa"/>
                  <w:tcBorders>
                    <w:top w:val="single" w:color="auto" w:sz="12" w:space="0"/>
                    <w:left w:val="single" w:color="auto" w:sz="2" w:space="0"/>
                    <w:bottom w:val="single" w:color="auto" w:sz="2" w:space="0"/>
                    <w:right w:val="single" w:color="auto" w:sz="2" w:space="0"/>
                  </w:tcBorders>
                  <w:vAlign w:val="center"/>
                </w:tcPr>
                <w:p w14:paraId="04CBDC5E">
                  <w:pPr>
                    <w:jc w:val="center"/>
                    <w:rPr>
                      <w:szCs w:val="21"/>
                    </w:rPr>
                  </w:pPr>
                  <w:r>
                    <w:rPr>
                      <w:rFonts w:hint="eastAsia" w:ascii="宋体" w:hAnsi="宋体"/>
                      <w:szCs w:val="21"/>
                    </w:rPr>
                    <w:t>功能区</w:t>
                  </w:r>
                </w:p>
              </w:tc>
              <w:tc>
                <w:tcPr>
                  <w:tcW w:w="1253" w:type="dxa"/>
                  <w:tcBorders>
                    <w:top w:val="single" w:color="auto" w:sz="12" w:space="0"/>
                    <w:left w:val="single" w:color="auto" w:sz="2" w:space="0"/>
                    <w:bottom w:val="single" w:color="auto" w:sz="2" w:space="0"/>
                    <w:right w:val="single" w:color="auto" w:sz="2" w:space="0"/>
                  </w:tcBorders>
                  <w:vAlign w:val="center"/>
                </w:tcPr>
                <w:p w14:paraId="1BD1A285">
                  <w:pPr>
                    <w:jc w:val="center"/>
                    <w:rPr>
                      <w:szCs w:val="21"/>
                    </w:rPr>
                  </w:pPr>
                  <w:r>
                    <w:rPr>
                      <w:rFonts w:hint="eastAsia" w:ascii="宋体" w:hAnsi="宋体"/>
                      <w:szCs w:val="21"/>
                    </w:rPr>
                    <w:t>取值时间</w:t>
                  </w:r>
                </w:p>
              </w:tc>
              <w:tc>
                <w:tcPr>
                  <w:tcW w:w="2222" w:type="dxa"/>
                  <w:tcBorders>
                    <w:top w:val="single" w:color="auto" w:sz="12" w:space="0"/>
                    <w:left w:val="single" w:color="auto" w:sz="2" w:space="0"/>
                    <w:bottom w:val="single" w:color="auto" w:sz="2" w:space="0"/>
                    <w:right w:val="single" w:color="auto" w:sz="2" w:space="0"/>
                  </w:tcBorders>
                  <w:vAlign w:val="center"/>
                </w:tcPr>
                <w:p w14:paraId="54548DC6">
                  <w:pPr>
                    <w:jc w:val="center"/>
                    <w:rPr>
                      <w:szCs w:val="21"/>
                    </w:rPr>
                  </w:pPr>
                  <w:r>
                    <w:rPr>
                      <w:rFonts w:hint="eastAsia" w:ascii="宋体" w:hAnsi="宋体"/>
                      <w:szCs w:val="21"/>
                    </w:rPr>
                    <w:t>标准值</w:t>
                  </w:r>
                  <w:r>
                    <w:rPr>
                      <w:rFonts w:hint="eastAsia" w:ascii="宋体" w:hAnsi="宋体"/>
                      <w:szCs w:val="21"/>
                      <w:lang w:eastAsia="zh-CN"/>
                    </w:rPr>
                    <w:t>（</w:t>
                  </w:r>
                  <w:r>
                    <w:rPr>
                      <w:rFonts w:hint="eastAsia" w:ascii="宋体" w:hAnsi="宋体"/>
                      <w:szCs w:val="21"/>
                    </w:rPr>
                    <w:t>μ</w:t>
                  </w:r>
                  <w:r>
                    <w:rPr>
                      <w:rFonts w:ascii="宋体" w:hAnsi="宋体"/>
                      <w:szCs w:val="21"/>
                    </w:rPr>
                    <w:t>g/m</w:t>
                  </w:r>
                  <w:r>
                    <w:rPr>
                      <w:rFonts w:hint="eastAsia" w:ascii="宋体" w:hAnsi="宋体"/>
                      <w:szCs w:val="21"/>
                    </w:rPr>
                    <w:t>³</w:t>
                  </w:r>
                  <w:r>
                    <w:rPr>
                      <w:rFonts w:hint="eastAsia" w:ascii="宋体" w:hAnsi="宋体"/>
                      <w:szCs w:val="21"/>
                      <w:lang w:eastAsia="zh-CN"/>
                    </w:rPr>
                    <w:t>）</w:t>
                  </w:r>
                </w:p>
              </w:tc>
              <w:tc>
                <w:tcPr>
                  <w:tcW w:w="2222" w:type="dxa"/>
                  <w:tcBorders>
                    <w:top w:val="single" w:color="auto" w:sz="12" w:space="0"/>
                    <w:left w:val="single" w:color="auto" w:sz="2" w:space="0"/>
                    <w:bottom w:val="single" w:color="auto" w:sz="2" w:space="0"/>
                    <w:right w:val="single" w:color="auto" w:sz="12" w:space="0"/>
                  </w:tcBorders>
                  <w:vAlign w:val="center"/>
                </w:tcPr>
                <w:p w14:paraId="4ACFCD61">
                  <w:pPr>
                    <w:jc w:val="center"/>
                    <w:rPr>
                      <w:szCs w:val="21"/>
                    </w:rPr>
                  </w:pPr>
                  <w:r>
                    <w:rPr>
                      <w:rFonts w:hint="eastAsia" w:ascii="宋体" w:hAnsi="宋体"/>
                      <w:szCs w:val="21"/>
                    </w:rPr>
                    <w:t>标准来源</w:t>
                  </w:r>
                </w:p>
              </w:tc>
            </w:tr>
            <w:tr w14:paraId="354A56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00" w:hRule="atLeast"/>
              </w:trPr>
              <w:tc>
                <w:tcPr>
                  <w:tcW w:w="1577" w:type="dxa"/>
                  <w:tcBorders>
                    <w:top w:val="single" w:color="auto" w:sz="2" w:space="0"/>
                    <w:left w:val="single" w:color="auto" w:sz="12" w:space="0"/>
                    <w:bottom w:val="single" w:color="auto" w:sz="12" w:space="0"/>
                    <w:right w:val="single" w:color="auto" w:sz="2" w:space="0"/>
                  </w:tcBorders>
                  <w:vAlign w:val="center"/>
                </w:tcPr>
                <w:p w14:paraId="20666F3B">
                  <w:pPr>
                    <w:jc w:val="center"/>
                    <w:rPr>
                      <w:szCs w:val="21"/>
                    </w:rPr>
                  </w:pPr>
                  <w:r>
                    <w:rPr>
                      <w:rFonts w:ascii="宋体" w:hAnsi="宋体"/>
                      <w:szCs w:val="21"/>
                    </w:rPr>
                    <w:t>TSP</w:t>
                  </w:r>
                </w:p>
              </w:tc>
              <w:tc>
                <w:tcPr>
                  <w:tcW w:w="1253" w:type="dxa"/>
                  <w:tcBorders>
                    <w:top w:val="single" w:color="auto" w:sz="2" w:space="0"/>
                    <w:left w:val="single" w:color="auto" w:sz="2" w:space="0"/>
                    <w:bottom w:val="single" w:color="auto" w:sz="12" w:space="0"/>
                    <w:right w:val="single" w:color="auto" w:sz="2" w:space="0"/>
                  </w:tcBorders>
                  <w:vAlign w:val="center"/>
                </w:tcPr>
                <w:p w14:paraId="14C5F4FD">
                  <w:pPr>
                    <w:jc w:val="center"/>
                    <w:rPr>
                      <w:szCs w:val="21"/>
                    </w:rPr>
                  </w:pPr>
                  <w:r>
                    <w:rPr>
                      <w:rFonts w:hint="eastAsia" w:ascii="宋体" w:hAnsi="宋体"/>
                      <w:szCs w:val="21"/>
                    </w:rPr>
                    <w:t>二类限区</w:t>
                  </w:r>
                </w:p>
              </w:tc>
              <w:tc>
                <w:tcPr>
                  <w:tcW w:w="1253" w:type="dxa"/>
                  <w:tcBorders>
                    <w:top w:val="single" w:color="auto" w:sz="2" w:space="0"/>
                    <w:left w:val="single" w:color="auto" w:sz="2" w:space="0"/>
                    <w:bottom w:val="single" w:color="auto" w:sz="12" w:space="0"/>
                    <w:right w:val="single" w:color="auto" w:sz="2" w:space="0"/>
                  </w:tcBorders>
                  <w:vAlign w:val="center"/>
                </w:tcPr>
                <w:p w14:paraId="09545D7D">
                  <w:pPr>
                    <w:jc w:val="center"/>
                    <w:rPr>
                      <w:szCs w:val="21"/>
                    </w:rPr>
                  </w:pPr>
                  <w:r>
                    <w:rPr>
                      <w:rFonts w:hint="eastAsia" w:ascii="宋体" w:hAnsi="宋体"/>
                      <w:szCs w:val="21"/>
                    </w:rPr>
                    <w:t>日均</w:t>
                  </w:r>
                </w:p>
              </w:tc>
              <w:tc>
                <w:tcPr>
                  <w:tcW w:w="2222" w:type="dxa"/>
                  <w:tcBorders>
                    <w:top w:val="single" w:color="auto" w:sz="2" w:space="0"/>
                    <w:left w:val="single" w:color="auto" w:sz="2" w:space="0"/>
                    <w:bottom w:val="single" w:color="auto" w:sz="12" w:space="0"/>
                    <w:right w:val="single" w:color="auto" w:sz="2" w:space="0"/>
                  </w:tcBorders>
                  <w:vAlign w:val="center"/>
                </w:tcPr>
                <w:p w14:paraId="04933425">
                  <w:pPr>
                    <w:jc w:val="center"/>
                    <w:rPr>
                      <w:szCs w:val="21"/>
                    </w:rPr>
                  </w:pPr>
                  <w:r>
                    <w:rPr>
                      <w:rFonts w:ascii="宋体" w:hAnsi="宋体"/>
                      <w:szCs w:val="21"/>
                    </w:rPr>
                    <w:t>300.0</w:t>
                  </w:r>
                </w:p>
              </w:tc>
              <w:tc>
                <w:tcPr>
                  <w:tcW w:w="2222" w:type="dxa"/>
                  <w:tcBorders>
                    <w:top w:val="single" w:color="auto" w:sz="2" w:space="0"/>
                    <w:left w:val="single" w:color="auto" w:sz="2" w:space="0"/>
                    <w:bottom w:val="single" w:color="auto" w:sz="12" w:space="0"/>
                    <w:right w:val="single" w:color="auto" w:sz="12" w:space="0"/>
                  </w:tcBorders>
                  <w:vAlign w:val="center"/>
                </w:tcPr>
                <w:p w14:paraId="1E44179B">
                  <w:pPr>
                    <w:jc w:val="center"/>
                    <w:rPr>
                      <w:szCs w:val="21"/>
                    </w:rPr>
                  </w:pPr>
                  <w:r>
                    <w:rPr>
                      <w:rFonts w:hint="eastAsia" w:ascii="宋体" w:hAnsi="宋体"/>
                      <w:szCs w:val="21"/>
                    </w:rPr>
                    <w:t>环境空气质量标准</w:t>
                  </w:r>
                  <w:r>
                    <w:rPr>
                      <w:rFonts w:hint="eastAsia" w:ascii="宋体" w:hAnsi="宋体"/>
                      <w:szCs w:val="21"/>
                      <w:lang w:eastAsia="zh-CN"/>
                    </w:rPr>
                    <w:t>（</w:t>
                  </w:r>
                  <w:r>
                    <w:rPr>
                      <w:rFonts w:hint="eastAsia" w:ascii="宋体" w:hAnsi="宋体"/>
                      <w:szCs w:val="21"/>
                    </w:rPr>
                    <w:t>GB 3095-2012</w:t>
                  </w:r>
                  <w:r>
                    <w:rPr>
                      <w:rFonts w:hint="eastAsia" w:ascii="宋体" w:hAnsi="宋体"/>
                      <w:szCs w:val="21"/>
                      <w:lang w:eastAsia="zh-CN"/>
                    </w:rPr>
                    <w:t>）</w:t>
                  </w:r>
                </w:p>
              </w:tc>
            </w:tr>
          </w:tbl>
          <w:p w14:paraId="505292DA">
            <w:pPr>
              <w:adjustRightInd w:val="0"/>
              <w:snapToGrid w:val="0"/>
              <w:spacing w:line="480" w:lineRule="exact"/>
              <w:ind w:firstLine="480" w:firstLineChars="200"/>
              <w:rPr>
                <w:sz w:val="24"/>
              </w:rPr>
            </w:pPr>
            <w:r>
              <w:rPr>
                <w:sz w:val="24"/>
              </w:rPr>
              <w:t>（4）污染源参数</w:t>
            </w:r>
          </w:p>
          <w:p w14:paraId="4997DDF7">
            <w:pPr>
              <w:spacing w:line="480" w:lineRule="exact"/>
              <w:jc w:val="center"/>
              <w:rPr>
                <w:rFonts w:ascii="黑体" w:hAnsi="黑体" w:eastAsia="黑体"/>
                <w:szCs w:val="22"/>
              </w:rPr>
            </w:pPr>
            <w:r>
              <w:rPr>
                <w:rFonts w:hint="eastAsia" w:ascii="黑体" w:hAnsi="黑体" w:eastAsia="黑体" w:cs="宋体"/>
                <w:sz w:val="24"/>
              </w:rPr>
              <w:t>表</w:t>
            </w:r>
            <w:r>
              <w:rPr>
                <w:rFonts w:ascii="黑体" w:hAnsi="黑体" w:eastAsia="黑体" w:cs="宋体"/>
                <w:sz w:val="24"/>
              </w:rPr>
              <w:t xml:space="preserve">7-4  </w:t>
            </w:r>
            <w:r>
              <w:rPr>
                <w:rFonts w:hint="eastAsia" w:ascii="黑体" w:hAnsi="黑体" w:eastAsia="黑体" w:cs="宋体"/>
                <w:sz w:val="24"/>
              </w:rPr>
              <w:t>要废气污染源参数一览表</w:t>
            </w:r>
            <w:r>
              <w:rPr>
                <w:rFonts w:hint="eastAsia" w:ascii="黑体" w:hAnsi="黑体" w:eastAsia="黑体" w:cs="宋体"/>
                <w:sz w:val="24"/>
                <w:lang w:eastAsia="zh-CN"/>
              </w:rPr>
              <w:t>（</w:t>
            </w:r>
            <w:r>
              <w:rPr>
                <w:rFonts w:hint="eastAsia" w:ascii="黑体" w:hAnsi="黑体" w:eastAsia="黑体" w:cs="宋体"/>
                <w:sz w:val="24"/>
              </w:rPr>
              <w:t>矩形面源</w:t>
            </w:r>
            <w:r>
              <w:rPr>
                <w:rFonts w:hint="eastAsia" w:ascii="黑体" w:hAnsi="黑体" w:eastAsia="黑体" w:cs="宋体"/>
                <w:sz w:val="24"/>
                <w:lang w:eastAsia="zh-CN"/>
              </w:rPr>
              <w:t>）</w:t>
            </w:r>
          </w:p>
          <w:tbl>
            <w:tblPr>
              <w:tblStyle w:val="25"/>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28"/>
              <w:gridCol w:w="1570"/>
              <w:gridCol w:w="1440"/>
              <w:gridCol w:w="1179"/>
              <w:gridCol w:w="918"/>
              <w:gridCol w:w="918"/>
              <w:gridCol w:w="918"/>
              <w:gridCol w:w="1057"/>
            </w:tblGrid>
            <w:tr w14:paraId="187BCF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10" w:type="pct"/>
                  <w:vMerge w:val="restart"/>
                  <w:tcBorders>
                    <w:top w:val="single" w:color="auto" w:sz="12" w:space="0"/>
                    <w:left w:val="single" w:color="auto" w:sz="12" w:space="0"/>
                  </w:tcBorders>
                  <w:vAlign w:val="center"/>
                </w:tcPr>
                <w:p w14:paraId="5EEEBA90">
                  <w:pPr>
                    <w:jc w:val="center"/>
                    <w:rPr>
                      <w:szCs w:val="21"/>
                    </w:rPr>
                  </w:pPr>
                  <w:r>
                    <w:rPr>
                      <w:rFonts w:ascii="宋体" w:hAnsi="宋体"/>
                      <w:szCs w:val="21"/>
                    </w:rPr>
                    <w:t>污染源名称</w:t>
                  </w:r>
                </w:p>
              </w:tc>
              <w:tc>
                <w:tcPr>
                  <w:tcW w:w="1766" w:type="pct"/>
                  <w:gridSpan w:val="2"/>
                  <w:tcBorders>
                    <w:top w:val="single" w:color="auto" w:sz="12" w:space="0"/>
                  </w:tcBorders>
                  <w:vAlign w:val="center"/>
                </w:tcPr>
                <w:p w14:paraId="07781CA1">
                  <w:pPr>
                    <w:jc w:val="center"/>
                    <w:rPr>
                      <w:szCs w:val="21"/>
                    </w:rPr>
                  </w:pPr>
                  <w:r>
                    <w:rPr>
                      <w:rFonts w:ascii="宋体" w:hAnsi="宋体"/>
                      <w:szCs w:val="21"/>
                    </w:rPr>
                    <w:t>坐标</w:t>
                  </w:r>
                  <w:r>
                    <w:rPr>
                      <w:rFonts w:hint="eastAsia" w:ascii="宋体" w:hAnsi="宋体"/>
                      <w:szCs w:val="21"/>
                      <w:lang w:eastAsia="zh-CN"/>
                    </w:rPr>
                    <w:t>（</w:t>
                  </w:r>
                  <w:r>
                    <w:rPr>
                      <w:rFonts w:ascii="宋体" w:hAnsi="宋体"/>
                      <w:szCs w:val="21"/>
                    </w:rPr>
                    <w:t>°</w:t>
                  </w:r>
                  <w:r>
                    <w:rPr>
                      <w:rFonts w:hint="eastAsia" w:ascii="宋体" w:hAnsi="宋体"/>
                      <w:szCs w:val="21"/>
                      <w:lang w:eastAsia="zh-CN"/>
                    </w:rPr>
                    <w:t>）</w:t>
                  </w:r>
                </w:p>
              </w:tc>
              <w:tc>
                <w:tcPr>
                  <w:tcW w:w="692" w:type="pct"/>
                  <w:vMerge w:val="restart"/>
                  <w:tcBorders>
                    <w:top w:val="single" w:color="auto" w:sz="12" w:space="0"/>
                  </w:tcBorders>
                  <w:vAlign w:val="center"/>
                </w:tcPr>
                <w:p w14:paraId="25EEF8B3">
                  <w:pPr>
                    <w:jc w:val="center"/>
                    <w:rPr>
                      <w:szCs w:val="21"/>
                    </w:rPr>
                  </w:pPr>
                  <w:r>
                    <w:rPr>
                      <w:rFonts w:hint="eastAsia" w:ascii="宋体" w:hAnsi="宋体"/>
                      <w:szCs w:val="21"/>
                      <w:lang w:eastAsia="zh-CN"/>
                    </w:rPr>
                    <w:t>海拔（</w:t>
                  </w:r>
                  <w:r>
                    <w:rPr>
                      <w:rFonts w:ascii="宋体" w:hAnsi="宋体"/>
                      <w:szCs w:val="21"/>
                    </w:rPr>
                    <w:t>m</w:t>
                  </w:r>
                  <w:r>
                    <w:rPr>
                      <w:rFonts w:hint="eastAsia" w:ascii="宋体" w:hAnsi="宋体"/>
                      <w:szCs w:val="21"/>
                      <w:lang w:eastAsia="zh-CN"/>
                    </w:rPr>
                    <w:t>）</w:t>
                  </w:r>
                </w:p>
              </w:tc>
              <w:tc>
                <w:tcPr>
                  <w:tcW w:w="1617" w:type="pct"/>
                  <w:gridSpan w:val="3"/>
                  <w:tcBorders>
                    <w:top w:val="single" w:color="auto" w:sz="12" w:space="0"/>
                  </w:tcBorders>
                  <w:vAlign w:val="center"/>
                </w:tcPr>
                <w:p w14:paraId="5BC7A4F2">
                  <w:pPr>
                    <w:jc w:val="center"/>
                    <w:rPr>
                      <w:szCs w:val="21"/>
                    </w:rPr>
                  </w:pPr>
                  <w:r>
                    <w:rPr>
                      <w:rFonts w:ascii="宋体" w:hAnsi="宋体"/>
                      <w:szCs w:val="21"/>
                    </w:rPr>
                    <w:t>矩形面源</w:t>
                  </w:r>
                </w:p>
              </w:tc>
              <w:tc>
                <w:tcPr>
                  <w:tcW w:w="615" w:type="pct"/>
                  <w:tcBorders>
                    <w:top w:val="single" w:color="auto" w:sz="12" w:space="0"/>
                    <w:right w:val="single" w:color="auto" w:sz="12" w:space="0"/>
                  </w:tcBorders>
                  <w:vAlign w:val="center"/>
                </w:tcPr>
                <w:p w14:paraId="150FC16B">
                  <w:pPr>
                    <w:jc w:val="center"/>
                    <w:rPr>
                      <w:szCs w:val="21"/>
                    </w:rPr>
                  </w:pPr>
                  <w:r>
                    <w:rPr>
                      <w:rFonts w:ascii="宋体" w:hAnsi="宋体"/>
                      <w:szCs w:val="21"/>
                    </w:rPr>
                    <w:t>污染物排放速率</w:t>
                  </w:r>
                  <w:r>
                    <w:rPr>
                      <w:rFonts w:hint="eastAsia" w:ascii="宋体" w:hAnsi="宋体"/>
                      <w:szCs w:val="21"/>
                      <w:lang w:eastAsia="zh-CN"/>
                    </w:rPr>
                    <w:t>（</w:t>
                  </w:r>
                  <w:r>
                    <w:rPr>
                      <w:rFonts w:ascii="宋体" w:hAnsi="宋体"/>
                      <w:szCs w:val="21"/>
                    </w:rPr>
                    <w:t>kg/h</w:t>
                  </w:r>
                  <w:r>
                    <w:rPr>
                      <w:rFonts w:hint="eastAsia" w:ascii="宋体" w:hAnsi="宋体"/>
                      <w:szCs w:val="21"/>
                      <w:lang w:eastAsia="zh-CN"/>
                    </w:rPr>
                    <w:t>）</w:t>
                  </w:r>
                </w:p>
              </w:tc>
            </w:tr>
            <w:tr w14:paraId="685110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10" w:type="pct"/>
                  <w:vMerge w:val="continue"/>
                  <w:tcBorders>
                    <w:left w:val="single" w:color="auto" w:sz="12" w:space="0"/>
                  </w:tcBorders>
                  <w:vAlign w:val="center"/>
                </w:tcPr>
                <w:p w14:paraId="60DE0D8E">
                  <w:pPr>
                    <w:jc w:val="center"/>
                    <w:rPr>
                      <w:szCs w:val="21"/>
                    </w:rPr>
                  </w:pPr>
                </w:p>
              </w:tc>
              <w:tc>
                <w:tcPr>
                  <w:tcW w:w="921" w:type="pct"/>
                  <w:vAlign w:val="center"/>
                </w:tcPr>
                <w:p w14:paraId="41BAF6C0">
                  <w:pPr>
                    <w:jc w:val="center"/>
                    <w:rPr>
                      <w:szCs w:val="21"/>
                    </w:rPr>
                  </w:pPr>
                  <w:r>
                    <w:rPr>
                      <w:rFonts w:ascii="宋体" w:hAnsi="宋体"/>
                      <w:szCs w:val="21"/>
                    </w:rPr>
                    <w:t>经度</w:t>
                  </w:r>
                </w:p>
              </w:tc>
              <w:tc>
                <w:tcPr>
                  <w:tcW w:w="845" w:type="pct"/>
                  <w:vAlign w:val="center"/>
                </w:tcPr>
                <w:p w14:paraId="3C98E863">
                  <w:pPr>
                    <w:jc w:val="center"/>
                    <w:rPr>
                      <w:szCs w:val="21"/>
                    </w:rPr>
                  </w:pPr>
                  <w:r>
                    <w:rPr>
                      <w:rFonts w:ascii="宋体" w:hAnsi="宋体"/>
                      <w:szCs w:val="21"/>
                    </w:rPr>
                    <w:t>纬度</w:t>
                  </w:r>
                </w:p>
              </w:tc>
              <w:tc>
                <w:tcPr>
                  <w:tcW w:w="692" w:type="pct"/>
                  <w:vMerge w:val="continue"/>
                  <w:vAlign w:val="center"/>
                </w:tcPr>
                <w:p w14:paraId="5117E020">
                  <w:pPr>
                    <w:jc w:val="center"/>
                    <w:rPr>
                      <w:szCs w:val="21"/>
                    </w:rPr>
                  </w:pPr>
                </w:p>
              </w:tc>
              <w:tc>
                <w:tcPr>
                  <w:tcW w:w="539" w:type="pct"/>
                  <w:vAlign w:val="center"/>
                </w:tcPr>
                <w:p w14:paraId="1BFE1461">
                  <w:pPr>
                    <w:jc w:val="center"/>
                    <w:rPr>
                      <w:szCs w:val="21"/>
                    </w:rPr>
                  </w:pPr>
                  <w:r>
                    <w:rPr>
                      <w:rFonts w:ascii="宋体" w:hAnsi="宋体"/>
                      <w:szCs w:val="21"/>
                    </w:rPr>
                    <w:t>长度</w:t>
                  </w:r>
                  <w:r>
                    <w:rPr>
                      <w:rFonts w:hint="eastAsia" w:ascii="宋体" w:hAnsi="宋体"/>
                      <w:szCs w:val="21"/>
                      <w:lang w:eastAsia="zh-CN"/>
                    </w:rPr>
                    <w:t>（</w:t>
                  </w:r>
                  <w:r>
                    <w:rPr>
                      <w:rFonts w:ascii="宋体" w:hAnsi="宋体"/>
                      <w:szCs w:val="21"/>
                    </w:rPr>
                    <w:t>m</w:t>
                  </w:r>
                  <w:r>
                    <w:rPr>
                      <w:rFonts w:hint="eastAsia" w:ascii="宋体" w:hAnsi="宋体"/>
                      <w:szCs w:val="21"/>
                      <w:lang w:eastAsia="zh-CN"/>
                    </w:rPr>
                    <w:t>）</w:t>
                  </w:r>
                </w:p>
              </w:tc>
              <w:tc>
                <w:tcPr>
                  <w:tcW w:w="539" w:type="pct"/>
                  <w:vAlign w:val="center"/>
                </w:tcPr>
                <w:p w14:paraId="7D607E2A">
                  <w:pPr>
                    <w:jc w:val="center"/>
                    <w:rPr>
                      <w:szCs w:val="21"/>
                    </w:rPr>
                  </w:pPr>
                  <w:r>
                    <w:rPr>
                      <w:rFonts w:ascii="宋体" w:hAnsi="宋体"/>
                      <w:szCs w:val="21"/>
                    </w:rPr>
                    <w:t>宽度</w:t>
                  </w:r>
                  <w:r>
                    <w:rPr>
                      <w:rFonts w:hint="eastAsia" w:ascii="宋体" w:hAnsi="宋体"/>
                      <w:szCs w:val="21"/>
                      <w:lang w:eastAsia="zh-CN"/>
                    </w:rPr>
                    <w:t>（</w:t>
                  </w:r>
                  <w:r>
                    <w:rPr>
                      <w:rFonts w:ascii="宋体" w:hAnsi="宋体"/>
                      <w:szCs w:val="21"/>
                    </w:rPr>
                    <w:t>m</w:t>
                  </w:r>
                  <w:r>
                    <w:rPr>
                      <w:rFonts w:hint="eastAsia" w:ascii="宋体" w:hAnsi="宋体"/>
                      <w:szCs w:val="21"/>
                      <w:lang w:eastAsia="zh-CN"/>
                    </w:rPr>
                    <w:t>）</w:t>
                  </w:r>
                </w:p>
              </w:tc>
              <w:tc>
                <w:tcPr>
                  <w:tcW w:w="539" w:type="pct"/>
                  <w:vAlign w:val="center"/>
                </w:tcPr>
                <w:p w14:paraId="79D5028C">
                  <w:pPr>
                    <w:jc w:val="center"/>
                    <w:rPr>
                      <w:szCs w:val="21"/>
                    </w:rPr>
                  </w:pPr>
                  <w:r>
                    <w:rPr>
                      <w:rFonts w:ascii="宋体" w:hAnsi="宋体"/>
                      <w:szCs w:val="21"/>
                    </w:rPr>
                    <w:t>有效高度</w:t>
                  </w:r>
                  <w:r>
                    <w:rPr>
                      <w:rFonts w:hint="eastAsia" w:ascii="宋体" w:hAnsi="宋体"/>
                      <w:szCs w:val="21"/>
                      <w:lang w:eastAsia="zh-CN"/>
                    </w:rPr>
                    <w:t>（</w:t>
                  </w:r>
                  <w:r>
                    <w:rPr>
                      <w:rFonts w:ascii="宋体" w:hAnsi="宋体"/>
                      <w:szCs w:val="21"/>
                    </w:rPr>
                    <w:t>m</w:t>
                  </w:r>
                  <w:r>
                    <w:rPr>
                      <w:rFonts w:hint="eastAsia" w:ascii="宋体" w:hAnsi="宋体"/>
                      <w:szCs w:val="21"/>
                      <w:lang w:eastAsia="zh-CN"/>
                    </w:rPr>
                    <w:t>）</w:t>
                  </w:r>
                </w:p>
              </w:tc>
              <w:tc>
                <w:tcPr>
                  <w:tcW w:w="615" w:type="pct"/>
                  <w:tcBorders>
                    <w:right w:val="single" w:color="auto" w:sz="12" w:space="0"/>
                  </w:tcBorders>
                  <w:vAlign w:val="center"/>
                </w:tcPr>
                <w:p w14:paraId="7BCFA746">
                  <w:pPr>
                    <w:jc w:val="center"/>
                    <w:rPr>
                      <w:szCs w:val="21"/>
                    </w:rPr>
                  </w:pPr>
                  <w:r>
                    <w:rPr>
                      <w:rFonts w:ascii="宋体" w:hAnsi="宋体"/>
                      <w:szCs w:val="21"/>
                    </w:rPr>
                    <w:t>TSP</w:t>
                  </w:r>
                </w:p>
              </w:tc>
            </w:tr>
            <w:tr w14:paraId="4E838E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10" w:type="pct"/>
                  <w:tcBorders>
                    <w:left w:val="single" w:color="auto" w:sz="12" w:space="0"/>
                    <w:bottom w:val="single" w:color="auto" w:sz="12" w:space="0"/>
                  </w:tcBorders>
                  <w:vAlign w:val="center"/>
                </w:tcPr>
                <w:p w14:paraId="08ED4A81">
                  <w:pPr>
                    <w:jc w:val="center"/>
                    <w:rPr>
                      <w:szCs w:val="21"/>
                    </w:rPr>
                  </w:pPr>
                  <w:r>
                    <w:rPr>
                      <w:rFonts w:ascii="宋体" w:hAnsi="宋体"/>
                      <w:szCs w:val="21"/>
                    </w:rPr>
                    <w:t>矩形面源</w:t>
                  </w:r>
                </w:p>
              </w:tc>
              <w:tc>
                <w:tcPr>
                  <w:tcW w:w="921" w:type="pct"/>
                  <w:tcBorders>
                    <w:bottom w:val="single" w:color="auto" w:sz="12" w:space="0"/>
                  </w:tcBorders>
                  <w:vAlign w:val="center"/>
                </w:tcPr>
                <w:p w14:paraId="124FE95E">
                  <w:pPr>
                    <w:jc w:val="center"/>
                    <w:rPr>
                      <w:szCs w:val="21"/>
                    </w:rPr>
                  </w:pPr>
                  <w:r>
                    <w:rPr>
                      <w:rFonts w:ascii="宋体" w:hAnsi="宋体"/>
                      <w:szCs w:val="21"/>
                    </w:rPr>
                    <w:t>103.530522</w:t>
                  </w:r>
                </w:p>
              </w:tc>
              <w:tc>
                <w:tcPr>
                  <w:tcW w:w="845" w:type="pct"/>
                  <w:tcBorders>
                    <w:bottom w:val="single" w:color="auto" w:sz="12" w:space="0"/>
                  </w:tcBorders>
                  <w:vAlign w:val="center"/>
                </w:tcPr>
                <w:p w14:paraId="1EB87EF6">
                  <w:pPr>
                    <w:jc w:val="center"/>
                    <w:rPr>
                      <w:szCs w:val="21"/>
                    </w:rPr>
                  </w:pPr>
                  <w:r>
                    <w:rPr>
                      <w:rFonts w:ascii="宋体" w:hAnsi="宋体"/>
                      <w:szCs w:val="21"/>
                    </w:rPr>
                    <w:t>29.150708</w:t>
                  </w:r>
                </w:p>
              </w:tc>
              <w:tc>
                <w:tcPr>
                  <w:tcW w:w="692" w:type="pct"/>
                  <w:tcBorders>
                    <w:bottom w:val="single" w:color="auto" w:sz="12" w:space="0"/>
                  </w:tcBorders>
                  <w:vAlign w:val="center"/>
                </w:tcPr>
                <w:p w14:paraId="26EB659B">
                  <w:pPr>
                    <w:jc w:val="center"/>
                    <w:rPr>
                      <w:szCs w:val="21"/>
                    </w:rPr>
                  </w:pPr>
                  <w:r>
                    <w:rPr>
                      <w:rFonts w:ascii="宋体" w:hAnsi="宋体"/>
                      <w:szCs w:val="21"/>
                    </w:rPr>
                    <w:t>1071.00</w:t>
                  </w:r>
                </w:p>
              </w:tc>
              <w:tc>
                <w:tcPr>
                  <w:tcW w:w="539" w:type="pct"/>
                  <w:tcBorders>
                    <w:bottom w:val="single" w:color="auto" w:sz="12" w:space="0"/>
                  </w:tcBorders>
                  <w:vAlign w:val="center"/>
                </w:tcPr>
                <w:p w14:paraId="2FA5B4AA">
                  <w:pPr>
                    <w:jc w:val="center"/>
                    <w:rPr>
                      <w:szCs w:val="21"/>
                    </w:rPr>
                  </w:pPr>
                  <w:r>
                    <w:rPr>
                      <w:rFonts w:ascii="宋体" w:hAnsi="宋体"/>
                      <w:szCs w:val="21"/>
                    </w:rPr>
                    <w:t>29.61</w:t>
                  </w:r>
                </w:p>
              </w:tc>
              <w:tc>
                <w:tcPr>
                  <w:tcW w:w="539" w:type="pct"/>
                  <w:tcBorders>
                    <w:bottom w:val="single" w:color="auto" w:sz="12" w:space="0"/>
                  </w:tcBorders>
                  <w:vAlign w:val="center"/>
                </w:tcPr>
                <w:p w14:paraId="0310B0EF">
                  <w:pPr>
                    <w:jc w:val="center"/>
                    <w:rPr>
                      <w:szCs w:val="21"/>
                    </w:rPr>
                  </w:pPr>
                  <w:r>
                    <w:rPr>
                      <w:rFonts w:ascii="宋体" w:hAnsi="宋体"/>
                      <w:szCs w:val="21"/>
                    </w:rPr>
                    <w:t>11.07</w:t>
                  </w:r>
                </w:p>
              </w:tc>
              <w:tc>
                <w:tcPr>
                  <w:tcW w:w="539" w:type="pct"/>
                  <w:tcBorders>
                    <w:bottom w:val="single" w:color="auto" w:sz="12" w:space="0"/>
                  </w:tcBorders>
                  <w:vAlign w:val="center"/>
                </w:tcPr>
                <w:p w14:paraId="326065C4">
                  <w:pPr>
                    <w:jc w:val="center"/>
                    <w:rPr>
                      <w:szCs w:val="21"/>
                    </w:rPr>
                  </w:pPr>
                  <w:r>
                    <w:rPr>
                      <w:rFonts w:ascii="宋体" w:hAnsi="宋体"/>
                      <w:szCs w:val="21"/>
                    </w:rPr>
                    <w:t>10.00</w:t>
                  </w:r>
                </w:p>
              </w:tc>
              <w:tc>
                <w:tcPr>
                  <w:tcW w:w="615" w:type="pct"/>
                  <w:tcBorders>
                    <w:bottom w:val="single" w:color="auto" w:sz="12" w:space="0"/>
                    <w:right w:val="single" w:color="auto" w:sz="12" w:space="0"/>
                  </w:tcBorders>
                  <w:vAlign w:val="center"/>
                </w:tcPr>
                <w:p w14:paraId="372CD8BD">
                  <w:pPr>
                    <w:jc w:val="center"/>
                    <w:rPr>
                      <w:szCs w:val="21"/>
                    </w:rPr>
                  </w:pPr>
                  <w:r>
                    <w:rPr>
                      <w:rFonts w:ascii="宋体" w:hAnsi="宋体"/>
                      <w:szCs w:val="21"/>
                    </w:rPr>
                    <w:t>0.0290</w:t>
                  </w:r>
                </w:p>
              </w:tc>
            </w:tr>
          </w:tbl>
          <w:p w14:paraId="35664107">
            <w:pPr>
              <w:spacing w:line="360" w:lineRule="auto"/>
              <w:ind w:firstLine="480" w:firstLineChars="200"/>
              <w:rPr>
                <w:sz w:val="24"/>
              </w:rPr>
            </w:pPr>
            <w:r>
              <w:rPr>
                <w:sz w:val="24"/>
              </w:rPr>
              <w:t>（5）估算模式所用参数见表。</w:t>
            </w:r>
          </w:p>
          <w:p w14:paraId="78541268">
            <w:pPr>
              <w:spacing w:line="480" w:lineRule="exact"/>
              <w:ind w:firstLine="480" w:firstLineChars="200"/>
            </w:pPr>
            <w:r>
              <w:rPr>
                <w:rFonts w:hint="eastAsia" w:ascii="宋体" w:hAnsi="宋体" w:cs="宋体"/>
                <w:sz w:val="24"/>
              </w:rPr>
              <w:t>估算模式所用参数见表</w:t>
            </w:r>
            <w:r>
              <w:rPr>
                <w:rFonts w:ascii="宋体" w:hAnsi="宋体" w:cs="宋体"/>
                <w:sz w:val="24"/>
              </w:rPr>
              <w:t>7-5</w:t>
            </w:r>
          </w:p>
          <w:p w14:paraId="4C5311D2">
            <w:pPr>
              <w:spacing w:line="480" w:lineRule="exact"/>
              <w:jc w:val="center"/>
              <w:rPr>
                <w:rFonts w:ascii="黑体" w:hAnsi="黑体" w:eastAsia="黑体"/>
              </w:rPr>
            </w:pPr>
            <w:r>
              <w:rPr>
                <w:rFonts w:hint="eastAsia" w:ascii="黑体" w:hAnsi="黑体" w:eastAsia="黑体" w:cs="宋体"/>
                <w:sz w:val="24"/>
              </w:rPr>
              <w:t>表</w:t>
            </w:r>
            <w:r>
              <w:rPr>
                <w:rFonts w:ascii="黑体" w:hAnsi="黑体" w:eastAsia="黑体" w:cs="宋体"/>
                <w:sz w:val="24"/>
              </w:rPr>
              <w:t xml:space="preserve">7-5  </w:t>
            </w:r>
            <w:r>
              <w:rPr>
                <w:rFonts w:hint="eastAsia" w:ascii="黑体" w:hAnsi="黑体" w:eastAsia="黑体" w:cs="宋体"/>
                <w:sz w:val="24"/>
              </w:rPr>
              <w:t>估算模型参数表</w:t>
            </w:r>
          </w:p>
          <w:tbl>
            <w:tblPr>
              <w:tblStyle w:val="25"/>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197"/>
              <w:gridCol w:w="3905"/>
              <w:gridCol w:w="1426"/>
            </w:tblGrid>
            <w:tr w14:paraId="7C38B0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gridSpan w:val="2"/>
                  <w:tcBorders>
                    <w:top w:val="single" w:color="auto" w:sz="12" w:space="0"/>
                    <w:left w:val="single" w:color="auto" w:sz="12" w:space="0"/>
                  </w:tcBorders>
                  <w:vAlign w:val="center"/>
                </w:tcPr>
                <w:p w14:paraId="0AD36F7B">
                  <w:pPr>
                    <w:jc w:val="center"/>
                    <w:rPr>
                      <w:szCs w:val="21"/>
                    </w:rPr>
                  </w:pPr>
                  <w:r>
                    <w:rPr>
                      <w:rFonts w:ascii="宋体" w:hAnsi="宋体"/>
                      <w:szCs w:val="21"/>
                    </w:rPr>
                    <w:t>参数</w:t>
                  </w:r>
                </w:p>
              </w:tc>
              <w:tc>
                <w:tcPr>
                  <w:tcW w:w="0" w:type="auto"/>
                  <w:tcBorders>
                    <w:top w:val="single" w:color="auto" w:sz="12" w:space="0"/>
                    <w:right w:val="single" w:color="auto" w:sz="12" w:space="0"/>
                  </w:tcBorders>
                  <w:vAlign w:val="center"/>
                </w:tcPr>
                <w:p w14:paraId="6C6866B2">
                  <w:pPr>
                    <w:jc w:val="center"/>
                    <w:rPr>
                      <w:szCs w:val="21"/>
                    </w:rPr>
                  </w:pPr>
                  <w:r>
                    <w:rPr>
                      <w:rFonts w:ascii="宋体" w:hAnsi="宋体"/>
                      <w:szCs w:val="21"/>
                    </w:rPr>
                    <w:t>取值</w:t>
                  </w:r>
                </w:p>
              </w:tc>
            </w:tr>
            <w:tr w14:paraId="5772D1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vMerge w:val="restart"/>
                  <w:tcBorders>
                    <w:left w:val="single" w:color="auto" w:sz="12" w:space="0"/>
                  </w:tcBorders>
                  <w:vAlign w:val="center"/>
                </w:tcPr>
                <w:p w14:paraId="25D8FA3E">
                  <w:pPr>
                    <w:jc w:val="center"/>
                    <w:rPr>
                      <w:szCs w:val="21"/>
                    </w:rPr>
                  </w:pPr>
                  <w:r>
                    <w:rPr>
                      <w:rFonts w:ascii="宋体" w:hAnsi="宋体"/>
                      <w:szCs w:val="21"/>
                    </w:rPr>
                    <w:t>城市/农村选项</w:t>
                  </w:r>
                </w:p>
              </w:tc>
              <w:tc>
                <w:tcPr>
                  <w:tcW w:w="0" w:type="auto"/>
                  <w:vAlign w:val="center"/>
                </w:tcPr>
                <w:p w14:paraId="1004F637">
                  <w:pPr>
                    <w:jc w:val="center"/>
                    <w:rPr>
                      <w:szCs w:val="21"/>
                    </w:rPr>
                  </w:pPr>
                  <w:r>
                    <w:rPr>
                      <w:rFonts w:ascii="宋体" w:hAnsi="宋体"/>
                      <w:szCs w:val="21"/>
                    </w:rPr>
                    <w:t>城市/农村</w:t>
                  </w:r>
                </w:p>
              </w:tc>
              <w:tc>
                <w:tcPr>
                  <w:tcW w:w="0" w:type="auto"/>
                  <w:tcBorders>
                    <w:right w:val="single" w:color="auto" w:sz="12" w:space="0"/>
                  </w:tcBorders>
                  <w:vAlign w:val="center"/>
                </w:tcPr>
                <w:p w14:paraId="29665FB8">
                  <w:pPr>
                    <w:jc w:val="center"/>
                    <w:rPr>
                      <w:szCs w:val="21"/>
                    </w:rPr>
                  </w:pPr>
                  <w:r>
                    <w:rPr>
                      <w:rFonts w:ascii="宋体" w:hAnsi="宋体"/>
                      <w:szCs w:val="21"/>
                    </w:rPr>
                    <w:t>农村</w:t>
                  </w:r>
                </w:p>
              </w:tc>
            </w:tr>
            <w:tr w14:paraId="68A506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vMerge w:val="continue"/>
                  <w:tcBorders>
                    <w:left w:val="single" w:color="auto" w:sz="12" w:space="0"/>
                  </w:tcBorders>
                  <w:vAlign w:val="center"/>
                </w:tcPr>
                <w:p w14:paraId="6ACD1302">
                  <w:pPr>
                    <w:jc w:val="center"/>
                    <w:rPr>
                      <w:szCs w:val="21"/>
                    </w:rPr>
                  </w:pPr>
                </w:p>
              </w:tc>
              <w:tc>
                <w:tcPr>
                  <w:tcW w:w="0" w:type="auto"/>
                  <w:vAlign w:val="center"/>
                </w:tcPr>
                <w:p w14:paraId="585F2CE2">
                  <w:pPr>
                    <w:jc w:val="center"/>
                    <w:rPr>
                      <w:szCs w:val="21"/>
                    </w:rPr>
                  </w:pPr>
                  <w:r>
                    <w:rPr>
                      <w:rFonts w:ascii="宋体" w:hAnsi="宋体"/>
                      <w:szCs w:val="21"/>
                    </w:rPr>
                    <w:t>人口数</w:t>
                  </w:r>
                  <w:r>
                    <w:rPr>
                      <w:rFonts w:hint="eastAsia" w:ascii="宋体" w:hAnsi="宋体"/>
                      <w:szCs w:val="21"/>
                      <w:lang w:eastAsia="zh-CN"/>
                    </w:rPr>
                    <w:t>（</w:t>
                  </w:r>
                  <w:r>
                    <w:rPr>
                      <w:rFonts w:ascii="宋体" w:hAnsi="宋体"/>
                      <w:szCs w:val="21"/>
                    </w:rPr>
                    <w:t>城市人口数</w:t>
                  </w:r>
                  <w:r>
                    <w:rPr>
                      <w:rFonts w:hint="eastAsia" w:ascii="宋体" w:hAnsi="宋体"/>
                      <w:szCs w:val="21"/>
                      <w:lang w:eastAsia="zh-CN"/>
                    </w:rPr>
                    <w:t>）</w:t>
                  </w:r>
                </w:p>
              </w:tc>
              <w:tc>
                <w:tcPr>
                  <w:tcW w:w="0" w:type="auto"/>
                  <w:tcBorders>
                    <w:right w:val="single" w:color="auto" w:sz="12" w:space="0"/>
                  </w:tcBorders>
                  <w:vAlign w:val="center"/>
                </w:tcPr>
                <w:p w14:paraId="5649CF5D">
                  <w:pPr>
                    <w:jc w:val="center"/>
                    <w:rPr>
                      <w:szCs w:val="21"/>
                    </w:rPr>
                  </w:pPr>
                  <w:r>
                    <w:rPr>
                      <w:rFonts w:ascii="宋体" w:hAnsi="宋体"/>
                      <w:szCs w:val="21"/>
                    </w:rPr>
                    <w:t>/</w:t>
                  </w:r>
                </w:p>
              </w:tc>
            </w:tr>
            <w:tr w14:paraId="427A16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gridSpan w:val="2"/>
                  <w:tcBorders>
                    <w:left w:val="single" w:color="auto" w:sz="12" w:space="0"/>
                  </w:tcBorders>
                  <w:vAlign w:val="center"/>
                </w:tcPr>
                <w:p w14:paraId="1E062615">
                  <w:pPr>
                    <w:jc w:val="center"/>
                    <w:rPr>
                      <w:szCs w:val="21"/>
                    </w:rPr>
                  </w:pPr>
                  <w:r>
                    <w:rPr>
                      <w:rFonts w:ascii="宋体" w:hAnsi="宋体"/>
                      <w:szCs w:val="21"/>
                    </w:rPr>
                    <w:t>最高环境温度</w:t>
                  </w:r>
                </w:p>
              </w:tc>
              <w:tc>
                <w:tcPr>
                  <w:tcW w:w="0" w:type="auto"/>
                  <w:tcBorders>
                    <w:right w:val="single" w:color="auto" w:sz="12" w:space="0"/>
                  </w:tcBorders>
                  <w:vAlign w:val="center"/>
                </w:tcPr>
                <w:p w14:paraId="6CEFB184">
                  <w:pPr>
                    <w:jc w:val="center"/>
                    <w:rPr>
                      <w:szCs w:val="21"/>
                    </w:rPr>
                  </w:pPr>
                  <w:r>
                    <w:rPr>
                      <w:rFonts w:ascii="宋体" w:hAnsi="宋体"/>
                      <w:szCs w:val="21"/>
                    </w:rPr>
                    <w:t>23.9</w:t>
                  </w:r>
                </w:p>
              </w:tc>
            </w:tr>
            <w:tr w14:paraId="7CB2F2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gridSpan w:val="2"/>
                  <w:tcBorders>
                    <w:left w:val="single" w:color="auto" w:sz="12" w:space="0"/>
                  </w:tcBorders>
                  <w:vAlign w:val="center"/>
                </w:tcPr>
                <w:p w14:paraId="60BE2EF3">
                  <w:pPr>
                    <w:jc w:val="center"/>
                    <w:rPr>
                      <w:szCs w:val="21"/>
                    </w:rPr>
                  </w:pPr>
                  <w:r>
                    <w:rPr>
                      <w:rFonts w:ascii="宋体" w:hAnsi="宋体"/>
                      <w:szCs w:val="21"/>
                    </w:rPr>
                    <w:t>最低环境温度</w:t>
                  </w:r>
                </w:p>
              </w:tc>
              <w:tc>
                <w:tcPr>
                  <w:tcW w:w="0" w:type="auto"/>
                  <w:tcBorders>
                    <w:right w:val="single" w:color="auto" w:sz="12" w:space="0"/>
                  </w:tcBorders>
                  <w:vAlign w:val="center"/>
                </w:tcPr>
                <w:p w14:paraId="7B1C032E">
                  <w:pPr>
                    <w:jc w:val="center"/>
                    <w:rPr>
                      <w:szCs w:val="21"/>
                    </w:rPr>
                  </w:pPr>
                  <w:r>
                    <w:rPr>
                      <w:rFonts w:ascii="宋体" w:hAnsi="宋体"/>
                      <w:szCs w:val="21"/>
                    </w:rPr>
                    <w:t>-20.9</w:t>
                  </w:r>
                </w:p>
              </w:tc>
            </w:tr>
            <w:tr w14:paraId="16DCA8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gridSpan w:val="2"/>
                  <w:tcBorders>
                    <w:left w:val="single" w:color="auto" w:sz="12" w:space="0"/>
                  </w:tcBorders>
                  <w:vAlign w:val="center"/>
                </w:tcPr>
                <w:p w14:paraId="781E2145">
                  <w:pPr>
                    <w:jc w:val="center"/>
                    <w:rPr>
                      <w:szCs w:val="21"/>
                    </w:rPr>
                  </w:pPr>
                  <w:r>
                    <w:rPr>
                      <w:rFonts w:ascii="宋体" w:hAnsi="宋体"/>
                      <w:szCs w:val="21"/>
                    </w:rPr>
                    <w:t>土地利用类型</w:t>
                  </w:r>
                </w:p>
              </w:tc>
              <w:tc>
                <w:tcPr>
                  <w:tcW w:w="0" w:type="auto"/>
                  <w:tcBorders>
                    <w:right w:val="single" w:color="auto" w:sz="12" w:space="0"/>
                  </w:tcBorders>
                  <w:vAlign w:val="center"/>
                </w:tcPr>
                <w:p w14:paraId="36EF56AB">
                  <w:pPr>
                    <w:jc w:val="center"/>
                    <w:rPr>
                      <w:szCs w:val="21"/>
                    </w:rPr>
                  </w:pPr>
                  <w:r>
                    <w:rPr>
                      <w:rFonts w:ascii="宋体" w:hAnsi="宋体"/>
                      <w:szCs w:val="21"/>
                    </w:rPr>
                    <w:t>阔叶林</w:t>
                  </w:r>
                </w:p>
              </w:tc>
            </w:tr>
            <w:tr w14:paraId="3F271A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gridSpan w:val="2"/>
                  <w:tcBorders>
                    <w:left w:val="single" w:color="auto" w:sz="12" w:space="0"/>
                  </w:tcBorders>
                  <w:vAlign w:val="center"/>
                </w:tcPr>
                <w:p w14:paraId="2A3FC46C">
                  <w:pPr>
                    <w:jc w:val="center"/>
                    <w:rPr>
                      <w:szCs w:val="21"/>
                    </w:rPr>
                  </w:pPr>
                  <w:r>
                    <w:rPr>
                      <w:rFonts w:ascii="宋体" w:hAnsi="宋体"/>
                      <w:szCs w:val="21"/>
                    </w:rPr>
                    <w:t>区域湿度条件</w:t>
                  </w:r>
                </w:p>
              </w:tc>
              <w:tc>
                <w:tcPr>
                  <w:tcW w:w="0" w:type="auto"/>
                  <w:tcBorders>
                    <w:right w:val="single" w:color="auto" w:sz="12" w:space="0"/>
                  </w:tcBorders>
                  <w:vAlign w:val="center"/>
                </w:tcPr>
                <w:p w14:paraId="6B5F3953">
                  <w:pPr>
                    <w:jc w:val="center"/>
                    <w:rPr>
                      <w:szCs w:val="21"/>
                    </w:rPr>
                  </w:pPr>
                  <w:r>
                    <w:rPr>
                      <w:rFonts w:ascii="宋体" w:hAnsi="宋体"/>
                      <w:szCs w:val="21"/>
                    </w:rPr>
                    <w:t>潮湿</w:t>
                  </w:r>
                </w:p>
              </w:tc>
            </w:tr>
            <w:tr w14:paraId="675262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vMerge w:val="restart"/>
                  <w:tcBorders>
                    <w:left w:val="single" w:color="auto" w:sz="12" w:space="0"/>
                  </w:tcBorders>
                  <w:vAlign w:val="center"/>
                </w:tcPr>
                <w:p w14:paraId="5A1ED942">
                  <w:pPr>
                    <w:jc w:val="center"/>
                    <w:rPr>
                      <w:szCs w:val="21"/>
                    </w:rPr>
                  </w:pPr>
                  <w:r>
                    <w:rPr>
                      <w:rFonts w:ascii="宋体" w:hAnsi="宋体"/>
                      <w:szCs w:val="21"/>
                    </w:rPr>
                    <w:t>是否考虑地形</w:t>
                  </w:r>
                </w:p>
              </w:tc>
              <w:tc>
                <w:tcPr>
                  <w:tcW w:w="0" w:type="auto"/>
                  <w:vAlign w:val="center"/>
                </w:tcPr>
                <w:p w14:paraId="6C819AD5">
                  <w:pPr>
                    <w:jc w:val="center"/>
                    <w:rPr>
                      <w:szCs w:val="21"/>
                    </w:rPr>
                  </w:pPr>
                  <w:r>
                    <w:rPr>
                      <w:rFonts w:ascii="宋体" w:hAnsi="宋体"/>
                      <w:szCs w:val="21"/>
                    </w:rPr>
                    <w:t>考虑地形</w:t>
                  </w:r>
                </w:p>
              </w:tc>
              <w:tc>
                <w:tcPr>
                  <w:tcW w:w="0" w:type="auto"/>
                  <w:tcBorders>
                    <w:right w:val="single" w:color="auto" w:sz="12" w:space="0"/>
                  </w:tcBorders>
                  <w:vAlign w:val="center"/>
                </w:tcPr>
                <w:p w14:paraId="431DBFC3">
                  <w:pPr>
                    <w:jc w:val="center"/>
                    <w:rPr>
                      <w:szCs w:val="21"/>
                    </w:rPr>
                  </w:pPr>
                  <w:r>
                    <w:rPr>
                      <w:rFonts w:ascii="宋体" w:hAnsi="宋体"/>
                      <w:szCs w:val="21"/>
                    </w:rPr>
                    <w:t>是</w:t>
                  </w:r>
                </w:p>
              </w:tc>
            </w:tr>
            <w:tr w14:paraId="56A656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vMerge w:val="continue"/>
                  <w:tcBorders>
                    <w:left w:val="single" w:color="auto" w:sz="12" w:space="0"/>
                  </w:tcBorders>
                  <w:vAlign w:val="center"/>
                </w:tcPr>
                <w:p w14:paraId="5E93C73F">
                  <w:pPr>
                    <w:jc w:val="center"/>
                    <w:rPr>
                      <w:szCs w:val="21"/>
                    </w:rPr>
                  </w:pPr>
                </w:p>
              </w:tc>
              <w:tc>
                <w:tcPr>
                  <w:tcW w:w="0" w:type="auto"/>
                  <w:vAlign w:val="center"/>
                </w:tcPr>
                <w:p w14:paraId="664FB0B3">
                  <w:pPr>
                    <w:jc w:val="center"/>
                    <w:rPr>
                      <w:szCs w:val="21"/>
                    </w:rPr>
                  </w:pPr>
                  <w:r>
                    <w:rPr>
                      <w:rFonts w:ascii="宋体" w:hAnsi="宋体"/>
                      <w:szCs w:val="21"/>
                    </w:rPr>
                    <w:t>地形数据分辨率</w:t>
                  </w:r>
                  <w:r>
                    <w:rPr>
                      <w:rFonts w:hint="eastAsia" w:ascii="宋体" w:hAnsi="宋体"/>
                      <w:szCs w:val="21"/>
                      <w:lang w:eastAsia="zh-CN"/>
                    </w:rPr>
                    <w:t>（</w:t>
                  </w:r>
                  <w:r>
                    <w:rPr>
                      <w:rFonts w:ascii="宋体" w:hAnsi="宋体"/>
                      <w:szCs w:val="21"/>
                    </w:rPr>
                    <w:t>m</w:t>
                  </w:r>
                  <w:r>
                    <w:rPr>
                      <w:rFonts w:hint="eastAsia" w:ascii="宋体" w:hAnsi="宋体"/>
                      <w:szCs w:val="21"/>
                      <w:lang w:eastAsia="zh-CN"/>
                    </w:rPr>
                    <w:t>）</w:t>
                  </w:r>
                </w:p>
              </w:tc>
              <w:tc>
                <w:tcPr>
                  <w:tcW w:w="0" w:type="auto"/>
                  <w:tcBorders>
                    <w:right w:val="single" w:color="auto" w:sz="12" w:space="0"/>
                  </w:tcBorders>
                  <w:vAlign w:val="center"/>
                </w:tcPr>
                <w:p w14:paraId="1A3AA3B0">
                  <w:pPr>
                    <w:jc w:val="center"/>
                    <w:rPr>
                      <w:szCs w:val="21"/>
                    </w:rPr>
                  </w:pPr>
                  <w:r>
                    <w:rPr>
                      <w:rFonts w:ascii="宋体" w:hAnsi="宋体"/>
                      <w:szCs w:val="21"/>
                    </w:rPr>
                    <w:t>90</w:t>
                  </w:r>
                </w:p>
              </w:tc>
            </w:tr>
            <w:tr w14:paraId="6A0FFF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vMerge w:val="restart"/>
                  <w:tcBorders>
                    <w:left w:val="single" w:color="auto" w:sz="12" w:space="0"/>
                  </w:tcBorders>
                  <w:vAlign w:val="center"/>
                </w:tcPr>
                <w:p w14:paraId="4653413B">
                  <w:pPr>
                    <w:jc w:val="center"/>
                    <w:rPr>
                      <w:szCs w:val="21"/>
                    </w:rPr>
                  </w:pPr>
                  <w:r>
                    <w:rPr>
                      <w:rFonts w:ascii="宋体" w:hAnsi="宋体"/>
                      <w:szCs w:val="21"/>
                    </w:rPr>
                    <w:t>是否考虑岸线熏烟</w:t>
                  </w:r>
                </w:p>
              </w:tc>
              <w:tc>
                <w:tcPr>
                  <w:tcW w:w="0" w:type="auto"/>
                  <w:vAlign w:val="center"/>
                </w:tcPr>
                <w:p w14:paraId="02FA3E64">
                  <w:pPr>
                    <w:jc w:val="center"/>
                    <w:rPr>
                      <w:szCs w:val="21"/>
                    </w:rPr>
                  </w:pPr>
                  <w:r>
                    <w:rPr>
                      <w:rFonts w:ascii="宋体" w:hAnsi="宋体"/>
                      <w:szCs w:val="21"/>
                    </w:rPr>
                    <w:t>考虑岸线熏烟</w:t>
                  </w:r>
                </w:p>
              </w:tc>
              <w:tc>
                <w:tcPr>
                  <w:tcW w:w="0" w:type="auto"/>
                  <w:tcBorders>
                    <w:right w:val="single" w:color="auto" w:sz="12" w:space="0"/>
                  </w:tcBorders>
                  <w:vAlign w:val="center"/>
                </w:tcPr>
                <w:p w14:paraId="55384085">
                  <w:pPr>
                    <w:jc w:val="center"/>
                    <w:rPr>
                      <w:szCs w:val="21"/>
                    </w:rPr>
                  </w:pPr>
                  <w:r>
                    <w:rPr>
                      <w:rFonts w:ascii="宋体" w:hAnsi="宋体"/>
                      <w:szCs w:val="21"/>
                    </w:rPr>
                    <w:t>否</w:t>
                  </w:r>
                </w:p>
              </w:tc>
            </w:tr>
            <w:tr w14:paraId="4F90B1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vMerge w:val="continue"/>
                  <w:tcBorders>
                    <w:left w:val="single" w:color="auto" w:sz="12" w:space="0"/>
                  </w:tcBorders>
                  <w:vAlign w:val="center"/>
                </w:tcPr>
                <w:p w14:paraId="02B71EFD">
                  <w:pPr>
                    <w:jc w:val="center"/>
                    <w:rPr>
                      <w:szCs w:val="21"/>
                    </w:rPr>
                  </w:pPr>
                </w:p>
              </w:tc>
              <w:tc>
                <w:tcPr>
                  <w:tcW w:w="0" w:type="auto"/>
                  <w:vAlign w:val="center"/>
                </w:tcPr>
                <w:p w14:paraId="462C7DEB">
                  <w:pPr>
                    <w:jc w:val="center"/>
                    <w:rPr>
                      <w:szCs w:val="21"/>
                    </w:rPr>
                  </w:pPr>
                  <w:r>
                    <w:rPr>
                      <w:rFonts w:ascii="宋体" w:hAnsi="宋体"/>
                      <w:szCs w:val="21"/>
                    </w:rPr>
                    <w:t>岸线距离/m</w:t>
                  </w:r>
                </w:p>
              </w:tc>
              <w:tc>
                <w:tcPr>
                  <w:tcW w:w="0" w:type="auto"/>
                  <w:tcBorders>
                    <w:right w:val="single" w:color="auto" w:sz="12" w:space="0"/>
                  </w:tcBorders>
                  <w:vAlign w:val="center"/>
                </w:tcPr>
                <w:p w14:paraId="33E76815">
                  <w:pPr>
                    <w:jc w:val="center"/>
                    <w:rPr>
                      <w:szCs w:val="21"/>
                    </w:rPr>
                  </w:pPr>
                  <w:r>
                    <w:rPr>
                      <w:rFonts w:ascii="宋体" w:hAnsi="宋体"/>
                      <w:szCs w:val="21"/>
                    </w:rPr>
                    <w:t>/</w:t>
                  </w:r>
                </w:p>
              </w:tc>
            </w:tr>
            <w:tr w14:paraId="3155A7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vMerge w:val="continue"/>
                  <w:tcBorders>
                    <w:left w:val="single" w:color="auto" w:sz="12" w:space="0"/>
                    <w:bottom w:val="single" w:color="auto" w:sz="12" w:space="0"/>
                  </w:tcBorders>
                  <w:vAlign w:val="center"/>
                </w:tcPr>
                <w:p w14:paraId="7CF9BE06">
                  <w:pPr>
                    <w:jc w:val="center"/>
                    <w:rPr>
                      <w:szCs w:val="21"/>
                    </w:rPr>
                  </w:pPr>
                </w:p>
              </w:tc>
              <w:tc>
                <w:tcPr>
                  <w:tcW w:w="0" w:type="auto"/>
                  <w:tcBorders>
                    <w:bottom w:val="single" w:color="auto" w:sz="12" w:space="0"/>
                  </w:tcBorders>
                  <w:vAlign w:val="center"/>
                </w:tcPr>
                <w:p w14:paraId="13FBFA06">
                  <w:pPr>
                    <w:jc w:val="center"/>
                    <w:rPr>
                      <w:szCs w:val="21"/>
                    </w:rPr>
                  </w:pPr>
                  <w:r>
                    <w:rPr>
                      <w:rFonts w:ascii="宋体" w:hAnsi="宋体"/>
                      <w:szCs w:val="21"/>
                    </w:rPr>
                    <w:t>岸线方向/°</w:t>
                  </w:r>
                </w:p>
              </w:tc>
              <w:tc>
                <w:tcPr>
                  <w:tcW w:w="0" w:type="auto"/>
                  <w:tcBorders>
                    <w:bottom w:val="single" w:color="auto" w:sz="12" w:space="0"/>
                    <w:right w:val="single" w:color="auto" w:sz="12" w:space="0"/>
                  </w:tcBorders>
                  <w:vAlign w:val="center"/>
                </w:tcPr>
                <w:p w14:paraId="44B365D0">
                  <w:pPr>
                    <w:jc w:val="center"/>
                    <w:rPr>
                      <w:szCs w:val="21"/>
                    </w:rPr>
                  </w:pPr>
                  <w:r>
                    <w:rPr>
                      <w:rFonts w:ascii="宋体" w:hAnsi="宋体"/>
                      <w:szCs w:val="21"/>
                    </w:rPr>
                    <w:t>/</w:t>
                  </w:r>
                </w:p>
              </w:tc>
            </w:tr>
          </w:tbl>
          <w:p w14:paraId="6ADA7B39">
            <w:pPr>
              <w:spacing w:line="480" w:lineRule="exact"/>
              <w:ind w:firstLine="480" w:firstLineChars="200"/>
              <w:rPr>
                <w:sz w:val="24"/>
              </w:rPr>
            </w:pPr>
            <w:r>
              <w:rPr>
                <w:sz w:val="24"/>
              </w:rPr>
              <w:t>（6）评级工作等级确定</w:t>
            </w:r>
          </w:p>
          <w:p w14:paraId="448413F6">
            <w:pPr>
              <w:spacing w:line="480" w:lineRule="exact"/>
              <w:ind w:firstLine="480" w:firstLineChars="200"/>
            </w:pPr>
            <w:r>
              <w:rPr>
                <w:rFonts w:hint="eastAsia" w:ascii="宋体" w:hAnsi="宋体" w:cs="宋体"/>
                <w:sz w:val="24"/>
              </w:rPr>
              <w:t>本项目所有污染源的正常排放的污染物的</w:t>
            </w:r>
            <w:r>
              <w:rPr>
                <w:rFonts w:ascii="宋体" w:hAnsi="宋体" w:cs="宋体"/>
                <w:sz w:val="24"/>
              </w:rPr>
              <w:t>Pmax</w:t>
            </w:r>
            <w:r>
              <w:rPr>
                <w:rFonts w:hint="eastAsia" w:ascii="宋体" w:hAnsi="宋体" w:cs="宋体"/>
                <w:sz w:val="24"/>
              </w:rPr>
              <w:t>和</w:t>
            </w:r>
            <w:r>
              <w:rPr>
                <w:rFonts w:ascii="宋体" w:hAnsi="宋体" w:cs="宋体"/>
                <w:sz w:val="24"/>
              </w:rPr>
              <w:t>D10%</w:t>
            </w:r>
            <w:r>
              <w:rPr>
                <w:rFonts w:hint="eastAsia" w:ascii="宋体" w:hAnsi="宋体" w:cs="宋体"/>
                <w:sz w:val="24"/>
              </w:rPr>
              <w:t>预测结果如下</w:t>
            </w:r>
            <w:r>
              <w:rPr>
                <w:rFonts w:ascii="宋体" w:hAnsi="宋体" w:cs="宋体"/>
                <w:sz w:val="24"/>
              </w:rPr>
              <w:t>:</w:t>
            </w:r>
          </w:p>
          <w:p w14:paraId="19FEA015">
            <w:pPr>
              <w:spacing w:line="480" w:lineRule="exact"/>
              <w:jc w:val="center"/>
              <w:rPr>
                <w:rFonts w:ascii="黑体" w:hAnsi="黑体" w:eastAsia="黑体"/>
                <w:szCs w:val="22"/>
              </w:rPr>
            </w:pPr>
            <w:r>
              <w:rPr>
                <w:rFonts w:hint="eastAsia" w:ascii="黑体" w:hAnsi="黑体" w:eastAsia="黑体" w:cs="宋体"/>
                <w:sz w:val="24"/>
              </w:rPr>
              <w:t>表</w:t>
            </w:r>
            <w:r>
              <w:rPr>
                <w:rFonts w:ascii="黑体" w:hAnsi="黑体" w:eastAsia="黑体" w:cs="宋体"/>
                <w:sz w:val="24"/>
              </w:rPr>
              <w:t>7-6 Pmax</w:t>
            </w:r>
            <w:r>
              <w:rPr>
                <w:rFonts w:hint="eastAsia" w:ascii="黑体" w:hAnsi="黑体" w:eastAsia="黑体" w:cs="宋体"/>
                <w:sz w:val="24"/>
              </w:rPr>
              <w:t>和</w:t>
            </w:r>
            <w:r>
              <w:rPr>
                <w:rFonts w:ascii="黑体" w:hAnsi="黑体" w:eastAsia="黑体" w:cs="宋体"/>
                <w:sz w:val="24"/>
              </w:rPr>
              <w:t>D10%</w:t>
            </w:r>
            <w:r>
              <w:rPr>
                <w:rFonts w:hint="eastAsia" w:ascii="黑体" w:hAnsi="黑体" w:eastAsia="黑体" w:cs="宋体"/>
                <w:sz w:val="24"/>
              </w:rPr>
              <w:t>预测和计算结果一览表</w:t>
            </w:r>
          </w:p>
          <w:tbl>
            <w:tblPr>
              <w:tblStyle w:val="25"/>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2"/>
              <w:gridCol w:w="1154"/>
              <w:gridCol w:w="2301"/>
              <w:gridCol w:w="1613"/>
              <w:gridCol w:w="1039"/>
              <w:gridCol w:w="1039"/>
            </w:tblGrid>
            <w:tr w14:paraId="6BA216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Borders>
                    <w:top w:val="single" w:color="auto" w:sz="12" w:space="0"/>
                    <w:left w:val="single" w:color="auto" w:sz="12" w:space="0"/>
                  </w:tcBorders>
                  <w:vAlign w:val="center"/>
                </w:tcPr>
                <w:p w14:paraId="336C853F">
                  <w:pPr>
                    <w:jc w:val="center"/>
                    <w:rPr>
                      <w:szCs w:val="21"/>
                    </w:rPr>
                  </w:pPr>
                  <w:r>
                    <w:rPr>
                      <w:rFonts w:ascii="宋体" w:hAnsi="宋体"/>
                      <w:szCs w:val="21"/>
                    </w:rPr>
                    <w:t>污染源名称</w:t>
                  </w:r>
                </w:p>
              </w:tc>
              <w:tc>
                <w:tcPr>
                  <w:tcW w:w="0" w:type="auto"/>
                  <w:tcBorders>
                    <w:top w:val="single" w:color="auto" w:sz="12" w:space="0"/>
                  </w:tcBorders>
                  <w:vAlign w:val="center"/>
                </w:tcPr>
                <w:p w14:paraId="65409B6D">
                  <w:pPr>
                    <w:jc w:val="center"/>
                    <w:rPr>
                      <w:szCs w:val="21"/>
                    </w:rPr>
                  </w:pPr>
                  <w:r>
                    <w:rPr>
                      <w:rFonts w:ascii="宋体" w:hAnsi="宋体"/>
                      <w:szCs w:val="21"/>
                    </w:rPr>
                    <w:t>评价因子</w:t>
                  </w:r>
                </w:p>
              </w:tc>
              <w:tc>
                <w:tcPr>
                  <w:tcW w:w="0" w:type="auto"/>
                  <w:tcBorders>
                    <w:top w:val="single" w:color="auto" w:sz="12" w:space="0"/>
                  </w:tcBorders>
                  <w:vAlign w:val="center"/>
                </w:tcPr>
                <w:p w14:paraId="7A9780C2">
                  <w:pPr>
                    <w:jc w:val="center"/>
                    <w:rPr>
                      <w:szCs w:val="21"/>
                    </w:rPr>
                  </w:pPr>
                  <w:r>
                    <w:rPr>
                      <w:rFonts w:ascii="宋体" w:hAnsi="宋体"/>
                      <w:szCs w:val="21"/>
                    </w:rPr>
                    <w:t>评价标准</w:t>
                  </w:r>
                  <w:r>
                    <w:rPr>
                      <w:rFonts w:hint="eastAsia" w:ascii="宋体" w:hAnsi="宋体"/>
                      <w:szCs w:val="21"/>
                      <w:lang w:eastAsia="zh-CN"/>
                    </w:rPr>
                    <w:t>（</w:t>
                  </w:r>
                  <w:r>
                    <w:rPr>
                      <w:rFonts w:ascii="宋体" w:hAnsi="宋体"/>
                      <w:szCs w:val="21"/>
                    </w:rPr>
                    <w:t>μg/m³</w:t>
                  </w:r>
                  <w:r>
                    <w:rPr>
                      <w:rFonts w:hint="eastAsia" w:ascii="宋体" w:hAnsi="宋体"/>
                      <w:szCs w:val="21"/>
                      <w:lang w:eastAsia="zh-CN"/>
                    </w:rPr>
                    <w:t>）</w:t>
                  </w:r>
                </w:p>
              </w:tc>
              <w:tc>
                <w:tcPr>
                  <w:tcW w:w="0" w:type="auto"/>
                  <w:tcBorders>
                    <w:top w:val="single" w:color="auto" w:sz="12" w:space="0"/>
                  </w:tcBorders>
                  <w:vAlign w:val="center"/>
                </w:tcPr>
                <w:p w14:paraId="21337C5A">
                  <w:pPr>
                    <w:jc w:val="center"/>
                    <w:rPr>
                      <w:szCs w:val="21"/>
                    </w:rPr>
                  </w:pPr>
                  <w:r>
                    <w:rPr>
                      <w:rFonts w:ascii="宋体" w:hAnsi="宋体"/>
                      <w:szCs w:val="21"/>
                    </w:rPr>
                    <w:t>Cmax(μg/m³)</w:t>
                  </w:r>
                </w:p>
              </w:tc>
              <w:tc>
                <w:tcPr>
                  <w:tcW w:w="0" w:type="auto"/>
                  <w:tcBorders>
                    <w:top w:val="single" w:color="auto" w:sz="12" w:space="0"/>
                  </w:tcBorders>
                  <w:vAlign w:val="center"/>
                </w:tcPr>
                <w:p w14:paraId="4F36557F">
                  <w:pPr>
                    <w:jc w:val="center"/>
                    <w:rPr>
                      <w:szCs w:val="21"/>
                    </w:rPr>
                  </w:pPr>
                  <w:r>
                    <w:rPr>
                      <w:rFonts w:ascii="宋体" w:hAnsi="宋体"/>
                      <w:szCs w:val="21"/>
                    </w:rPr>
                    <w:t>Pmax(%)</w:t>
                  </w:r>
                </w:p>
              </w:tc>
              <w:tc>
                <w:tcPr>
                  <w:tcW w:w="0" w:type="auto"/>
                  <w:tcBorders>
                    <w:top w:val="single" w:color="auto" w:sz="12" w:space="0"/>
                    <w:right w:val="single" w:color="auto" w:sz="12" w:space="0"/>
                  </w:tcBorders>
                  <w:vAlign w:val="center"/>
                </w:tcPr>
                <w:p w14:paraId="727AC9F1">
                  <w:pPr>
                    <w:jc w:val="center"/>
                    <w:rPr>
                      <w:szCs w:val="21"/>
                    </w:rPr>
                  </w:pPr>
                  <w:r>
                    <w:rPr>
                      <w:rFonts w:ascii="宋体" w:hAnsi="宋体"/>
                      <w:szCs w:val="21"/>
                    </w:rPr>
                    <w:t>D10%(m)</w:t>
                  </w:r>
                </w:p>
              </w:tc>
            </w:tr>
            <w:tr w14:paraId="2DE6D1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Borders>
                    <w:left w:val="single" w:color="auto" w:sz="12" w:space="0"/>
                    <w:bottom w:val="single" w:color="auto" w:sz="12" w:space="0"/>
                  </w:tcBorders>
                  <w:vAlign w:val="center"/>
                </w:tcPr>
                <w:p w14:paraId="4444AD12">
                  <w:pPr>
                    <w:jc w:val="center"/>
                    <w:rPr>
                      <w:szCs w:val="21"/>
                    </w:rPr>
                  </w:pPr>
                  <w:r>
                    <w:rPr>
                      <w:rFonts w:ascii="宋体" w:hAnsi="宋体"/>
                      <w:szCs w:val="21"/>
                    </w:rPr>
                    <w:t>矩形面源</w:t>
                  </w:r>
                </w:p>
              </w:tc>
              <w:tc>
                <w:tcPr>
                  <w:tcW w:w="0" w:type="auto"/>
                  <w:tcBorders>
                    <w:bottom w:val="single" w:color="auto" w:sz="12" w:space="0"/>
                  </w:tcBorders>
                  <w:vAlign w:val="center"/>
                </w:tcPr>
                <w:p w14:paraId="19B05D4A">
                  <w:pPr>
                    <w:jc w:val="center"/>
                    <w:rPr>
                      <w:szCs w:val="21"/>
                    </w:rPr>
                  </w:pPr>
                  <w:r>
                    <w:rPr>
                      <w:rFonts w:ascii="宋体" w:hAnsi="宋体"/>
                      <w:szCs w:val="21"/>
                    </w:rPr>
                    <w:t>TSP</w:t>
                  </w:r>
                </w:p>
              </w:tc>
              <w:tc>
                <w:tcPr>
                  <w:tcW w:w="0" w:type="auto"/>
                  <w:tcBorders>
                    <w:bottom w:val="single" w:color="auto" w:sz="12" w:space="0"/>
                  </w:tcBorders>
                  <w:vAlign w:val="center"/>
                </w:tcPr>
                <w:p w14:paraId="1DF799E1">
                  <w:pPr>
                    <w:jc w:val="center"/>
                    <w:rPr>
                      <w:szCs w:val="21"/>
                    </w:rPr>
                  </w:pPr>
                  <w:r>
                    <w:rPr>
                      <w:rFonts w:ascii="宋体" w:hAnsi="宋体"/>
                      <w:szCs w:val="21"/>
                    </w:rPr>
                    <w:t>900.0</w:t>
                  </w:r>
                </w:p>
              </w:tc>
              <w:tc>
                <w:tcPr>
                  <w:tcW w:w="0" w:type="auto"/>
                  <w:tcBorders>
                    <w:bottom w:val="single" w:color="auto" w:sz="12" w:space="0"/>
                  </w:tcBorders>
                  <w:vAlign w:val="center"/>
                </w:tcPr>
                <w:p w14:paraId="3ED716D8">
                  <w:pPr>
                    <w:jc w:val="center"/>
                    <w:rPr>
                      <w:szCs w:val="21"/>
                    </w:rPr>
                  </w:pPr>
                  <w:r>
                    <w:rPr>
                      <w:rFonts w:ascii="宋体" w:hAnsi="宋体"/>
                      <w:szCs w:val="21"/>
                    </w:rPr>
                    <w:t>44.1590</w:t>
                  </w:r>
                </w:p>
              </w:tc>
              <w:tc>
                <w:tcPr>
                  <w:tcW w:w="0" w:type="auto"/>
                  <w:tcBorders>
                    <w:bottom w:val="single" w:color="auto" w:sz="12" w:space="0"/>
                  </w:tcBorders>
                  <w:vAlign w:val="center"/>
                </w:tcPr>
                <w:p w14:paraId="5C942898">
                  <w:pPr>
                    <w:jc w:val="center"/>
                    <w:rPr>
                      <w:szCs w:val="21"/>
                    </w:rPr>
                  </w:pPr>
                  <w:r>
                    <w:rPr>
                      <w:rFonts w:ascii="宋体" w:hAnsi="宋体"/>
                      <w:szCs w:val="21"/>
                    </w:rPr>
                    <w:t>4.9066</w:t>
                  </w:r>
                </w:p>
              </w:tc>
              <w:tc>
                <w:tcPr>
                  <w:tcW w:w="0" w:type="auto"/>
                  <w:tcBorders>
                    <w:bottom w:val="single" w:color="auto" w:sz="12" w:space="0"/>
                    <w:right w:val="single" w:color="auto" w:sz="12" w:space="0"/>
                  </w:tcBorders>
                  <w:vAlign w:val="center"/>
                </w:tcPr>
                <w:p w14:paraId="3AE63E0A">
                  <w:pPr>
                    <w:jc w:val="center"/>
                    <w:rPr>
                      <w:szCs w:val="21"/>
                    </w:rPr>
                  </w:pPr>
                  <w:r>
                    <w:rPr>
                      <w:rFonts w:ascii="宋体" w:hAnsi="宋体"/>
                      <w:szCs w:val="21"/>
                    </w:rPr>
                    <w:t>/</w:t>
                  </w:r>
                </w:p>
              </w:tc>
            </w:tr>
          </w:tbl>
          <w:p w14:paraId="74D9AAAB">
            <w:pPr>
              <w:adjustRightInd w:val="0"/>
              <w:snapToGrid w:val="0"/>
              <w:spacing w:line="480" w:lineRule="exact"/>
              <w:ind w:firstLine="480" w:firstLineChars="200"/>
              <w:rPr>
                <w:kern w:val="0"/>
                <w:sz w:val="24"/>
              </w:rPr>
            </w:pPr>
            <w:r>
              <w:rPr>
                <w:rFonts w:hint="eastAsia" w:ascii="宋体" w:hAnsi="宋体" w:cs="宋体"/>
                <w:sz w:val="24"/>
              </w:rPr>
              <w:t>本项目Pmax最大值出现为矩形面源排放的TSPPmax值为4.9066%,Cmax为44.159μg/m³,根据《环境影响评价技术导则 大气环境》（HJ2.2-2018）分级判据，确定本项目大气环境影响评价工作等级为二级，评价范围边长取5km。</w:t>
            </w:r>
            <w:r>
              <w:rPr>
                <w:rFonts w:hint="eastAsia"/>
                <w:kern w:val="0"/>
                <w:sz w:val="24"/>
              </w:rPr>
              <w:t>项目大气环境影响评价等级为二级评价，根据《环境影响评价技术导则</w:t>
            </w:r>
            <w:r>
              <w:rPr>
                <w:kern w:val="0"/>
                <w:sz w:val="24"/>
              </w:rPr>
              <w:t xml:space="preserve">  </w:t>
            </w:r>
            <w:r>
              <w:rPr>
                <w:rFonts w:hint="eastAsia"/>
                <w:kern w:val="0"/>
                <w:sz w:val="24"/>
              </w:rPr>
              <w:t>大气环境》（</w:t>
            </w:r>
            <w:r>
              <w:rPr>
                <w:kern w:val="0"/>
                <w:sz w:val="24"/>
              </w:rPr>
              <w:t>HJ2.2-2018</w:t>
            </w:r>
            <w:r>
              <w:rPr>
                <w:rFonts w:hint="eastAsia"/>
                <w:kern w:val="0"/>
                <w:sz w:val="24"/>
              </w:rPr>
              <w:t>）中二级评价项目的影响预测与评价要求：二级评价项目不进行进一步预测与评价，只对污染物排放量进行核算。</w:t>
            </w:r>
          </w:p>
          <w:p w14:paraId="7A1C485A">
            <w:pPr>
              <w:spacing w:line="360" w:lineRule="auto"/>
              <w:ind w:firstLine="480" w:firstLineChars="200"/>
              <w:rPr>
                <w:sz w:val="24"/>
              </w:rPr>
            </w:pPr>
            <w:r>
              <w:rPr>
                <w:sz w:val="24"/>
              </w:rPr>
              <w:t>（7）预测结果</w:t>
            </w:r>
          </w:p>
          <w:p w14:paraId="2A10A02E">
            <w:pPr>
              <w:spacing w:line="360" w:lineRule="auto"/>
              <w:ind w:firstLine="480" w:firstLineChars="200"/>
              <w:rPr>
                <w:sz w:val="24"/>
              </w:rPr>
            </w:pPr>
            <w:r>
              <w:rPr>
                <w:sz w:val="24"/>
              </w:rPr>
              <w:fldChar w:fldCharType="begin"/>
            </w:r>
            <w:r>
              <w:rPr>
                <w:sz w:val="24"/>
              </w:rPr>
              <w:instrText xml:space="preserve"> = 1 \* GB3 </w:instrText>
            </w:r>
            <w:r>
              <w:rPr>
                <w:sz w:val="24"/>
              </w:rPr>
              <w:fldChar w:fldCharType="separate"/>
            </w:r>
            <w:r>
              <w:rPr>
                <w:rFonts w:hint="eastAsia" w:ascii="宋体" w:hAnsi="宋体" w:cs="宋体"/>
                <w:sz w:val="24"/>
              </w:rPr>
              <w:t>①</w:t>
            </w:r>
            <w:r>
              <w:rPr>
                <w:sz w:val="24"/>
              </w:rPr>
              <w:fldChar w:fldCharType="end"/>
            </w:r>
            <w:r>
              <w:rPr>
                <w:sz w:val="24"/>
              </w:rPr>
              <w:t>敏感点预测结果</w:t>
            </w:r>
          </w:p>
          <w:p w14:paraId="5ADDC55F">
            <w:pPr>
              <w:spacing w:line="480" w:lineRule="exact"/>
              <w:ind w:firstLine="422" w:firstLineChars="176"/>
              <w:jc w:val="left"/>
              <w:rPr>
                <w:sz w:val="24"/>
              </w:rPr>
            </w:pPr>
            <w:r>
              <w:rPr>
                <w:sz w:val="24"/>
              </w:rPr>
              <w:t>注：本次预测不考虑《环境影响评价技术导则 大气环境》(HJ2.2-2018</w:t>
            </w:r>
            <w:r>
              <w:rPr>
                <w:rFonts w:hint="eastAsia"/>
                <w:sz w:val="24"/>
                <w:lang w:eastAsia="zh-CN"/>
              </w:rPr>
              <w:t>）</w:t>
            </w:r>
            <w:r>
              <w:rPr>
                <w:sz w:val="24"/>
              </w:rPr>
              <w:t>章节5.3.3中规定的评价等级判定还应遵守的规定。</w:t>
            </w:r>
          </w:p>
          <w:p w14:paraId="65FFFFD8">
            <w:pPr>
              <w:spacing w:line="480" w:lineRule="exact"/>
              <w:ind w:firstLine="422" w:firstLineChars="176"/>
              <w:jc w:val="center"/>
              <w:rPr>
                <w:rFonts w:ascii="黑体" w:hAnsi="黑体" w:eastAsia="黑体" w:cs="宋体"/>
                <w:sz w:val="24"/>
              </w:rPr>
            </w:pPr>
            <w:r>
              <w:rPr>
                <w:rFonts w:hint="eastAsia" w:ascii="黑体" w:hAnsi="黑体" w:eastAsia="黑体"/>
                <w:sz w:val="24"/>
              </w:rPr>
              <w:t>表7</w:t>
            </w:r>
            <w:r>
              <w:rPr>
                <w:rFonts w:ascii="黑体" w:hAnsi="黑体" w:eastAsia="黑体"/>
                <w:sz w:val="24"/>
              </w:rPr>
              <w:t xml:space="preserve">-7 </w:t>
            </w:r>
            <w:r>
              <w:rPr>
                <w:rFonts w:hint="eastAsia" w:ascii="黑体" w:hAnsi="黑体" w:eastAsia="黑体"/>
                <w:sz w:val="24"/>
              </w:rPr>
              <w:t>敏感点</w:t>
            </w:r>
            <w:r>
              <w:rPr>
                <w:rFonts w:hint="eastAsia" w:ascii="黑体" w:hAnsi="黑体" w:eastAsia="黑体" w:cs="宋体"/>
                <w:sz w:val="24"/>
              </w:rPr>
              <w:t>预测和计算结果一览表</w:t>
            </w:r>
          </w:p>
          <w:tbl>
            <w:tblPr>
              <w:tblStyle w:val="25"/>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511"/>
              <w:gridCol w:w="1296"/>
              <w:gridCol w:w="1296"/>
              <w:gridCol w:w="1188"/>
              <w:gridCol w:w="1833"/>
              <w:gridCol w:w="1404"/>
            </w:tblGrid>
            <w:tr w14:paraId="3115C8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gridSpan w:val="5"/>
                  <w:tcBorders>
                    <w:top w:val="single" w:color="auto" w:sz="12" w:space="0"/>
                    <w:left w:val="single" w:color="auto" w:sz="12" w:space="0"/>
                  </w:tcBorders>
                  <w:vAlign w:val="center"/>
                </w:tcPr>
                <w:p w14:paraId="217885C3">
                  <w:pPr>
                    <w:jc w:val="center"/>
                    <w:rPr>
                      <w:szCs w:val="21"/>
                    </w:rPr>
                  </w:pPr>
                  <w:r>
                    <w:rPr>
                      <w:rFonts w:ascii="宋体" w:hAnsi="宋体"/>
                      <w:szCs w:val="21"/>
                    </w:rPr>
                    <w:t>离散点信息</w:t>
                  </w:r>
                </w:p>
              </w:tc>
              <w:tc>
                <w:tcPr>
                  <w:tcW w:w="0" w:type="auto"/>
                  <w:tcBorders>
                    <w:top w:val="single" w:color="auto" w:sz="12" w:space="0"/>
                    <w:right w:val="single" w:color="auto" w:sz="12" w:space="0"/>
                  </w:tcBorders>
                  <w:vAlign w:val="center"/>
                </w:tcPr>
                <w:p w14:paraId="27B04A0E">
                  <w:pPr>
                    <w:jc w:val="center"/>
                    <w:rPr>
                      <w:szCs w:val="21"/>
                    </w:rPr>
                  </w:pPr>
                  <w:r>
                    <w:rPr>
                      <w:rFonts w:ascii="宋体" w:hAnsi="宋体"/>
                      <w:szCs w:val="21"/>
                    </w:rPr>
                    <w:t>矩形面源</w:t>
                  </w:r>
                </w:p>
              </w:tc>
            </w:tr>
            <w:tr w14:paraId="657745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Borders>
                    <w:left w:val="single" w:color="auto" w:sz="12" w:space="0"/>
                  </w:tcBorders>
                  <w:vAlign w:val="center"/>
                </w:tcPr>
                <w:p w14:paraId="2BAACFE3">
                  <w:pPr>
                    <w:jc w:val="center"/>
                    <w:rPr>
                      <w:szCs w:val="21"/>
                    </w:rPr>
                  </w:pPr>
                  <w:r>
                    <w:rPr>
                      <w:rFonts w:ascii="宋体" w:hAnsi="宋体"/>
                      <w:szCs w:val="21"/>
                    </w:rPr>
                    <w:t>离散点名称</w:t>
                  </w:r>
                </w:p>
              </w:tc>
              <w:tc>
                <w:tcPr>
                  <w:tcW w:w="0" w:type="auto"/>
                  <w:vAlign w:val="center"/>
                </w:tcPr>
                <w:p w14:paraId="52F5F8A7">
                  <w:pPr>
                    <w:jc w:val="center"/>
                    <w:rPr>
                      <w:szCs w:val="21"/>
                    </w:rPr>
                  </w:pPr>
                  <w:r>
                    <w:rPr>
                      <w:rFonts w:ascii="宋体" w:hAnsi="宋体"/>
                      <w:szCs w:val="21"/>
                    </w:rPr>
                    <w:t>经度</w:t>
                  </w:r>
                  <w:r>
                    <w:rPr>
                      <w:rFonts w:hint="eastAsia" w:ascii="宋体" w:hAnsi="宋体"/>
                      <w:szCs w:val="21"/>
                      <w:lang w:eastAsia="zh-CN"/>
                    </w:rPr>
                    <w:t>（</w:t>
                  </w:r>
                  <w:r>
                    <w:rPr>
                      <w:rFonts w:ascii="宋体" w:hAnsi="宋体"/>
                      <w:szCs w:val="21"/>
                    </w:rPr>
                    <w:t>度</w:t>
                  </w:r>
                  <w:r>
                    <w:rPr>
                      <w:rFonts w:hint="eastAsia" w:ascii="宋体" w:hAnsi="宋体"/>
                      <w:szCs w:val="21"/>
                      <w:lang w:eastAsia="zh-CN"/>
                    </w:rPr>
                    <w:t>）</w:t>
                  </w:r>
                </w:p>
              </w:tc>
              <w:tc>
                <w:tcPr>
                  <w:tcW w:w="0" w:type="auto"/>
                  <w:vAlign w:val="center"/>
                </w:tcPr>
                <w:p w14:paraId="4150F98E">
                  <w:pPr>
                    <w:jc w:val="center"/>
                    <w:rPr>
                      <w:szCs w:val="21"/>
                    </w:rPr>
                  </w:pPr>
                  <w:r>
                    <w:rPr>
                      <w:rFonts w:ascii="宋体" w:hAnsi="宋体"/>
                      <w:szCs w:val="21"/>
                    </w:rPr>
                    <w:t>纬度</w:t>
                  </w:r>
                  <w:r>
                    <w:rPr>
                      <w:rFonts w:hint="eastAsia" w:ascii="宋体" w:hAnsi="宋体"/>
                      <w:szCs w:val="21"/>
                      <w:lang w:eastAsia="zh-CN"/>
                    </w:rPr>
                    <w:t>（</w:t>
                  </w:r>
                  <w:r>
                    <w:rPr>
                      <w:rFonts w:ascii="宋体" w:hAnsi="宋体"/>
                      <w:szCs w:val="21"/>
                    </w:rPr>
                    <w:t>度</w:t>
                  </w:r>
                  <w:r>
                    <w:rPr>
                      <w:rFonts w:hint="eastAsia" w:ascii="宋体" w:hAnsi="宋体"/>
                      <w:szCs w:val="21"/>
                      <w:lang w:eastAsia="zh-CN"/>
                    </w:rPr>
                    <w:t>）</w:t>
                  </w:r>
                </w:p>
              </w:tc>
              <w:tc>
                <w:tcPr>
                  <w:tcW w:w="0" w:type="auto"/>
                  <w:vAlign w:val="center"/>
                </w:tcPr>
                <w:p w14:paraId="5A82A316">
                  <w:pPr>
                    <w:jc w:val="center"/>
                    <w:rPr>
                      <w:szCs w:val="21"/>
                    </w:rPr>
                  </w:pPr>
                  <w:r>
                    <w:rPr>
                      <w:rFonts w:ascii="宋体" w:hAnsi="宋体"/>
                      <w:szCs w:val="21"/>
                    </w:rPr>
                    <w:t>海拔</w:t>
                  </w:r>
                  <w:r>
                    <w:rPr>
                      <w:rFonts w:hint="eastAsia" w:ascii="宋体" w:hAnsi="宋体"/>
                      <w:szCs w:val="21"/>
                      <w:lang w:eastAsia="zh-CN"/>
                    </w:rPr>
                    <w:t>（</w:t>
                  </w:r>
                  <w:r>
                    <w:rPr>
                      <w:rFonts w:ascii="宋体" w:hAnsi="宋体"/>
                      <w:szCs w:val="21"/>
                    </w:rPr>
                    <w:t>m</w:t>
                  </w:r>
                  <w:r>
                    <w:rPr>
                      <w:rFonts w:hint="eastAsia" w:ascii="宋体" w:hAnsi="宋体"/>
                      <w:szCs w:val="21"/>
                      <w:lang w:eastAsia="zh-CN"/>
                    </w:rPr>
                    <w:t>）</w:t>
                  </w:r>
                </w:p>
              </w:tc>
              <w:tc>
                <w:tcPr>
                  <w:tcW w:w="0" w:type="auto"/>
                  <w:vAlign w:val="center"/>
                </w:tcPr>
                <w:p w14:paraId="60B76F69">
                  <w:pPr>
                    <w:jc w:val="center"/>
                    <w:rPr>
                      <w:szCs w:val="21"/>
                    </w:rPr>
                  </w:pPr>
                  <w:r>
                    <w:rPr>
                      <w:rFonts w:ascii="宋体" w:hAnsi="宋体"/>
                      <w:szCs w:val="21"/>
                    </w:rPr>
                    <w:t>下风向距离</w:t>
                  </w:r>
                  <w:r>
                    <w:rPr>
                      <w:rFonts w:hint="eastAsia" w:ascii="宋体" w:hAnsi="宋体"/>
                      <w:szCs w:val="21"/>
                      <w:lang w:eastAsia="zh-CN"/>
                    </w:rPr>
                    <w:t>（</w:t>
                  </w:r>
                  <w:r>
                    <w:rPr>
                      <w:rFonts w:ascii="宋体" w:hAnsi="宋体"/>
                      <w:szCs w:val="21"/>
                    </w:rPr>
                    <w:t>m</w:t>
                  </w:r>
                  <w:r>
                    <w:rPr>
                      <w:rFonts w:hint="eastAsia" w:ascii="宋体" w:hAnsi="宋体"/>
                      <w:szCs w:val="21"/>
                      <w:lang w:eastAsia="zh-CN"/>
                    </w:rPr>
                    <w:t>）</w:t>
                  </w:r>
                </w:p>
              </w:tc>
              <w:tc>
                <w:tcPr>
                  <w:tcW w:w="0" w:type="auto"/>
                  <w:tcBorders>
                    <w:right w:val="single" w:color="auto" w:sz="12" w:space="0"/>
                  </w:tcBorders>
                  <w:vAlign w:val="center"/>
                </w:tcPr>
                <w:p w14:paraId="783A08FA">
                  <w:pPr>
                    <w:jc w:val="center"/>
                    <w:rPr>
                      <w:szCs w:val="21"/>
                    </w:rPr>
                  </w:pPr>
                  <w:r>
                    <w:rPr>
                      <w:rFonts w:ascii="宋体" w:hAnsi="宋体"/>
                      <w:szCs w:val="21"/>
                    </w:rPr>
                    <w:t>TSP(μg/m³)</w:t>
                  </w:r>
                </w:p>
              </w:tc>
            </w:tr>
            <w:tr w14:paraId="08AEF6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Borders>
                    <w:left w:val="single" w:color="auto" w:sz="12" w:space="0"/>
                    <w:bottom w:val="single" w:color="auto" w:sz="12" w:space="0"/>
                  </w:tcBorders>
                  <w:vAlign w:val="center"/>
                </w:tcPr>
                <w:p w14:paraId="2BC5261F">
                  <w:pPr>
                    <w:jc w:val="center"/>
                    <w:rPr>
                      <w:szCs w:val="21"/>
                    </w:rPr>
                  </w:pPr>
                  <w:r>
                    <w:rPr>
                      <w:rFonts w:hint="eastAsia" w:ascii="宋体" w:hAnsi="宋体"/>
                      <w:szCs w:val="21"/>
                    </w:rPr>
                    <w:t>西南自有住房</w:t>
                  </w:r>
                </w:p>
              </w:tc>
              <w:tc>
                <w:tcPr>
                  <w:tcW w:w="0" w:type="auto"/>
                  <w:tcBorders>
                    <w:bottom w:val="single" w:color="auto" w:sz="12" w:space="0"/>
                  </w:tcBorders>
                  <w:vAlign w:val="center"/>
                </w:tcPr>
                <w:p w14:paraId="45544EF9">
                  <w:pPr>
                    <w:jc w:val="center"/>
                    <w:rPr>
                      <w:szCs w:val="21"/>
                    </w:rPr>
                  </w:pPr>
                  <w:r>
                    <w:rPr>
                      <w:rFonts w:ascii="宋体" w:hAnsi="宋体"/>
                      <w:szCs w:val="21"/>
                    </w:rPr>
                    <w:t>103.529517</w:t>
                  </w:r>
                </w:p>
              </w:tc>
              <w:tc>
                <w:tcPr>
                  <w:tcW w:w="0" w:type="auto"/>
                  <w:tcBorders>
                    <w:bottom w:val="single" w:color="auto" w:sz="12" w:space="0"/>
                  </w:tcBorders>
                  <w:vAlign w:val="center"/>
                </w:tcPr>
                <w:p w14:paraId="4E668CE2">
                  <w:pPr>
                    <w:jc w:val="center"/>
                    <w:rPr>
                      <w:szCs w:val="21"/>
                    </w:rPr>
                  </w:pPr>
                  <w:r>
                    <w:rPr>
                      <w:rFonts w:ascii="宋体" w:hAnsi="宋体"/>
                      <w:szCs w:val="21"/>
                    </w:rPr>
                    <w:t>29.14986</w:t>
                  </w:r>
                </w:p>
              </w:tc>
              <w:tc>
                <w:tcPr>
                  <w:tcW w:w="0" w:type="auto"/>
                  <w:tcBorders>
                    <w:bottom w:val="single" w:color="auto" w:sz="12" w:space="0"/>
                  </w:tcBorders>
                  <w:vAlign w:val="center"/>
                </w:tcPr>
                <w:p w14:paraId="4F379F8E">
                  <w:pPr>
                    <w:jc w:val="center"/>
                    <w:rPr>
                      <w:szCs w:val="21"/>
                    </w:rPr>
                  </w:pPr>
                  <w:r>
                    <w:rPr>
                      <w:rFonts w:ascii="宋体" w:hAnsi="宋体"/>
                      <w:szCs w:val="21"/>
                    </w:rPr>
                    <w:t>1092.0</w:t>
                  </w:r>
                </w:p>
              </w:tc>
              <w:tc>
                <w:tcPr>
                  <w:tcW w:w="0" w:type="auto"/>
                  <w:tcBorders>
                    <w:bottom w:val="single" w:color="auto" w:sz="12" w:space="0"/>
                  </w:tcBorders>
                  <w:vAlign w:val="center"/>
                </w:tcPr>
                <w:p w14:paraId="23F0E22E">
                  <w:pPr>
                    <w:jc w:val="center"/>
                    <w:rPr>
                      <w:szCs w:val="21"/>
                    </w:rPr>
                  </w:pPr>
                  <w:r>
                    <w:rPr>
                      <w:rFonts w:ascii="宋体" w:hAnsi="宋体"/>
                      <w:szCs w:val="21"/>
                    </w:rPr>
                    <w:t>137.32</w:t>
                  </w:r>
                </w:p>
              </w:tc>
              <w:tc>
                <w:tcPr>
                  <w:tcW w:w="0" w:type="auto"/>
                  <w:tcBorders>
                    <w:bottom w:val="single" w:color="auto" w:sz="12" w:space="0"/>
                    <w:right w:val="single" w:color="auto" w:sz="12" w:space="0"/>
                  </w:tcBorders>
                  <w:vAlign w:val="center"/>
                </w:tcPr>
                <w:p w14:paraId="6B21BF26">
                  <w:pPr>
                    <w:jc w:val="center"/>
                    <w:rPr>
                      <w:szCs w:val="21"/>
                    </w:rPr>
                  </w:pPr>
                  <w:r>
                    <w:rPr>
                      <w:rFonts w:ascii="宋体" w:hAnsi="宋体"/>
                      <w:szCs w:val="21"/>
                    </w:rPr>
                    <w:t>13.0230</w:t>
                  </w:r>
                </w:p>
              </w:tc>
            </w:tr>
          </w:tbl>
          <w:p w14:paraId="76D0B8F9">
            <w:pPr>
              <w:adjustRightInd w:val="0"/>
              <w:snapToGrid w:val="0"/>
              <w:spacing w:line="480" w:lineRule="exact"/>
              <w:ind w:firstLine="480" w:firstLineChars="200"/>
              <w:rPr>
                <w:sz w:val="24"/>
              </w:rPr>
            </w:pPr>
            <w:r>
              <w:rPr>
                <w:sz w:val="24"/>
              </w:rPr>
              <w:t>由上述预测结果可知：项目废气污染物产生量对周边居民影响较小，对区域敏感点影响轻微。</w:t>
            </w:r>
          </w:p>
          <w:p w14:paraId="4055201E">
            <w:pPr>
              <w:adjustRightInd w:val="0"/>
              <w:snapToGrid w:val="0"/>
              <w:spacing w:line="480" w:lineRule="exact"/>
              <w:ind w:firstLine="480" w:firstLineChars="200"/>
              <w:rPr>
                <w:sz w:val="24"/>
              </w:rPr>
            </w:pPr>
            <w:r>
              <w:rPr>
                <w:sz w:val="24"/>
              </w:rPr>
              <w:fldChar w:fldCharType="begin"/>
            </w:r>
            <w:r>
              <w:rPr>
                <w:sz w:val="24"/>
              </w:rPr>
              <w:instrText xml:space="preserve"> = 2 \* GB3 </w:instrText>
            </w:r>
            <w:r>
              <w:rPr>
                <w:sz w:val="24"/>
              </w:rPr>
              <w:fldChar w:fldCharType="separate"/>
            </w:r>
            <w:r>
              <w:rPr>
                <w:rFonts w:hint="eastAsia" w:ascii="宋体" w:hAnsi="宋体" w:cs="宋体"/>
                <w:sz w:val="24"/>
              </w:rPr>
              <w:t>②</w:t>
            </w:r>
            <w:r>
              <w:rPr>
                <w:sz w:val="24"/>
              </w:rPr>
              <w:fldChar w:fldCharType="end"/>
            </w:r>
            <w:r>
              <w:rPr>
                <w:sz w:val="24"/>
              </w:rPr>
              <w:t>污染源结果预测结果</w:t>
            </w:r>
          </w:p>
          <w:p w14:paraId="7396E98D">
            <w:pPr>
              <w:spacing w:line="480" w:lineRule="exact"/>
              <w:ind w:firstLine="422" w:firstLineChars="176"/>
              <w:jc w:val="center"/>
              <w:rPr>
                <w:rFonts w:ascii="黑体" w:hAnsi="黑体" w:eastAsia="黑体"/>
                <w:sz w:val="24"/>
              </w:rPr>
            </w:pPr>
            <w:r>
              <w:rPr>
                <w:rFonts w:hint="eastAsia" w:ascii="黑体" w:hAnsi="黑体" w:eastAsia="黑体"/>
                <w:sz w:val="24"/>
              </w:rPr>
              <w:t>表7</w:t>
            </w:r>
            <w:r>
              <w:rPr>
                <w:rFonts w:ascii="黑体" w:hAnsi="黑体" w:eastAsia="黑体"/>
                <w:sz w:val="24"/>
              </w:rPr>
              <w:t xml:space="preserve">-8 </w:t>
            </w:r>
            <w:r>
              <w:rPr>
                <w:rFonts w:hint="eastAsia" w:ascii="黑体" w:hAnsi="黑体" w:eastAsia="黑体"/>
                <w:sz w:val="24"/>
              </w:rPr>
              <w:t>污染源预测结果表</w:t>
            </w:r>
          </w:p>
          <w:tbl>
            <w:tblPr>
              <w:tblStyle w:val="25"/>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409"/>
              <w:gridCol w:w="2772"/>
              <w:gridCol w:w="2347"/>
            </w:tblGrid>
            <w:tr w14:paraId="6078BF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vMerge w:val="restart"/>
                  <w:tcBorders>
                    <w:top w:val="single" w:color="auto" w:sz="12" w:space="0"/>
                    <w:left w:val="single" w:color="auto" w:sz="12" w:space="0"/>
                  </w:tcBorders>
                  <w:vAlign w:val="center"/>
                </w:tcPr>
                <w:p w14:paraId="6C8E2FEA">
                  <w:pPr>
                    <w:jc w:val="center"/>
                    <w:rPr>
                      <w:szCs w:val="21"/>
                    </w:rPr>
                  </w:pPr>
                  <w:r>
                    <w:rPr>
                      <w:rFonts w:ascii="宋体" w:hAnsi="宋体"/>
                      <w:szCs w:val="21"/>
                    </w:rPr>
                    <w:t>下风向距离</w:t>
                  </w:r>
                </w:p>
              </w:tc>
              <w:tc>
                <w:tcPr>
                  <w:tcW w:w="0" w:type="auto"/>
                  <w:gridSpan w:val="2"/>
                  <w:tcBorders>
                    <w:top w:val="single" w:color="auto" w:sz="12" w:space="0"/>
                    <w:right w:val="single" w:color="auto" w:sz="12" w:space="0"/>
                  </w:tcBorders>
                  <w:vAlign w:val="center"/>
                </w:tcPr>
                <w:p w14:paraId="25D110A8">
                  <w:pPr>
                    <w:jc w:val="center"/>
                    <w:rPr>
                      <w:szCs w:val="21"/>
                    </w:rPr>
                  </w:pPr>
                  <w:r>
                    <w:rPr>
                      <w:rFonts w:ascii="宋体" w:hAnsi="宋体"/>
                      <w:szCs w:val="21"/>
                    </w:rPr>
                    <w:t>矩形面源</w:t>
                  </w:r>
                </w:p>
              </w:tc>
            </w:tr>
            <w:tr w14:paraId="06459B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vMerge w:val="continue"/>
                  <w:tcBorders>
                    <w:left w:val="single" w:color="auto" w:sz="12" w:space="0"/>
                  </w:tcBorders>
                  <w:vAlign w:val="center"/>
                </w:tcPr>
                <w:p w14:paraId="134BA38E">
                  <w:pPr>
                    <w:jc w:val="center"/>
                    <w:rPr>
                      <w:szCs w:val="21"/>
                    </w:rPr>
                  </w:pPr>
                </w:p>
              </w:tc>
              <w:tc>
                <w:tcPr>
                  <w:tcW w:w="0" w:type="auto"/>
                  <w:vAlign w:val="center"/>
                </w:tcPr>
                <w:p w14:paraId="57CE2F83">
                  <w:pPr>
                    <w:jc w:val="center"/>
                    <w:rPr>
                      <w:szCs w:val="21"/>
                    </w:rPr>
                  </w:pPr>
                  <w:r>
                    <w:rPr>
                      <w:rFonts w:ascii="宋体" w:hAnsi="宋体"/>
                      <w:szCs w:val="21"/>
                    </w:rPr>
                    <w:t>TSP浓度</w:t>
                  </w:r>
                  <w:r>
                    <w:rPr>
                      <w:rFonts w:hint="eastAsia" w:ascii="宋体" w:hAnsi="宋体"/>
                      <w:szCs w:val="21"/>
                      <w:lang w:eastAsia="zh-CN"/>
                    </w:rPr>
                    <w:t>（</w:t>
                  </w:r>
                  <w:r>
                    <w:rPr>
                      <w:rFonts w:ascii="宋体" w:hAnsi="宋体"/>
                      <w:szCs w:val="21"/>
                    </w:rPr>
                    <w:t>μg/m³</w:t>
                  </w:r>
                  <w:r>
                    <w:rPr>
                      <w:rFonts w:hint="eastAsia" w:ascii="宋体" w:hAnsi="宋体"/>
                      <w:szCs w:val="21"/>
                      <w:lang w:eastAsia="zh-CN"/>
                    </w:rPr>
                    <w:t>）</w:t>
                  </w:r>
                </w:p>
              </w:tc>
              <w:tc>
                <w:tcPr>
                  <w:tcW w:w="0" w:type="auto"/>
                  <w:tcBorders>
                    <w:right w:val="single" w:color="auto" w:sz="12" w:space="0"/>
                  </w:tcBorders>
                  <w:vAlign w:val="center"/>
                </w:tcPr>
                <w:p w14:paraId="1C01A5E2">
                  <w:pPr>
                    <w:jc w:val="center"/>
                    <w:rPr>
                      <w:szCs w:val="21"/>
                    </w:rPr>
                  </w:pPr>
                  <w:r>
                    <w:rPr>
                      <w:rFonts w:ascii="宋体" w:hAnsi="宋体"/>
                      <w:szCs w:val="21"/>
                    </w:rPr>
                    <w:t>TSP占标率</w:t>
                  </w:r>
                  <w:r>
                    <w:rPr>
                      <w:rFonts w:hint="eastAsia" w:ascii="宋体" w:hAnsi="宋体"/>
                      <w:szCs w:val="21"/>
                      <w:lang w:eastAsia="zh-CN"/>
                    </w:rPr>
                    <w:t>（</w:t>
                  </w:r>
                  <w:r>
                    <w:rPr>
                      <w:rFonts w:ascii="宋体" w:hAnsi="宋体"/>
                      <w:szCs w:val="21"/>
                    </w:rPr>
                    <w:t>%</w:t>
                  </w:r>
                  <w:r>
                    <w:rPr>
                      <w:rFonts w:hint="eastAsia" w:ascii="宋体" w:hAnsi="宋体"/>
                      <w:szCs w:val="21"/>
                      <w:lang w:eastAsia="zh-CN"/>
                    </w:rPr>
                    <w:t>）</w:t>
                  </w:r>
                </w:p>
              </w:tc>
            </w:tr>
            <w:tr w14:paraId="313166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Borders>
                    <w:left w:val="single" w:color="auto" w:sz="12" w:space="0"/>
                  </w:tcBorders>
                  <w:vAlign w:val="center"/>
                </w:tcPr>
                <w:p w14:paraId="375E0F05">
                  <w:pPr>
                    <w:jc w:val="center"/>
                    <w:rPr>
                      <w:szCs w:val="21"/>
                    </w:rPr>
                  </w:pPr>
                  <w:r>
                    <w:rPr>
                      <w:rFonts w:ascii="宋体" w:hAnsi="宋体"/>
                      <w:szCs w:val="21"/>
                    </w:rPr>
                    <w:t>1.0</w:t>
                  </w:r>
                </w:p>
              </w:tc>
              <w:tc>
                <w:tcPr>
                  <w:tcW w:w="0" w:type="auto"/>
                  <w:vAlign w:val="center"/>
                </w:tcPr>
                <w:p w14:paraId="2E730337">
                  <w:pPr>
                    <w:jc w:val="center"/>
                    <w:rPr>
                      <w:szCs w:val="21"/>
                    </w:rPr>
                  </w:pPr>
                  <w:r>
                    <w:rPr>
                      <w:rFonts w:ascii="宋体" w:hAnsi="宋体"/>
                      <w:szCs w:val="21"/>
                    </w:rPr>
                    <w:t>28.1500</w:t>
                  </w:r>
                </w:p>
              </w:tc>
              <w:tc>
                <w:tcPr>
                  <w:tcW w:w="0" w:type="auto"/>
                  <w:tcBorders>
                    <w:right w:val="single" w:color="auto" w:sz="12" w:space="0"/>
                  </w:tcBorders>
                  <w:vAlign w:val="center"/>
                </w:tcPr>
                <w:p w14:paraId="0D4F2B00">
                  <w:pPr>
                    <w:jc w:val="center"/>
                    <w:rPr>
                      <w:szCs w:val="21"/>
                    </w:rPr>
                  </w:pPr>
                  <w:r>
                    <w:rPr>
                      <w:rFonts w:ascii="宋体" w:hAnsi="宋体"/>
                      <w:szCs w:val="21"/>
                    </w:rPr>
                    <w:t>3.1278</w:t>
                  </w:r>
                </w:p>
              </w:tc>
            </w:tr>
            <w:tr w14:paraId="0E6931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Borders>
                    <w:left w:val="single" w:color="auto" w:sz="12" w:space="0"/>
                  </w:tcBorders>
                  <w:vAlign w:val="center"/>
                </w:tcPr>
                <w:p w14:paraId="4F384155">
                  <w:pPr>
                    <w:jc w:val="center"/>
                    <w:rPr>
                      <w:szCs w:val="21"/>
                    </w:rPr>
                  </w:pPr>
                  <w:r>
                    <w:rPr>
                      <w:rFonts w:ascii="宋体" w:hAnsi="宋体"/>
                      <w:szCs w:val="21"/>
                    </w:rPr>
                    <w:t>16.0</w:t>
                  </w:r>
                </w:p>
              </w:tc>
              <w:tc>
                <w:tcPr>
                  <w:tcW w:w="0" w:type="auto"/>
                  <w:vAlign w:val="center"/>
                </w:tcPr>
                <w:p w14:paraId="3C2F3B5C">
                  <w:pPr>
                    <w:jc w:val="center"/>
                    <w:rPr>
                      <w:szCs w:val="21"/>
                    </w:rPr>
                  </w:pPr>
                  <w:r>
                    <w:rPr>
                      <w:rFonts w:ascii="宋体" w:hAnsi="宋体"/>
                      <w:szCs w:val="21"/>
                    </w:rPr>
                    <w:t>44.1590</w:t>
                  </w:r>
                </w:p>
              </w:tc>
              <w:tc>
                <w:tcPr>
                  <w:tcW w:w="0" w:type="auto"/>
                  <w:tcBorders>
                    <w:right w:val="single" w:color="auto" w:sz="12" w:space="0"/>
                  </w:tcBorders>
                  <w:vAlign w:val="center"/>
                </w:tcPr>
                <w:p w14:paraId="7B051E52">
                  <w:pPr>
                    <w:jc w:val="center"/>
                    <w:rPr>
                      <w:szCs w:val="21"/>
                    </w:rPr>
                  </w:pPr>
                  <w:r>
                    <w:rPr>
                      <w:rFonts w:ascii="宋体" w:hAnsi="宋体"/>
                      <w:szCs w:val="21"/>
                    </w:rPr>
                    <w:t>4.9066</w:t>
                  </w:r>
                </w:p>
              </w:tc>
            </w:tr>
            <w:tr w14:paraId="72A334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Borders>
                    <w:left w:val="single" w:color="auto" w:sz="12" w:space="0"/>
                  </w:tcBorders>
                  <w:vAlign w:val="center"/>
                </w:tcPr>
                <w:p w14:paraId="7490F2F3">
                  <w:pPr>
                    <w:jc w:val="center"/>
                    <w:rPr>
                      <w:szCs w:val="21"/>
                    </w:rPr>
                  </w:pPr>
                  <w:r>
                    <w:rPr>
                      <w:rFonts w:ascii="宋体" w:hAnsi="宋体"/>
                      <w:szCs w:val="21"/>
                    </w:rPr>
                    <w:t>25.0</w:t>
                  </w:r>
                </w:p>
              </w:tc>
              <w:tc>
                <w:tcPr>
                  <w:tcW w:w="0" w:type="auto"/>
                  <w:vAlign w:val="center"/>
                </w:tcPr>
                <w:p w14:paraId="77C53F6C">
                  <w:pPr>
                    <w:jc w:val="center"/>
                    <w:rPr>
                      <w:szCs w:val="21"/>
                    </w:rPr>
                  </w:pPr>
                  <w:r>
                    <w:rPr>
                      <w:rFonts w:ascii="宋体" w:hAnsi="宋体"/>
                      <w:szCs w:val="21"/>
                    </w:rPr>
                    <w:t>37.3240</w:t>
                  </w:r>
                </w:p>
              </w:tc>
              <w:tc>
                <w:tcPr>
                  <w:tcW w:w="0" w:type="auto"/>
                  <w:tcBorders>
                    <w:right w:val="single" w:color="auto" w:sz="12" w:space="0"/>
                  </w:tcBorders>
                  <w:vAlign w:val="center"/>
                </w:tcPr>
                <w:p w14:paraId="651F08D8">
                  <w:pPr>
                    <w:jc w:val="center"/>
                    <w:rPr>
                      <w:szCs w:val="21"/>
                    </w:rPr>
                  </w:pPr>
                  <w:r>
                    <w:rPr>
                      <w:rFonts w:ascii="宋体" w:hAnsi="宋体"/>
                      <w:szCs w:val="21"/>
                    </w:rPr>
                    <w:t>4.1471</w:t>
                  </w:r>
                </w:p>
              </w:tc>
            </w:tr>
            <w:tr w14:paraId="74D95D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Borders>
                    <w:left w:val="single" w:color="auto" w:sz="12" w:space="0"/>
                  </w:tcBorders>
                  <w:vAlign w:val="center"/>
                </w:tcPr>
                <w:p w14:paraId="7A34A4AD">
                  <w:pPr>
                    <w:jc w:val="center"/>
                    <w:rPr>
                      <w:szCs w:val="21"/>
                    </w:rPr>
                  </w:pPr>
                  <w:r>
                    <w:rPr>
                      <w:rFonts w:ascii="宋体" w:hAnsi="宋体"/>
                      <w:szCs w:val="21"/>
                    </w:rPr>
                    <w:t>50.0</w:t>
                  </w:r>
                </w:p>
              </w:tc>
              <w:tc>
                <w:tcPr>
                  <w:tcW w:w="0" w:type="auto"/>
                  <w:vAlign w:val="center"/>
                </w:tcPr>
                <w:p w14:paraId="509E67E0">
                  <w:pPr>
                    <w:jc w:val="center"/>
                    <w:rPr>
                      <w:szCs w:val="21"/>
                    </w:rPr>
                  </w:pPr>
                  <w:r>
                    <w:rPr>
                      <w:rFonts w:ascii="宋体" w:hAnsi="宋体"/>
                      <w:szCs w:val="21"/>
                    </w:rPr>
                    <w:t>23.1730</w:t>
                  </w:r>
                </w:p>
              </w:tc>
              <w:tc>
                <w:tcPr>
                  <w:tcW w:w="0" w:type="auto"/>
                  <w:tcBorders>
                    <w:right w:val="single" w:color="auto" w:sz="12" w:space="0"/>
                  </w:tcBorders>
                  <w:vAlign w:val="center"/>
                </w:tcPr>
                <w:p w14:paraId="6803CCEC">
                  <w:pPr>
                    <w:jc w:val="center"/>
                    <w:rPr>
                      <w:szCs w:val="21"/>
                    </w:rPr>
                  </w:pPr>
                  <w:r>
                    <w:rPr>
                      <w:rFonts w:ascii="宋体" w:hAnsi="宋体"/>
                      <w:szCs w:val="21"/>
                    </w:rPr>
                    <w:t>2.5748</w:t>
                  </w:r>
                </w:p>
              </w:tc>
            </w:tr>
            <w:tr w14:paraId="6759AB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Borders>
                    <w:left w:val="single" w:color="auto" w:sz="12" w:space="0"/>
                  </w:tcBorders>
                  <w:vAlign w:val="center"/>
                </w:tcPr>
                <w:p w14:paraId="51EC0E9D">
                  <w:pPr>
                    <w:jc w:val="center"/>
                    <w:rPr>
                      <w:szCs w:val="21"/>
                    </w:rPr>
                  </w:pPr>
                  <w:r>
                    <w:rPr>
                      <w:rFonts w:ascii="宋体" w:hAnsi="宋体"/>
                      <w:szCs w:val="21"/>
                    </w:rPr>
                    <w:t>75.0</w:t>
                  </w:r>
                </w:p>
              </w:tc>
              <w:tc>
                <w:tcPr>
                  <w:tcW w:w="0" w:type="auto"/>
                  <w:vAlign w:val="center"/>
                </w:tcPr>
                <w:p w14:paraId="67F9899B">
                  <w:pPr>
                    <w:jc w:val="center"/>
                    <w:rPr>
                      <w:szCs w:val="21"/>
                    </w:rPr>
                  </w:pPr>
                  <w:r>
                    <w:rPr>
                      <w:rFonts w:ascii="宋体" w:hAnsi="宋体"/>
                      <w:szCs w:val="21"/>
                    </w:rPr>
                    <w:t>18.3200</w:t>
                  </w:r>
                </w:p>
              </w:tc>
              <w:tc>
                <w:tcPr>
                  <w:tcW w:w="0" w:type="auto"/>
                  <w:tcBorders>
                    <w:right w:val="single" w:color="auto" w:sz="12" w:space="0"/>
                  </w:tcBorders>
                  <w:vAlign w:val="center"/>
                </w:tcPr>
                <w:p w14:paraId="6B20E0B7">
                  <w:pPr>
                    <w:jc w:val="center"/>
                    <w:rPr>
                      <w:szCs w:val="21"/>
                    </w:rPr>
                  </w:pPr>
                  <w:r>
                    <w:rPr>
                      <w:rFonts w:ascii="宋体" w:hAnsi="宋体"/>
                      <w:szCs w:val="21"/>
                    </w:rPr>
                    <w:t>2.0356</w:t>
                  </w:r>
                </w:p>
              </w:tc>
            </w:tr>
            <w:tr w14:paraId="7BBB5A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Borders>
                    <w:left w:val="single" w:color="auto" w:sz="12" w:space="0"/>
                  </w:tcBorders>
                  <w:vAlign w:val="center"/>
                </w:tcPr>
                <w:p w14:paraId="7611E0BD">
                  <w:pPr>
                    <w:jc w:val="center"/>
                    <w:rPr>
                      <w:szCs w:val="21"/>
                    </w:rPr>
                  </w:pPr>
                  <w:r>
                    <w:rPr>
                      <w:rFonts w:ascii="宋体" w:hAnsi="宋体"/>
                      <w:szCs w:val="21"/>
                    </w:rPr>
                    <w:t>100.0</w:t>
                  </w:r>
                </w:p>
              </w:tc>
              <w:tc>
                <w:tcPr>
                  <w:tcW w:w="0" w:type="auto"/>
                  <w:vAlign w:val="center"/>
                </w:tcPr>
                <w:p w14:paraId="26E7ADB2">
                  <w:pPr>
                    <w:jc w:val="center"/>
                    <w:rPr>
                      <w:szCs w:val="21"/>
                    </w:rPr>
                  </w:pPr>
                  <w:r>
                    <w:rPr>
                      <w:rFonts w:ascii="宋体" w:hAnsi="宋体"/>
                      <w:szCs w:val="21"/>
                    </w:rPr>
                    <w:t>15.5690</w:t>
                  </w:r>
                </w:p>
              </w:tc>
              <w:tc>
                <w:tcPr>
                  <w:tcW w:w="0" w:type="auto"/>
                  <w:tcBorders>
                    <w:right w:val="single" w:color="auto" w:sz="12" w:space="0"/>
                  </w:tcBorders>
                  <w:vAlign w:val="center"/>
                </w:tcPr>
                <w:p w14:paraId="20FF4308">
                  <w:pPr>
                    <w:jc w:val="center"/>
                    <w:rPr>
                      <w:szCs w:val="21"/>
                    </w:rPr>
                  </w:pPr>
                  <w:r>
                    <w:rPr>
                      <w:rFonts w:ascii="宋体" w:hAnsi="宋体"/>
                      <w:szCs w:val="21"/>
                    </w:rPr>
                    <w:t>1.7299</w:t>
                  </w:r>
                </w:p>
              </w:tc>
            </w:tr>
            <w:tr w14:paraId="151334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Borders>
                    <w:left w:val="single" w:color="auto" w:sz="12" w:space="0"/>
                  </w:tcBorders>
                  <w:vAlign w:val="center"/>
                </w:tcPr>
                <w:p w14:paraId="5D9297B5">
                  <w:pPr>
                    <w:jc w:val="center"/>
                    <w:rPr>
                      <w:szCs w:val="21"/>
                    </w:rPr>
                  </w:pPr>
                  <w:r>
                    <w:rPr>
                      <w:rFonts w:ascii="宋体" w:hAnsi="宋体"/>
                      <w:szCs w:val="21"/>
                    </w:rPr>
                    <w:t>125.0</w:t>
                  </w:r>
                </w:p>
              </w:tc>
              <w:tc>
                <w:tcPr>
                  <w:tcW w:w="0" w:type="auto"/>
                  <w:vAlign w:val="center"/>
                </w:tcPr>
                <w:p w14:paraId="5BD2D424">
                  <w:pPr>
                    <w:jc w:val="center"/>
                    <w:rPr>
                      <w:szCs w:val="21"/>
                    </w:rPr>
                  </w:pPr>
                  <w:r>
                    <w:rPr>
                      <w:rFonts w:ascii="宋体" w:hAnsi="宋体"/>
                      <w:szCs w:val="21"/>
                    </w:rPr>
                    <w:t>13.6870</w:t>
                  </w:r>
                </w:p>
              </w:tc>
              <w:tc>
                <w:tcPr>
                  <w:tcW w:w="0" w:type="auto"/>
                  <w:tcBorders>
                    <w:right w:val="single" w:color="auto" w:sz="12" w:space="0"/>
                  </w:tcBorders>
                  <w:vAlign w:val="center"/>
                </w:tcPr>
                <w:p w14:paraId="42215DAB">
                  <w:pPr>
                    <w:jc w:val="center"/>
                    <w:rPr>
                      <w:szCs w:val="21"/>
                    </w:rPr>
                  </w:pPr>
                  <w:r>
                    <w:rPr>
                      <w:rFonts w:ascii="宋体" w:hAnsi="宋体"/>
                      <w:szCs w:val="21"/>
                    </w:rPr>
                    <w:t>1.5208</w:t>
                  </w:r>
                </w:p>
              </w:tc>
            </w:tr>
            <w:tr w14:paraId="20A0CA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Borders>
                    <w:left w:val="single" w:color="auto" w:sz="12" w:space="0"/>
                  </w:tcBorders>
                  <w:vAlign w:val="center"/>
                </w:tcPr>
                <w:p w14:paraId="1CE0415B">
                  <w:pPr>
                    <w:jc w:val="center"/>
                    <w:rPr>
                      <w:szCs w:val="21"/>
                    </w:rPr>
                  </w:pPr>
                  <w:r>
                    <w:rPr>
                      <w:rFonts w:ascii="宋体" w:hAnsi="宋体"/>
                      <w:szCs w:val="21"/>
                    </w:rPr>
                    <w:t>137.32</w:t>
                  </w:r>
                </w:p>
              </w:tc>
              <w:tc>
                <w:tcPr>
                  <w:tcW w:w="0" w:type="auto"/>
                  <w:vAlign w:val="center"/>
                </w:tcPr>
                <w:p w14:paraId="6237FA93">
                  <w:pPr>
                    <w:jc w:val="center"/>
                    <w:rPr>
                      <w:szCs w:val="21"/>
                    </w:rPr>
                  </w:pPr>
                  <w:r>
                    <w:rPr>
                      <w:rFonts w:ascii="宋体" w:hAnsi="宋体"/>
                      <w:szCs w:val="21"/>
                    </w:rPr>
                    <w:t>13.0230</w:t>
                  </w:r>
                </w:p>
              </w:tc>
              <w:tc>
                <w:tcPr>
                  <w:tcW w:w="0" w:type="auto"/>
                  <w:tcBorders>
                    <w:right w:val="single" w:color="auto" w:sz="12" w:space="0"/>
                  </w:tcBorders>
                  <w:vAlign w:val="center"/>
                </w:tcPr>
                <w:p w14:paraId="1894D44A">
                  <w:pPr>
                    <w:jc w:val="center"/>
                    <w:rPr>
                      <w:szCs w:val="21"/>
                    </w:rPr>
                  </w:pPr>
                  <w:r>
                    <w:rPr>
                      <w:rFonts w:ascii="宋体" w:hAnsi="宋体"/>
                      <w:szCs w:val="21"/>
                    </w:rPr>
                    <w:t>1.4470</w:t>
                  </w:r>
                </w:p>
              </w:tc>
            </w:tr>
            <w:tr w14:paraId="1CF4AF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Borders>
                    <w:left w:val="single" w:color="auto" w:sz="12" w:space="0"/>
                  </w:tcBorders>
                  <w:vAlign w:val="center"/>
                </w:tcPr>
                <w:p w14:paraId="53787856">
                  <w:pPr>
                    <w:jc w:val="center"/>
                    <w:rPr>
                      <w:szCs w:val="21"/>
                    </w:rPr>
                  </w:pPr>
                  <w:r>
                    <w:rPr>
                      <w:rFonts w:ascii="宋体" w:hAnsi="宋体"/>
                      <w:szCs w:val="21"/>
                    </w:rPr>
                    <w:t>150.0</w:t>
                  </w:r>
                </w:p>
              </w:tc>
              <w:tc>
                <w:tcPr>
                  <w:tcW w:w="0" w:type="auto"/>
                  <w:vAlign w:val="center"/>
                </w:tcPr>
                <w:p w14:paraId="4FAD553B">
                  <w:pPr>
                    <w:jc w:val="center"/>
                    <w:rPr>
                      <w:szCs w:val="21"/>
                    </w:rPr>
                  </w:pPr>
                  <w:r>
                    <w:rPr>
                      <w:rFonts w:ascii="宋体" w:hAnsi="宋体"/>
                      <w:szCs w:val="21"/>
                    </w:rPr>
                    <w:t>12.3780</w:t>
                  </w:r>
                </w:p>
              </w:tc>
              <w:tc>
                <w:tcPr>
                  <w:tcW w:w="0" w:type="auto"/>
                  <w:tcBorders>
                    <w:right w:val="single" w:color="auto" w:sz="12" w:space="0"/>
                  </w:tcBorders>
                  <w:vAlign w:val="center"/>
                </w:tcPr>
                <w:p w14:paraId="47AB980B">
                  <w:pPr>
                    <w:jc w:val="center"/>
                    <w:rPr>
                      <w:szCs w:val="21"/>
                    </w:rPr>
                  </w:pPr>
                  <w:r>
                    <w:rPr>
                      <w:rFonts w:ascii="宋体" w:hAnsi="宋体"/>
                      <w:szCs w:val="21"/>
                    </w:rPr>
                    <w:t>1.3753</w:t>
                  </w:r>
                </w:p>
              </w:tc>
            </w:tr>
            <w:tr w14:paraId="2EF6C7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Borders>
                    <w:left w:val="single" w:color="auto" w:sz="12" w:space="0"/>
                  </w:tcBorders>
                  <w:vAlign w:val="center"/>
                </w:tcPr>
                <w:p w14:paraId="71EFED6A">
                  <w:pPr>
                    <w:jc w:val="center"/>
                    <w:rPr>
                      <w:szCs w:val="21"/>
                    </w:rPr>
                  </w:pPr>
                  <w:r>
                    <w:rPr>
                      <w:rFonts w:ascii="宋体" w:hAnsi="宋体"/>
                      <w:szCs w:val="21"/>
                    </w:rPr>
                    <w:t>175.0</w:t>
                  </w:r>
                </w:p>
              </w:tc>
              <w:tc>
                <w:tcPr>
                  <w:tcW w:w="0" w:type="auto"/>
                  <w:vAlign w:val="center"/>
                </w:tcPr>
                <w:p w14:paraId="1C73E695">
                  <w:pPr>
                    <w:jc w:val="center"/>
                    <w:rPr>
                      <w:szCs w:val="21"/>
                    </w:rPr>
                  </w:pPr>
                  <w:r>
                    <w:rPr>
                      <w:rFonts w:ascii="宋体" w:hAnsi="宋体"/>
                      <w:szCs w:val="21"/>
                    </w:rPr>
                    <w:t>11.4130</w:t>
                  </w:r>
                </w:p>
              </w:tc>
              <w:tc>
                <w:tcPr>
                  <w:tcW w:w="0" w:type="auto"/>
                  <w:tcBorders>
                    <w:right w:val="single" w:color="auto" w:sz="12" w:space="0"/>
                  </w:tcBorders>
                  <w:vAlign w:val="center"/>
                </w:tcPr>
                <w:p w14:paraId="2561AB56">
                  <w:pPr>
                    <w:jc w:val="center"/>
                    <w:rPr>
                      <w:szCs w:val="21"/>
                    </w:rPr>
                  </w:pPr>
                  <w:r>
                    <w:rPr>
                      <w:rFonts w:ascii="宋体" w:hAnsi="宋体"/>
                      <w:szCs w:val="21"/>
                    </w:rPr>
                    <w:t>1.2681</w:t>
                  </w:r>
                </w:p>
              </w:tc>
            </w:tr>
            <w:tr w14:paraId="30C314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Borders>
                    <w:left w:val="single" w:color="auto" w:sz="12" w:space="0"/>
                  </w:tcBorders>
                  <w:vAlign w:val="center"/>
                </w:tcPr>
                <w:p w14:paraId="4C4F66DD">
                  <w:pPr>
                    <w:jc w:val="center"/>
                    <w:rPr>
                      <w:szCs w:val="21"/>
                    </w:rPr>
                  </w:pPr>
                  <w:r>
                    <w:rPr>
                      <w:rFonts w:ascii="宋体" w:hAnsi="宋体"/>
                      <w:szCs w:val="21"/>
                    </w:rPr>
                    <w:t>200.0</w:t>
                  </w:r>
                </w:p>
              </w:tc>
              <w:tc>
                <w:tcPr>
                  <w:tcW w:w="0" w:type="auto"/>
                  <w:vAlign w:val="center"/>
                </w:tcPr>
                <w:p w14:paraId="1D2A1A6F">
                  <w:pPr>
                    <w:jc w:val="center"/>
                    <w:rPr>
                      <w:szCs w:val="21"/>
                    </w:rPr>
                  </w:pPr>
                  <w:r>
                    <w:rPr>
                      <w:rFonts w:ascii="宋体" w:hAnsi="宋体"/>
                      <w:szCs w:val="21"/>
                    </w:rPr>
                    <w:t>10.5620</w:t>
                  </w:r>
                </w:p>
              </w:tc>
              <w:tc>
                <w:tcPr>
                  <w:tcW w:w="0" w:type="auto"/>
                  <w:tcBorders>
                    <w:right w:val="single" w:color="auto" w:sz="12" w:space="0"/>
                  </w:tcBorders>
                  <w:vAlign w:val="center"/>
                </w:tcPr>
                <w:p w14:paraId="7344C83F">
                  <w:pPr>
                    <w:jc w:val="center"/>
                    <w:rPr>
                      <w:szCs w:val="21"/>
                    </w:rPr>
                  </w:pPr>
                  <w:r>
                    <w:rPr>
                      <w:rFonts w:ascii="宋体" w:hAnsi="宋体"/>
                      <w:szCs w:val="21"/>
                    </w:rPr>
                    <w:t>1.1736</w:t>
                  </w:r>
                </w:p>
              </w:tc>
            </w:tr>
            <w:tr w14:paraId="24B1F1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Borders>
                    <w:left w:val="single" w:color="auto" w:sz="12" w:space="0"/>
                  </w:tcBorders>
                  <w:vAlign w:val="center"/>
                </w:tcPr>
                <w:p w14:paraId="108E45D4">
                  <w:pPr>
                    <w:jc w:val="center"/>
                    <w:rPr>
                      <w:rFonts w:ascii="宋体" w:hAnsi="宋体"/>
                      <w:szCs w:val="21"/>
                    </w:rPr>
                  </w:pPr>
                  <w:r>
                    <w:rPr>
                      <w:rFonts w:ascii="宋体" w:hAnsi="宋体"/>
                      <w:szCs w:val="21"/>
                    </w:rPr>
                    <w:t>下风向最大浓度</w:t>
                  </w:r>
                </w:p>
              </w:tc>
              <w:tc>
                <w:tcPr>
                  <w:tcW w:w="0" w:type="auto"/>
                  <w:vAlign w:val="center"/>
                </w:tcPr>
                <w:p w14:paraId="3D198765">
                  <w:pPr>
                    <w:jc w:val="center"/>
                    <w:rPr>
                      <w:rFonts w:ascii="宋体" w:hAnsi="宋体"/>
                      <w:szCs w:val="21"/>
                    </w:rPr>
                  </w:pPr>
                  <w:r>
                    <w:rPr>
                      <w:rFonts w:ascii="宋体" w:hAnsi="宋体"/>
                      <w:szCs w:val="21"/>
                    </w:rPr>
                    <w:t>44.1590</w:t>
                  </w:r>
                </w:p>
              </w:tc>
              <w:tc>
                <w:tcPr>
                  <w:tcW w:w="0" w:type="auto"/>
                  <w:tcBorders>
                    <w:right w:val="single" w:color="auto" w:sz="12" w:space="0"/>
                  </w:tcBorders>
                  <w:vAlign w:val="center"/>
                </w:tcPr>
                <w:p w14:paraId="176BFC12">
                  <w:pPr>
                    <w:jc w:val="center"/>
                    <w:rPr>
                      <w:rFonts w:ascii="宋体" w:hAnsi="宋体"/>
                      <w:szCs w:val="21"/>
                    </w:rPr>
                  </w:pPr>
                  <w:r>
                    <w:rPr>
                      <w:rFonts w:ascii="宋体" w:hAnsi="宋体"/>
                      <w:szCs w:val="21"/>
                    </w:rPr>
                    <w:t>4.9066</w:t>
                  </w:r>
                </w:p>
              </w:tc>
            </w:tr>
            <w:tr w14:paraId="50E3F9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Borders>
                    <w:left w:val="single" w:color="auto" w:sz="12" w:space="0"/>
                  </w:tcBorders>
                  <w:vAlign w:val="center"/>
                </w:tcPr>
                <w:p w14:paraId="01F414E7">
                  <w:pPr>
                    <w:jc w:val="center"/>
                    <w:rPr>
                      <w:rFonts w:ascii="宋体" w:hAnsi="宋体"/>
                      <w:szCs w:val="21"/>
                    </w:rPr>
                  </w:pPr>
                  <w:r>
                    <w:rPr>
                      <w:rFonts w:ascii="宋体" w:hAnsi="宋体"/>
                      <w:szCs w:val="21"/>
                    </w:rPr>
                    <w:t>下风向最大浓度出现距离</w:t>
                  </w:r>
                </w:p>
              </w:tc>
              <w:tc>
                <w:tcPr>
                  <w:tcW w:w="0" w:type="auto"/>
                  <w:vAlign w:val="center"/>
                </w:tcPr>
                <w:p w14:paraId="0BD28BE2">
                  <w:pPr>
                    <w:jc w:val="center"/>
                    <w:rPr>
                      <w:rFonts w:ascii="宋体" w:hAnsi="宋体"/>
                      <w:szCs w:val="21"/>
                    </w:rPr>
                  </w:pPr>
                  <w:r>
                    <w:rPr>
                      <w:rFonts w:ascii="宋体" w:hAnsi="宋体"/>
                      <w:szCs w:val="21"/>
                    </w:rPr>
                    <w:t>16.0</w:t>
                  </w:r>
                </w:p>
              </w:tc>
              <w:tc>
                <w:tcPr>
                  <w:tcW w:w="0" w:type="auto"/>
                  <w:tcBorders>
                    <w:right w:val="single" w:color="auto" w:sz="12" w:space="0"/>
                  </w:tcBorders>
                  <w:vAlign w:val="center"/>
                </w:tcPr>
                <w:p w14:paraId="274D05CB">
                  <w:pPr>
                    <w:jc w:val="center"/>
                    <w:rPr>
                      <w:rFonts w:ascii="宋体" w:hAnsi="宋体"/>
                      <w:szCs w:val="21"/>
                    </w:rPr>
                  </w:pPr>
                  <w:r>
                    <w:rPr>
                      <w:rFonts w:ascii="宋体" w:hAnsi="宋体"/>
                      <w:szCs w:val="21"/>
                    </w:rPr>
                    <w:t>16.0</w:t>
                  </w:r>
                </w:p>
              </w:tc>
            </w:tr>
            <w:tr w14:paraId="5A1352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Borders>
                    <w:left w:val="single" w:color="auto" w:sz="12" w:space="0"/>
                    <w:bottom w:val="single" w:color="auto" w:sz="12" w:space="0"/>
                  </w:tcBorders>
                  <w:vAlign w:val="center"/>
                </w:tcPr>
                <w:p w14:paraId="3649ACDB">
                  <w:pPr>
                    <w:jc w:val="center"/>
                    <w:rPr>
                      <w:rFonts w:ascii="宋体" w:hAnsi="宋体"/>
                      <w:szCs w:val="21"/>
                    </w:rPr>
                  </w:pPr>
                  <w:r>
                    <w:rPr>
                      <w:rFonts w:ascii="宋体" w:hAnsi="宋体"/>
                      <w:szCs w:val="21"/>
                    </w:rPr>
                    <w:t>D10%最远距离</w:t>
                  </w:r>
                </w:p>
              </w:tc>
              <w:tc>
                <w:tcPr>
                  <w:tcW w:w="0" w:type="auto"/>
                  <w:tcBorders>
                    <w:bottom w:val="single" w:color="auto" w:sz="12" w:space="0"/>
                  </w:tcBorders>
                  <w:vAlign w:val="center"/>
                </w:tcPr>
                <w:p w14:paraId="437930EA">
                  <w:pPr>
                    <w:jc w:val="center"/>
                    <w:rPr>
                      <w:rFonts w:ascii="宋体" w:hAnsi="宋体"/>
                      <w:szCs w:val="21"/>
                    </w:rPr>
                  </w:pPr>
                  <w:r>
                    <w:rPr>
                      <w:rFonts w:ascii="宋体" w:hAnsi="宋体"/>
                      <w:szCs w:val="21"/>
                    </w:rPr>
                    <w:t>/</w:t>
                  </w:r>
                </w:p>
              </w:tc>
              <w:tc>
                <w:tcPr>
                  <w:tcW w:w="0" w:type="auto"/>
                  <w:tcBorders>
                    <w:bottom w:val="single" w:color="auto" w:sz="12" w:space="0"/>
                    <w:right w:val="single" w:color="auto" w:sz="12" w:space="0"/>
                  </w:tcBorders>
                  <w:vAlign w:val="center"/>
                </w:tcPr>
                <w:p w14:paraId="1B56554E">
                  <w:pPr>
                    <w:jc w:val="center"/>
                    <w:rPr>
                      <w:rFonts w:ascii="宋体" w:hAnsi="宋体"/>
                      <w:szCs w:val="21"/>
                    </w:rPr>
                  </w:pPr>
                  <w:r>
                    <w:rPr>
                      <w:rFonts w:ascii="宋体" w:hAnsi="宋体"/>
                      <w:szCs w:val="21"/>
                    </w:rPr>
                    <w:t>/</w:t>
                  </w:r>
                </w:p>
              </w:tc>
            </w:tr>
          </w:tbl>
          <w:p w14:paraId="0EBC1023">
            <w:pPr>
              <w:adjustRightInd w:val="0"/>
              <w:snapToGrid w:val="0"/>
              <w:spacing w:line="480" w:lineRule="exact"/>
              <w:ind w:firstLine="480" w:firstLineChars="200"/>
              <w:rPr>
                <w:sz w:val="24"/>
              </w:rPr>
            </w:pPr>
            <w:r>
              <w:rPr>
                <w:sz w:val="24"/>
              </w:rPr>
              <w:t>结果显示，</w:t>
            </w:r>
            <w:r>
              <w:rPr>
                <w:rFonts w:hint="eastAsia"/>
                <w:sz w:val="24"/>
              </w:rPr>
              <w:t>在边长5km评价范围内，</w:t>
            </w:r>
            <w:r>
              <w:rPr>
                <w:sz w:val="24"/>
              </w:rPr>
              <w:t>项目颗粒物废气预测值远小于标准值，满足《环境空气质量标准》（GB 3095-2012）二级标准，对区域敏感点影响轻微。</w:t>
            </w:r>
          </w:p>
          <w:p w14:paraId="5FC3D825">
            <w:pPr>
              <w:adjustRightInd w:val="0"/>
              <w:snapToGrid w:val="0"/>
              <w:spacing w:line="480" w:lineRule="exact"/>
              <w:ind w:firstLine="480" w:firstLineChars="200"/>
              <w:rPr>
                <w:sz w:val="24"/>
              </w:rPr>
            </w:pPr>
            <w:r>
              <w:rPr>
                <w:sz w:val="24"/>
              </w:rPr>
              <w:t>（8）污染物排放核算</w:t>
            </w:r>
          </w:p>
          <w:p w14:paraId="7747DD94">
            <w:pPr>
              <w:spacing w:line="480" w:lineRule="exact"/>
              <w:ind w:firstLine="480" w:firstLineChars="200"/>
              <w:jc w:val="center"/>
              <w:rPr>
                <w:bCs/>
                <w:sz w:val="24"/>
              </w:rPr>
            </w:pPr>
            <w:r>
              <w:rPr>
                <w:bCs/>
                <w:sz w:val="24"/>
              </w:rPr>
              <w:t>表7-9 大气污染物无组织排放量核算表</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8"/>
              <w:gridCol w:w="820"/>
              <w:gridCol w:w="823"/>
              <w:gridCol w:w="842"/>
              <w:gridCol w:w="1405"/>
              <w:gridCol w:w="1994"/>
              <w:gridCol w:w="1333"/>
              <w:gridCol w:w="868"/>
            </w:tblGrid>
            <w:tr w14:paraId="1296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Merge w:val="restart"/>
                  <w:shd w:val="clear" w:color="auto" w:fill="auto"/>
                  <w:vAlign w:val="center"/>
                </w:tcPr>
                <w:p w14:paraId="1B0C6450">
                  <w:pPr>
                    <w:adjustRightInd w:val="0"/>
                    <w:snapToGrid w:val="0"/>
                    <w:jc w:val="center"/>
                    <w:rPr>
                      <w:szCs w:val="21"/>
                    </w:rPr>
                  </w:pPr>
                  <w:r>
                    <w:rPr>
                      <w:szCs w:val="21"/>
                    </w:rPr>
                    <w:t>序号</w:t>
                  </w:r>
                </w:p>
              </w:tc>
              <w:tc>
                <w:tcPr>
                  <w:tcW w:w="481" w:type="pct"/>
                  <w:vMerge w:val="restart"/>
                  <w:shd w:val="clear" w:color="auto" w:fill="auto"/>
                  <w:vAlign w:val="center"/>
                </w:tcPr>
                <w:p w14:paraId="45711A1E">
                  <w:pPr>
                    <w:adjustRightInd w:val="0"/>
                    <w:snapToGrid w:val="0"/>
                    <w:jc w:val="center"/>
                    <w:rPr>
                      <w:szCs w:val="21"/>
                    </w:rPr>
                  </w:pPr>
                  <w:r>
                    <w:rPr>
                      <w:szCs w:val="21"/>
                    </w:rPr>
                    <w:t>排放口编号</w:t>
                  </w:r>
                </w:p>
              </w:tc>
              <w:tc>
                <w:tcPr>
                  <w:tcW w:w="483" w:type="pct"/>
                  <w:vMerge w:val="restart"/>
                  <w:shd w:val="clear" w:color="auto" w:fill="auto"/>
                  <w:vAlign w:val="center"/>
                </w:tcPr>
                <w:p w14:paraId="1F03CE90">
                  <w:pPr>
                    <w:adjustRightInd w:val="0"/>
                    <w:snapToGrid w:val="0"/>
                    <w:jc w:val="center"/>
                    <w:rPr>
                      <w:szCs w:val="21"/>
                    </w:rPr>
                  </w:pPr>
                  <w:r>
                    <w:rPr>
                      <w:szCs w:val="21"/>
                    </w:rPr>
                    <w:t>产污环节</w:t>
                  </w:r>
                </w:p>
              </w:tc>
              <w:tc>
                <w:tcPr>
                  <w:tcW w:w="494" w:type="pct"/>
                  <w:vMerge w:val="restart"/>
                  <w:shd w:val="clear" w:color="auto" w:fill="auto"/>
                  <w:vAlign w:val="center"/>
                </w:tcPr>
                <w:p w14:paraId="70181FBC">
                  <w:pPr>
                    <w:adjustRightInd w:val="0"/>
                    <w:snapToGrid w:val="0"/>
                    <w:jc w:val="center"/>
                    <w:rPr>
                      <w:szCs w:val="21"/>
                    </w:rPr>
                  </w:pPr>
                  <w:r>
                    <w:rPr>
                      <w:szCs w:val="21"/>
                    </w:rPr>
                    <w:t>污染物</w:t>
                  </w:r>
                </w:p>
              </w:tc>
              <w:tc>
                <w:tcPr>
                  <w:tcW w:w="824" w:type="pct"/>
                  <w:vMerge w:val="restart"/>
                  <w:shd w:val="clear" w:color="auto" w:fill="auto"/>
                  <w:vAlign w:val="center"/>
                </w:tcPr>
                <w:p w14:paraId="68865CB1">
                  <w:pPr>
                    <w:adjustRightInd w:val="0"/>
                    <w:snapToGrid w:val="0"/>
                    <w:jc w:val="center"/>
                    <w:rPr>
                      <w:szCs w:val="21"/>
                    </w:rPr>
                  </w:pPr>
                  <w:r>
                    <w:rPr>
                      <w:szCs w:val="21"/>
                    </w:rPr>
                    <w:t>主要污染防治措施</w:t>
                  </w:r>
                </w:p>
              </w:tc>
              <w:tc>
                <w:tcPr>
                  <w:tcW w:w="1952" w:type="pct"/>
                  <w:gridSpan w:val="2"/>
                  <w:shd w:val="clear" w:color="auto" w:fill="auto"/>
                  <w:vAlign w:val="center"/>
                </w:tcPr>
                <w:p w14:paraId="059ED3A3">
                  <w:pPr>
                    <w:adjustRightInd w:val="0"/>
                    <w:snapToGrid w:val="0"/>
                    <w:jc w:val="center"/>
                    <w:rPr>
                      <w:szCs w:val="21"/>
                    </w:rPr>
                  </w:pPr>
                  <w:r>
                    <w:rPr>
                      <w:szCs w:val="21"/>
                    </w:rPr>
                    <w:t>国家或地方污染物排放标准</w:t>
                  </w:r>
                </w:p>
              </w:tc>
              <w:tc>
                <w:tcPr>
                  <w:tcW w:w="509" w:type="pct"/>
                  <w:vMerge w:val="restart"/>
                  <w:shd w:val="clear" w:color="auto" w:fill="auto"/>
                  <w:vAlign w:val="center"/>
                </w:tcPr>
                <w:p w14:paraId="3929C5D1">
                  <w:pPr>
                    <w:adjustRightInd w:val="0"/>
                    <w:snapToGrid w:val="0"/>
                    <w:jc w:val="center"/>
                    <w:rPr>
                      <w:szCs w:val="21"/>
                    </w:rPr>
                  </w:pPr>
                  <w:r>
                    <w:rPr>
                      <w:szCs w:val="21"/>
                    </w:rPr>
                    <w:t>年排放量（t/a）</w:t>
                  </w:r>
                </w:p>
              </w:tc>
            </w:tr>
            <w:tr w14:paraId="29ADE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Merge w:val="continue"/>
                  <w:shd w:val="clear" w:color="auto" w:fill="auto"/>
                  <w:vAlign w:val="center"/>
                </w:tcPr>
                <w:p w14:paraId="3D3EAC95">
                  <w:pPr>
                    <w:adjustRightInd w:val="0"/>
                    <w:snapToGrid w:val="0"/>
                    <w:jc w:val="center"/>
                    <w:rPr>
                      <w:szCs w:val="21"/>
                    </w:rPr>
                  </w:pPr>
                </w:p>
              </w:tc>
              <w:tc>
                <w:tcPr>
                  <w:tcW w:w="481" w:type="pct"/>
                  <w:vMerge w:val="continue"/>
                  <w:shd w:val="clear" w:color="auto" w:fill="auto"/>
                  <w:vAlign w:val="center"/>
                </w:tcPr>
                <w:p w14:paraId="286F94FD">
                  <w:pPr>
                    <w:adjustRightInd w:val="0"/>
                    <w:snapToGrid w:val="0"/>
                    <w:jc w:val="center"/>
                    <w:rPr>
                      <w:szCs w:val="21"/>
                    </w:rPr>
                  </w:pPr>
                </w:p>
              </w:tc>
              <w:tc>
                <w:tcPr>
                  <w:tcW w:w="483" w:type="pct"/>
                  <w:vMerge w:val="continue"/>
                  <w:shd w:val="clear" w:color="auto" w:fill="auto"/>
                  <w:vAlign w:val="center"/>
                </w:tcPr>
                <w:p w14:paraId="5BB384FA">
                  <w:pPr>
                    <w:adjustRightInd w:val="0"/>
                    <w:snapToGrid w:val="0"/>
                    <w:jc w:val="center"/>
                    <w:rPr>
                      <w:szCs w:val="21"/>
                    </w:rPr>
                  </w:pPr>
                </w:p>
              </w:tc>
              <w:tc>
                <w:tcPr>
                  <w:tcW w:w="494" w:type="pct"/>
                  <w:vMerge w:val="continue"/>
                  <w:shd w:val="clear" w:color="auto" w:fill="auto"/>
                  <w:vAlign w:val="center"/>
                </w:tcPr>
                <w:p w14:paraId="11014736">
                  <w:pPr>
                    <w:adjustRightInd w:val="0"/>
                    <w:snapToGrid w:val="0"/>
                    <w:jc w:val="center"/>
                    <w:rPr>
                      <w:szCs w:val="21"/>
                    </w:rPr>
                  </w:pPr>
                </w:p>
              </w:tc>
              <w:tc>
                <w:tcPr>
                  <w:tcW w:w="824" w:type="pct"/>
                  <w:vMerge w:val="continue"/>
                  <w:shd w:val="clear" w:color="auto" w:fill="auto"/>
                  <w:vAlign w:val="center"/>
                </w:tcPr>
                <w:p w14:paraId="791594AB">
                  <w:pPr>
                    <w:adjustRightInd w:val="0"/>
                    <w:snapToGrid w:val="0"/>
                    <w:jc w:val="center"/>
                    <w:rPr>
                      <w:szCs w:val="21"/>
                    </w:rPr>
                  </w:pPr>
                </w:p>
              </w:tc>
              <w:tc>
                <w:tcPr>
                  <w:tcW w:w="1170" w:type="pct"/>
                  <w:shd w:val="clear" w:color="auto" w:fill="auto"/>
                  <w:vAlign w:val="center"/>
                </w:tcPr>
                <w:p w14:paraId="4BF54AD9">
                  <w:pPr>
                    <w:adjustRightInd w:val="0"/>
                    <w:snapToGrid w:val="0"/>
                    <w:jc w:val="center"/>
                    <w:rPr>
                      <w:szCs w:val="21"/>
                    </w:rPr>
                  </w:pPr>
                  <w:r>
                    <w:rPr>
                      <w:szCs w:val="21"/>
                    </w:rPr>
                    <w:t>标准名称</w:t>
                  </w:r>
                </w:p>
              </w:tc>
              <w:tc>
                <w:tcPr>
                  <w:tcW w:w="782" w:type="pct"/>
                  <w:shd w:val="clear" w:color="auto" w:fill="auto"/>
                  <w:vAlign w:val="center"/>
                </w:tcPr>
                <w:p w14:paraId="1C4541DF">
                  <w:pPr>
                    <w:adjustRightInd w:val="0"/>
                    <w:snapToGrid w:val="0"/>
                    <w:jc w:val="center"/>
                    <w:rPr>
                      <w:szCs w:val="21"/>
                    </w:rPr>
                  </w:pPr>
                  <w:r>
                    <w:rPr>
                      <w:szCs w:val="21"/>
                    </w:rPr>
                    <w:t>浓度限值/（μg/m</w:t>
                  </w:r>
                  <w:r>
                    <w:rPr>
                      <w:szCs w:val="21"/>
                      <w:vertAlign w:val="superscript"/>
                    </w:rPr>
                    <w:t>3</w:t>
                  </w:r>
                  <w:r>
                    <w:rPr>
                      <w:szCs w:val="21"/>
                    </w:rPr>
                    <w:t>）</w:t>
                  </w:r>
                </w:p>
              </w:tc>
              <w:tc>
                <w:tcPr>
                  <w:tcW w:w="509" w:type="pct"/>
                  <w:vMerge w:val="continue"/>
                  <w:shd w:val="clear" w:color="auto" w:fill="auto"/>
                  <w:vAlign w:val="center"/>
                </w:tcPr>
                <w:p w14:paraId="27FCD617">
                  <w:pPr>
                    <w:adjustRightInd w:val="0"/>
                    <w:snapToGrid w:val="0"/>
                    <w:jc w:val="center"/>
                    <w:rPr>
                      <w:szCs w:val="21"/>
                    </w:rPr>
                  </w:pPr>
                </w:p>
              </w:tc>
            </w:tr>
            <w:tr w14:paraId="32B60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shd w:val="clear" w:color="auto" w:fill="auto"/>
                  <w:vAlign w:val="center"/>
                </w:tcPr>
                <w:p w14:paraId="1096E235">
                  <w:pPr>
                    <w:adjustRightInd w:val="0"/>
                    <w:snapToGrid w:val="0"/>
                    <w:jc w:val="center"/>
                    <w:rPr>
                      <w:szCs w:val="21"/>
                    </w:rPr>
                  </w:pPr>
                  <w:r>
                    <w:rPr>
                      <w:szCs w:val="21"/>
                    </w:rPr>
                    <w:t>1</w:t>
                  </w:r>
                </w:p>
              </w:tc>
              <w:tc>
                <w:tcPr>
                  <w:tcW w:w="481" w:type="pct"/>
                  <w:shd w:val="clear" w:color="auto" w:fill="auto"/>
                  <w:vAlign w:val="center"/>
                </w:tcPr>
                <w:p w14:paraId="0770C507">
                  <w:pPr>
                    <w:adjustRightInd w:val="0"/>
                    <w:snapToGrid w:val="0"/>
                    <w:jc w:val="center"/>
                    <w:rPr>
                      <w:szCs w:val="21"/>
                    </w:rPr>
                  </w:pPr>
                  <w:r>
                    <w:rPr>
                      <w:szCs w:val="21"/>
                    </w:rPr>
                    <w:t>/</w:t>
                  </w:r>
                </w:p>
              </w:tc>
              <w:tc>
                <w:tcPr>
                  <w:tcW w:w="483" w:type="pct"/>
                  <w:shd w:val="clear" w:color="auto" w:fill="auto"/>
                  <w:vAlign w:val="center"/>
                </w:tcPr>
                <w:p w14:paraId="0C4352BF">
                  <w:pPr>
                    <w:adjustRightInd w:val="0"/>
                    <w:snapToGrid w:val="0"/>
                    <w:jc w:val="center"/>
                    <w:rPr>
                      <w:szCs w:val="21"/>
                    </w:rPr>
                  </w:pPr>
                  <w:r>
                    <w:rPr>
                      <w:rFonts w:hint="eastAsia"/>
                      <w:szCs w:val="21"/>
                    </w:rPr>
                    <w:t>下料</w:t>
                  </w:r>
                </w:p>
              </w:tc>
              <w:tc>
                <w:tcPr>
                  <w:tcW w:w="494" w:type="pct"/>
                  <w:shd w:val="clear" w:color="auto" w:fill="auto"/>
                  <w:vAlign w:val="center"/>
                </w:tcPr>
                <w:p w14:paraId="0DCA1B84">
                  <w:pPr>
                    <w:adjustRightInd w:val="0"/>
                    <w:snapToGrid w:val="0"/>
                    <w:jc w:val="center"/>
                    <w:rPr>
                      <w:szCs w:val="21"/>
                    </w:rPr>
                  </w:pPr>
                  <w:r>
                    <w:rPr>
                      <w:szCs w:val="21"/>
                    </w:rPr>
                    <w:t>颗粒物</w:t>
                  </w:r>
                </w:p>
              </w:tc>
              <w:tc>
                <w:tcPr>
                  <w:tcW w:w="824" w:type="pct"/>
                  <w:shd w:val="clear" w:color="auto" w:fill="auto"/>
                  <w:vAlign w:val="center"/>
                </w:tcPr>
                <w:p w14:paraId="1D8E5E4A">
                  <w:pPr>
                    <w:adjustRightInd w:val="0"/>
                    <w:snapToGrid w:val="0"/>
                    <w:jc w:val="center"/>
                    <w:rPr>
                      <w:szCs w:val="21"/>
                    </w:rPr>
                  </w:pPr>
                  <w:r>
                    <w:rPr>
                      <w:rFonts w:hint="eastAsia"/>
                      <w:szCs w:val="21"/>
                    </w:rPr>
                    <w:t>车间密闭、湿法作业、喷雾降尘</w:t>
                  </w:r>
                </w:p>
              </w:tc>
              <w:tc>
                <w:tcPr>
                  <w:tcW w:w="1170" w:type="pct"/>
                  <w:shd w:val="clear" w:color="auto" w:fill="auto"/>
                  <w:vAlign w:val="center"/>
                </w:tcPr>
                <w:p w14:paraId="79C3ED5C">
                  <w:pPr>
                    <w:adjustRightInd w:val="0"/>
                    <w:snapToGrid w:val="0"/>
                    <w:jc w:val="center"/>
                    <w:rPr>
                      <w:szCs w:val="21"/>
                    </w:rPr>
                  </w:pPr>
                  <w:r>
                    <w:rPr>
                      <w:szCs w:val="21"/>
                    </w:rPr>
                    <w:t>《大气污染物综合排放标准》（GB16297-1996）</w:t>
                  </w:r>
                </w:p>
              </w:tc>
              <w:tc>
                <w:tcPr>
                  <w:tcW w:w="782" w:type="pct"/>
                  <w:shd w:val="clear" w:color="auto" w:fill="auto"/>
                  <w:vAlign w:val="center"/>
                </w:tcPr>
                <w:p w14:paraId="6C75D044">
                  <w:pPr>
                    <w:adjustRightInd w:val="0"/>
                    <w:snapToGrid w:val="0"/>
                    <w:jc w:val="center"/>
                    <w:rPr>
                      <w:szCs w:val="21"/>
                    </w:rPr>
                  </w:pPr>
                  <w:r>
                    <w:rPr>
                      <w:szCs w:val="21"/>
                    </w:rPr>
                    <w:t>1.0</w:t>
                  </w:r>
                </w:p>
              </w:tc>
              <w:tc>
                <w:tcPr>
                  <w:tcW w:w="509" w:type="pct"/>
                  <w:shd w:val="clear" w:color="auto" w:fill="auto"/>
                  <w:vAlign w:val="center"/>
                </w:tcPr>
                <w:p w14:paraId="7EC3A5A1">
                  <w:pPr>
                    <w:adjustRightInd w:val="0"/>
                    <w:snapToGrid w:val="0"/>
                    <w:jc w:val="center"/>
                    <w:rPr>
                      <w:szCs w:val="21"/>
                    </w:rPr>
                  </w:pPr>
                  <w:r>
                    <w:rPr>
                      <w:szCs w:val="21"/>
                    </w:rPr>
                    <w:t>0.07</w:t>
                  </w:r>
                </w:p>
              </w:tc>
            </w:tr>
            <w:tr w14:paraId="5BB48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shd w:val="clear" w:color="auto" w:fill="auto"/>
                  <w:vAlign w:val="center"/>
                </w:tcPr>
                <w:p w14:paraId="0BEE9AC7">
                  <w:pPr>
                    <w:adjustRightInd w:val="0"/>
                    <w:snapToGrid w:val="0"/>
                    <w:jc w:val="center"/>
                    <w:rPr>
                      <w:szCs w:val="21"/>
                    </w:rPr>
                  </w:pPr>
                  <w:r>
                    <w:rPr>
                      <w:szCs w:val="21"/>
                    </w:rPr>
                    <w:t>无组织排放总计</w:t>
                  </w:r>
                </w:p>
              </w:tc>
            </w:tr>
            <w:tr w14:paraId="4DB7B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pct"/>
                  <w:gridSpan w:val="4"/>
                  <w:shd w:val="clear" w:color="auto" w:fill="auto"/>
                  <w:vAlign w:val="center"/>
                </w:tcPr>
                <w:p w14:paraId="36A2A3E2">
                  <w:pPr>
                    <w:adjustRightInd w:val="0"/>
                    <w:snapToGrid w:val="0"/>
                    <w:jc w:val="center"/>
                    <w:rPr>
                      <w:szCs w:val="21"/>
                    </w:rPr>
                  </w:pPr>
                  <w:r>
                    <w:rPr>
                      <w:szCs w:val="21"/>
                    </w:rPr>
                    <w:t>无组织排放总计</w:t>
                  </w:r>
                </w:p>
              </w:tc>
              <w:tc>
                <w:tcPr>
                  <w:tcW w:w="1994" w:type="pct"/>
                  <w:gridSpan w:val="2"/>
                  <w:shd w:val="clear" w:color="auto" w:fill="auto"/>
                  <w:vAlign w:val="center"/>
                </w:tcPr>
                <w:p w14:paraId="1875F16A">
                  <w:pPr>
                    <w:adjustRightInd w:val="0"/>
                    <w:snapToGrid w:val="0"/>
                    <w:jc w:val="center"/>
                    <w:rPr>
                      <w:szCs w:val="21"/>
                    </w:rPr>
                  </w:pPr>
                  <w:r>
                    <w:rPr>
                      <w:szCs w:val="21"/>
                    </w:rPr>
                    <w:t>颗粒物</w:t>
                  </w:r>
                </w:p>
              </w:tc>
              <w:tc>
                <w:tcPr>
                  <w:tcW w:w="1291" w:type="pct"/>
                  <w:gridSpan w:val="2"/>
                  <w:shd w:val="clear" w:color="auto" w:fill="auto"/>
                  <w:vAlign w:val="center"/>
                </w:tcPr>
                <w:p w14:paraId="7FBB40F4">
                  <w:pPr>
                    <w:adjustRightInd w:val="0"/>
                    <w:snapToGrid w:val="0"/>
                    <w:jc w:val="center"/>
                    <w:rPr>
                      <w:szCs w:val="21"/>
                    </w:rPr>
                  </w:pPr>
                  <w:r>
                    <w:rPr>
                      <w:szCs w:val="21"/>
                    </w:rPr>
                    <w:t>0.07</w:t>
                  </w:r>
                </w:p>
              </w:tc>
            </w:tr>
          </w:tbl>
          <w:p w14:paraId="1CA08527">
            <w:pPr>
              <w:spacing w:line="480" w:lineRule="exact"/>
              <w:ind w:firstLine="480" w:firstLineChars="200"/>
              <w:jc w:val="center"/>
              <w:rPr>
                <w:bCs/>
                <w:sz w:val="24"/>
              </w:rPr>
            </w:pPr>
            <w:r>
              <w:rPr>
                <w:bCs/>
                <w:sz w:val="24"/>
              </w:rPr>
              <w:t>表7-10 大气污染物年排放量核算表</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3"/>
              <w:gridCol w:w="2843"/>
              <w:gridCol w:w="2847"/>
            </w:tblGrid>
            <w:tr w14:paraId="0C201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pct"/>
                  <w:shd w:val="clear" w:color="auto" w:fill="auto"/>
                </w:tcPr>
                <w:p w14:paraId="5520DB5E">
                  <w:pPr>
                    <w:adjustRightInd w:val="0"/>
                    <w:snapToGrid w:val="0"/>
                    <w:jc w:val="center"/>
                    <w:rPr>
                      <w:szCs w:val="21"/>
                    </w:rPr>
                  </w:pPr>
                  <w:r>
                    <w:rPr>
                      <w:szCs w:val="21"/>
                    </w:rPr>
                    <w:t>序号</w:t>
                  </w:r>
                </w:p>
              </w:tc>
              <w:tc>
                <w:tcPr>
                  <w:tcW w:w="1668" w:type="pct"/>
                  <w:shd w:val="clear" w:color="auto" w:fill="auto"/>
                </w:tcPr>
                <w:p w14:paraId="688C99CF">
                  <w:pPr>
                    <w:adjustRightInd w:val="0"/>
                    <w:snapToGrid w:val="0"/>
                    <w:jc w:val="center"/>
                    <w:rPr>
                      <w:szCs w:val="21"/>
                    </w:rPr>
                  </w:pPr>
                  <w:r>
                    <w:rPr>
                      <w:szCs w:val="21"/>
                    </w:rPr>
                    <w:t>污染物</w:t>
                  </w:r>
                </w:p>
              </w:tc>
              <w:tc>
                <w:tcPr>
                  <w:tcW w:w="1670" w:type="pct"/>
                  <w:shd w:val="clear" w:color="auto" w:fill="auto"/>
                </w:tcPr>
                <w:p w14:paraId="74F59348">
                  <w:pPr>
                    <w:adjustRightInd w:val="0"/>
                    <w:snapToGrid w:val="0"/>
                    <w:jc w:val="center"/>
                    <w:rPr>
                      <w:szCs w:val="21"/>
                    </w:rPr>
                  </w:pPr>
                  <w:r>
                    <w:rPr>
                      <w:szCs w:val="21"/>
                    </w:rPr>
                    <w:t>年排放量/（t/a）</w:t>
                  </w:r>
                </w:p>
              </w:tc>
            </w:tr>
            <w:tr w14:paraId="407B0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pct"/>
                  <w:shd w:val="clear" w:color="auto" w:fill="auto"/>
                </w:tcPr>
                <w:p w14:paraId="47608735">
                  <w:pPr>
                    <w:adjustRightInd w:val="0"/>
                    <w:snapToGrid w:val="0"/>
                    <w:jc w:val="center"/>
                    <w:rPr>
                      <w:szCs w:val="21"/>
                    </w:rPr>
                  </w:pPr>
                  <w:r>
                    <w:rPr>
                      <w:szCs w:val="21"/>
                    </w:rPr>
                    <w:t>1</w:t>
                  </w:r>
                </w:p>
              </w:tc>
              <w:tc>
                <w:tcPr>
                  <w:tcW w:w="1668" w:type="pct"/>
                  <w:shd w:val="clear" w:color="auto" w:fill="auto"/>
                  <w:vAlign w:val="center"/>
                </w:tcPr>
                <w:p w14:paraId="5D2FD438">
                  <w:pPr>
                    <w:adjustRightInd w:val="0"/>
                    <w:snapToGrid w:val="0"/>
                    <w:jc w:val="center"/>
                    <w:rPr>
                      <w:szCs w:val="21"/>
                    </w:rPr>
                  </w:pPr>
                  <w:r>
                    <w:rPr>
                      <w:szCs w:val="21"/>
                    </w:rPr>
                    <w:t>颗粒物</w:t>
                  </w:r>
                </w:p>
              </w:tc>
              <w:tc>
                <w:tcPr>
                  <w:tcW w:w="1670" w:type="pct"/>
                  <w:shd w:val="clear" w:color="auto" w:fill="auto"/>
                </w:tcPr>
                <w:p w14:paraId="0EED4BA1">
                  <w:pPr>
                    <w:adjustRightInd w:val="0"/>
                    <w:snapToGrid w:val="0"/>
                    <w:jc w:val="center"/>
                    <w:rPr>
                      <w:szCs w:val="21"/>
                    </w:rPr>
                  </w:pPr>
                  <w:r>
                    <w:rPr>
                      <w:szCs w:val="21"/>
                    </w:rPr>
                    <w:t>00.07</w:t>
                  </w:r>
                </w:p>
              </w:tc>
            </w:tr>
          </w:tbl>
          <w:p w14:paraId="4AB35500">
            <w:pPr>
              <w:spacing w:line="480" w:lineRule="exact"/>
              <w:ind w:firstLine="480" w:firstLineChars="200"/>
              <w:jc w:val="center"/>
              <w:rPr>
                <w:bCs/>
                <w:sz w:val="24"/>
              </w:rPr>
            </w:pPr>
            <w:r>
              <w:rPr>
                <w:bCs/>
                <w:sz w:val="24"/>
              </w:rPr>
              <w:t>表7-11 污染源非正常排放量核算表</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
              <w:gridCol w:w="884"/>
              <w:gridCol w:w="869"/>
              <w:gridCol w:w="891"/>
              <w:gridCol w:w="1146"/>
              <w:gridCol w:w="1010"/>
              <w:gridCol w:w="891"/>
              <w:gridCol w:w="869"/>
              <w:gridCol w:w="870"/>
            </w:tblGrid>
            <w:tr w14:paraId="1017E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shd w:val="clear" w:color="auto" w:fill="auto"/>
                  <w:vAlign w:val="center"/>
                </w:tcPr>
                <w:p w14:paraId="5CD0B811">
                  <w:pPr>
                    <w:adjustRightInd w:val="0"/>
                    <w:snapToGrid w:val="0"/>
                    <w:jc w:val="center"/>
                    <w:rPr>
                      <w:szCs w:val="21"/>
                    </w:rPr>
                  </w:pPr>
                  <w:r>
                    <w:rPr>
                      <w:szCs w:val="21"/>
                    </w:rPr>
                    <w:t>序号</w:t>
                  </w:r>
                </w:p>
              </w:tc>
              <w:tc>
                <w:tcPr>
                  <w:tcW w:w="884" w:type="dxa"/>
                  <w:shd w:val="clear" w:color="auto" w:fill="auto"/>
                  <w:vAlign w:val="center"/>
                </w:tcPr>
                <w:p w14:paraId="4E324090">
                  <w:pPr>
                    <w:adjustRightInd w:val="0"/>
                    <w:snapToGrid w:val="0"/>
                    <w:jc w:val="center"/>
                    <w:rPr>
                      <w:szCs w:val="21"/>
                    </w:rPr>
                  </w:pPr>
                  <w:r>
                    <w:rPr>
                      <w:szCs w:val="21"/>
                    </w:rPr>
                    <w:t>污染源</w:t>
                  </w:r>
                </w:p>
              </w:tc>
              <w:tc>
                <w:tcPr>
                  <w:tcW w:w="869" w:type="dxa"/>
                  <w:shd w:val="clear" w:color="auto" w:fill="auto"/>
                  <w:vAlign w:val="center"/>
                </w:tcPr>
                <w:p w14:paraId="78E3ACBA">
                  <w:pPr>
                    <w:adjustRightInd w:val="0"/>
                    <w:snapToGrid w:val="0"/>
                    <w:jc w:val="center"/>
                    <w:rPr>
                      <w:szCs w:val="21"/>
                    </w:rPr>
                  </w:pPr>
                  <w:r>
                    <w:rPr>
                      <w:szCs w:val="21"/>
                    </w:rPr>
                    <w:t>非正常排放原因</w:t>
                  </w:r>
                </w:p>
              </w:tc>
              <w:tc>
                <w:tcPr>
                  <w:tcW w:w="891" w:type="dxa"/>
                  <w:shd w:val="clear" w:color="auto" w:fill="auto"/>
                  <w:vAlign w:val="center"/>
                </w:tcPr>
                <w:p w14:paraId="5166424C">
                  <w:pPr>
                    <w:adjustRightInd w:val="0"/>
                    <w:snapToGrid w:val="0"/>
                    <w:jc w:val="center"/>
                    <w:rPr>
                      <w:szCs w:val="21"/>
                    </w:rPr>
                  </w:pPr>
                  <w:r>
                    <w:rPr>
                      <w:szCs w:val="21"/>
                    </w:rPr>
                    <w:t>污染物</w:t>
                  </w:r>
                </w:p>
              </w:tc>
              <w:tc>
                <w:tcPr>
                  <w:tcW w:w="1146" w:type="dxa"/>
                  <w:shd w:val="clear" w:color="auto" w:fill="auto"/>
                  <w:vAlign w:val="center"/>
                </w:tcPr>
                <w:p w14:paraId="5B0A38A5">
                  <w:pPr>
                    <w:adjustRightInd w:val="0"/>
                    <w:snapToGrid w:val="0"/>
                    <w:jc w:val="center"/>
                    <w:rPr>
                      <w:szCs w:val="21"/>
                    </w:rPr>
                  </w:pPr>
                  <w:r>
                    <w:rPr>
                      <w:szCs w:val="21"/>
                    </w:rPr>
                    <w:t>非正常排放浓度/（μg/m</w:t>
                  </w:r>
                  <w:r>
                    <w:rPr>
                      <w:szCs w:val="21"/>
                      <w:vertAlign w:val="superscript"/>
                    </w:rPr>
                    <w:t>3</w:t>
                  </w:r>
                  <w:r>
                    <w:rPr>
                      <w:szCs w:val="21"/>
                    </w:rPr>
                    <w:t>）</w:t>
                  </w:r>
                </w:p>
              </w:tc>
              <w:tc>
                <w:tcPr>
                  <w:tcW w:w="1010" w:type="dxa"/>
                  <w:shd w:val="clear" w:color="auto" w:fill="auto"/>
                  <w:vAlign w:val="center"/>
                </w:tcPr>
                <w:p w14:paraId="322C0662">
                  <w:pPr>
                    <w:adjustRightInd w:val="0"/>
                    <w:snapToGrid w:val="0"/>
                    <w:jc w:val="center"/>
                    <w:rPr>
                      <w:szCs w:val="21"/>
                    </w:rPr>
                  </w:pPr>
                  <w:r>
                    <w:rPr>
                      <w:szCs w:val="21"/>
                    </w:rPr>
                    <w:t>非正常排放速率/（kg/h）</w:t>
                  </w:r>
                </w:p>
              </w:tc>
              <w:tc>
                <w:tcPr>
                  <w:tcW w:w="891" w:type="dxa"/>
                  <w:shd w:val="clear" w:color="auto" w:fill="auto"/>
                  <w:vAlign w:val="center"/>
                </w:tcPr>
                <w:p w14:paraId="5DFD9B6A">
                  <w:pPr>
                    <w:adjustRightInd w:val="0"/>
                    <w:snapToGrid w:val="0"/>
                    <w:jc w:val="center"/>
                    <w:rPr>
                      <w:szCs w:val="21"/>
                    </w:rPr>
                  </w:pPr>
                  <w:r>
                    <w:rPr>
                      <w:szCs w:val="21"/>
                    </w:rPr>
                    <w:t>单次持续时间/h</w:t>
                  </w:r>
                </w:p>
              </w:tc>
              <w:tc>
                <w:tcPr>
                  <w:tcW w:w="869" w:type="dxa"/>
                  <w:shd w:val="clear" w:color="auto" w:fill="auto"/>
                  <w:vAlign w:val="center"/>
                </w:tcPr>
                <w:p w14:paraId="65402C17">
                  <w:pPr>
                    <w:adjustRightInd w:val="0"/>
                    <w:snapToGrid w:val="0"/>
                    <w:jc w:val="center"/>
                    <w:rPr>
                      <w:szCs w:val="21"/>
                    </w:rPr>
                  </w:pPr>
                  <w:r>
                    <w:rPr>
                      <w:szCs w:val="21"/>
                    </w:rPr>
                    <w:t>年发生频次/次</w:t>
                  </w:r>
                </w:p>
              </w:tc>
              <w:tc>
                <w:tcPr>
                  <w:tcW w:w="870" w:type="dxa"/>
                  <w:shd w:val="clear" w:color="auto" w:fill="auto"/>
                  <w:vAlign w:val="center"/>
                </w:tcPr>
                <w:p w14:paraId="69E84E7C">
                  <w:pPr>
                    <w:adjustRightInd w:val="0"/>
                    <w:snapToGrid w:val="0"/>
                    <w:jc w:val="center"/>
                    <w:rPr>
                      <w:szCs w:val="21"/>
                    </w:rPr>
                  </w:pPr>
                  <w:r>
                    <w:rPr>
                      <w:szCs w:val="21"/>
                    </w:rPr>
                    <w:t>应对措施</w:t>
                  </w:r>
                </w:p>
              </w:tc>
            </w:tr>
            <w:tr w14:paraId="3110A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shd w:val="clear" w:color="auto" w:fill="auto"/>
                  <w:vAlign w:val="center"/>
                </w:tcPr>
                <w:p w14:paraId="00EAE4F4">
                  <w:pPr>
                    <w:adjustRightInd w:val="0"/>
                    <w:snapToGrid w:val="0"/>
                    <w:jc w:val="center"/>
                    <w:rPr>
                      <w:szCs w:val="21"/>
                    </w:rPr>
                  </w:pPr>
                  <w:r>
                    <w:rPr>
                      <w:szCs w:val="21"/>
                    </w:rPr>
                    <w:t>1</w:t>
                  </w:r>
                </w:p>
              </w:tc>
              <w:tc>
                <w:tcPr>
                  <w:tcW w:w="884" w:type="dxa"/>
                  <w:shd w:val="clear" w:color="auto" w:fill="auto"/>
                  <w:vAlign w:val="center"/>
                </w:tcPr>
                <w:p w14:paraId="4E5E059C">
                  <w:pPr>
                    <w:adjustRightInd w:val="0"/>
                    <w:snapToGrid w:val="0"/>
                    <w:jc w:val="center"/>
                    <w:rPr>
                      <w:szCs w:val="21"/>
                    </w:rPr>
                  </w:pPr>
                  <w:r>
                    <w:rPr>
                      <w:szCs w:val="21"/>
                    </w:rPr>
                    <w:t>生产车间</w:t>
                  </w:r>
                </w:p>
              </w:tc>
              <w:tc>
                <w:tcPr>
                  <w:tcW w:w="869" w:type="dxa"/>
                  <w:shd w:val="clear" w:color="auto" w:fill="auto"/>
                  <w:vAlign w:val="center"/>
                </w:tcPr>
                <w:p w14:paraId="080A0885">
                  <w:pPr>
                    <w:adjustRightInd w:val="0"/>
                    <w:snapToGrid w:val="0"/>
                    <w:jc w:val="center"/>
                    <w:rPr>
                      <w:szCs w:val="21"/>
                    </w:rPr>
                  </w:pPr>
                  <w:r>
                    <w:rPr>
                      <w:szCs w:val="21"/>
                    </w:rPr>
                    <w:t>环保设施故障</w:t>
                  </w:r>
                </w:p>
              </w:tc>
              <w:tc>
                <w:tcPr>
                  <w:tcW w:w="891" w:type="dxa"/>
                  <w:shd w:val="clear" w:color="auto" w:fill="auto"/>
                  <w:vAlign w:val="center"/>
                </w:tcPr>
                <w:p w14:paraId="03F582E7">
                  <w:pPr>
                    <w:adjustRightInd w:val="0"/>
                    <w:snapToGrid w:val="0"/>
                    <w:jc w:val="center"/>
                    <w:rPr>
                      <w:szCs w:val="21"/>
                    </w:rPr>
                  </w:pPr>
                  <w:r>
                    <w:rPr>
                      <w:szCs w:val="21"/>
                    </w:rPr>
                    <w:t>颗粒物</w:t>
                  </w:r>
                </w:p>
              </w:tc>
              <w:tc>
                <w:tcPr>
                  <w:tcW w:w="1146" w:type="dxa"/>
                  <w:shd w:val="clear" w:color="auto" w:fill="auto"/>
                  <w:vAlign w:val="center"/>
                </w:tcPr>
                <w:p w14:paraId="7CAB8E50">
                  <w:pPr>
                    <w:adjustRightInd w:val="0"/>
                    <w:snapToGrid w:val="0"/>
                    <w:jc w:val="center"/>
                    <w:rPr>
                      <w:szCs w:val="21"/>
                    </w:rPr>
                  </w:pPr>
                  <w:r>
                    <w:rPr>
                      <w:szCs w:val="21"/>
                    </w:rPr>
                    <w:t>/</w:t>
                  </w:r>
                </w:p>
              </w:tc>
              <w:tc>
                <w:tcPr>
                  <w:tcW w:w="1010" w:type="dxa"/>
                  <w:shd w:val="clear" w:color="auto" w:fill="auto"/>
                  <w:vAlign w:val="center"/>
                </w:tcPr>
                <w:p w14:paraId="5C7F8E51">
                  <w:pPr>
                    <w:adjustRightInd w:val="0"/>
                    <w:snapToGrid w:val="0"/>
                    <w:jc w:val="center"/>
                    <w:rPr>
                      <w:szCs w:val="21"/>
                    </w:rPr>
                  </w:pPr>
                  <w:r>
                    <w:rPr>
                      <w:szCs w:val="21"/>
                    </w:rPr>
                    <w:t>0.029</w:t>
                  </w:r>
                </w:p>
              </w:tc>
              <w:tc>
                <w:tcPr>
                  <w:tcW w:w="891" w:type="dxa"/>
                  <w:shd w:val="clear" w:color="auto" w:fill="auto"/>
                  <w:vAlign w:val="center"/>
                </w:tcPr>
                <w:p w14:paraId="2483B1FD">
                  <w:pPr>
                    <w:adjustRightInd w:val="0"/>
                    <w:snapToGrid w:val="0"/>
                    <w:jc w:val="center"/>
                    <w:rPr>
                      <w:szCs w:val="21"/>
                    </w:rPr>
                  </w:pPr>
                  <w:r>
                    <w:rPr>
                      <w:szCs w:val="21"/>
                    </w:rPr>
                    <w:t>0.17</w:t>
                  </w:r>
                </w:p>
              </w:tc>
              <w:tc>
                <w:tcPr>
                  <w:tcW w:w="869" w:type="dxa"/>
                  <w:shd w:val="clear" w:color="auto" w:fill="auto"/>
                  <w:vAlign w:val="center"/>
                </w:tcPr>
                <w:p w14:paraId="6B4FF459">
                  <w:pPr>
                    <w:adjustRightInd w:val="0"/>
                    <w:snapToGrid w:val="0"/>
                    <w:jc w:val="center"/>
                    <w:rPr>
                      <w:szCs w:val="21"/>
                    </w:rPr>
                  </w:pPr>
                  <w:r>
                    <w:rPr>
                      <w:szCs w:val="21"/>
                    </w:rPr>
                    <w:t>1</w:t>
                  </w:r>
                </w:p>
              </w:tc>
              <w:tc>
                <w:tcPr>
                  <w:tcW w:w="870" w:type="dxa"/>
                  <w:shd w:val="clear" w:color="auto" w:fill="auto"/>
                  <w:vAlign w:val="center"/>
                </w:tcPr>
                <w:p w14:paraId="755DF86F">
                  <w:pPr>
                    <w:adjustRightInd w:val="0"/>
                    <w:snapToGrid w:val="0"/>
                    <w:jc w:val="center"/>
                    <w:rPr>
                      <w:szCs w:val="21"/>
                    </w:rPr>
                  </w:pPr>
                  <w:r>
                    <w:rPr>
                      <w:szCs w:val="21"/>
                    </w:rPr>
                    <w:t>停止生产</w:t>
                  </w:r>
                </w:p>
              </w:tc>
            </w:tr>
          </w:tbl>
          <w:p w14:paraId="74D1999F">
            <w:pPr>
              <w:adjustRightInd w:val="0"/>
              <w:snapToGrid w:val="0"/>
              <w:spacing w:line="480" w:lineRule="exact"/>
              <w:ind w:firstLine="480" w:firstLineChars="200"/>
              <w:rPr>
                <w:sz w:val="24"/>
              </w:rPr>
            </w:pPr>
            <w:r>
              <w:rPr>
                <w:sz w:val="24"/>
              </w:rPr>
              <w:t>（9）项目环境防护距离</w:t>
            </w:r>
          </w:p>
          <w:p w14:paraId="27FF59E8">
            <w:pPr>
              <w:adjustRightInd w:val="0"/>
              <w:snapToGrid w:val="0"/>
              <w:spacing w:line="480" w:lineRule="exact"/>
              <w:ind w:firstLine="480" w:firstLineChars="200"/>
              <w:rPr>
                <w:sz w:val="24"/>
              </w:rPr>
            </w:pPr>
            <w:r>
              <w:rPr>
                <w:rFonts w:hint="eastAsia" w:ascii="宋体" w:hAnsi="宋体" w:cs="宋体"/>
                <w:sz w:val="24"/>
              </w:rPr>
              <w:t>①</w:t>
            </w:r>
            <w:r>
              <w:rPr>
                <w:sz w:val="24"/>
              </w:rPr>
              <w:t>大气环境防护距离的计算</w:t>
            </w:r>
          </w:p>
          <w:p w14:paraId="0A28D78D">
            <w:pPr>
              <w:adjustRightInd w:val="0"/>
              <w:snapToGrid w:val="0"/>
              <w:spacing w:line="480" w:lineRule="exact"/>
              <w:ind w:firstLine="480" w:firstLineChars="200"/>
              <w:rPr>
                <w:sz w:val="24"/>
              </w:rPr>
            </w:pPr>
            <w:r>
              <w:rPr>
                <w:sz w:val="24"/>
              </w:rPr>
              <w:t>根据《环境影响评价技术导则 大气环境》（HJ2.2-2018）对于项目厂界浓度满足大气污染物厂界浓度限值的，但厂界外大气污染物短期贡献浓度超过环境质量限值的，可以自厂界向外设置一定范围的大气环境防护区域，以确保大气环境防护区域外的污染物贡献浓度满足环境质量标准。</w:t>
            </w:r>
          </w:p>
          <w:p w14:paraId="5BE1ED86">
            <w:pPr>
              <w:adjustRightInd w:val="0"/>
              <w:snapToGrid w:val="0"/>
              <w:spacing w:line="480" w:lineRule="exact"/>
              <w:ind w:firstLine="480" w:firstLineChars="200"/>
              <w:rPr>
                <w:sz w:val="24"/>
              </w:rPr>
            </w:pPr>
            <w:r>
              <w:rPr>
                <w:sz w:val="24"/>
              </w:rPr>
              <w:t>大气环境防护距离的计算方法采用《环境影响评价技术导则—大气环境》（HJ2.2-2008）中SCREEN3模式中的大气环境防护距离进行计算。计算结果：非甲烷总烃、TSP场界监控点最大占标率低于10%，无超标点，无需设置大气环境防护距离。</w:t>
            </w:r>
          </w:p>
          <w:p w14:paraId="78923B31">
            <w:pPr>
              <w:tabs>
                <w:tab w:val="left" w:pos="1680"/>
              </w:tabs>
              <w:spacing w:line="360" w:lineRule="auto"/>
              <w:ind w:firstLine="364" w:firstLineChars="152"/>
              <w:rPr>
                <w:kern w:val="0"/>
                <w:sz w:val="24"/>
              </w:rPr>
            </w:pPr>
            <w:r>
              <w:rPr>
                <w:rFonts w:hint="eastAsia"/>
                <w:sz w:val="24"/>
              </w:rPr>
              <w:t>根据估算结果表明，本项目大气环境评价工作等级为二级，项目</w:t>
            </w:r>
            <w:r>
              <w:rPr>
                <w:sz w:val="24"/>
              </w:rPr>
              <w:t>TSP</w:t>
            </w:r>
            <w:r>
              <w:rPr>
                <w:rFonts w:hint="eastAsia"/>
                <w:sz w:val="24"/>
              </w:rPr>
              <w:t>的最大落地浓度为</w:t>
            </w:r>
            <w:r>
              <w:rPr>
                <w:sz w:val="24"/>
              </w:rPr>
              <w:t>44.1590</w:t>
            </w:r>
            <w:r>
              <w:rPr>
                <w:rFonts w:hint="eastAsia"/>
                <w:sz w:val="24"/>
                <w:lang w:eastAsia="zh-CN"/>
              </w:rPr>
              <w:t>μg/m3</w:t>
            </w:r>
            <w:r>
              <w:rPr>
                <w:rFonts w:hint="eastAsia"/>
                <w:sz w:val="24"/>
              </w:rPr>
              <w:t>（占标率为</w:t>
            </w:r>
            <w:r>
              <w:rPr>
                <w:sz w:val="24"/>
              </w:rPr>
              <w:t>4.9066%</w:t>
            </w:r>
            <w:r>
              <w:rPr>
                <w:rFonts w:hint="eastAsia"/>
                <w:sz w:val="24"/>
              </w:rPr>
              <w:t>）。同时，根据厂界无组织监测结果显示，项目正常运营情况下，厂界四周无组织废气中颗粒物的检测结果符合《大气污染物综合排放标准》（GB16297-1996）表2（其他）排放限值要求。为尽量避免区域环境空气质量的降低，建设方应控制非正常工况的持续时间，要杜绝各类事故的发生，严格操作规程，对生产设备进行定期检修，发现隐患及时处理，尽量减少事故排放对环境产生的不良影响。</w:t>
            </w:r>
            <w:r>
              <w:rPr>
                <w:rFonts w:hint="eastAsia"/>
                <w:kern w:val="0"/>
                <w:sz w:val="24"/>
              </w:rPr>
              <w:t>同时，项目区域开阔，扩散条件好</w:t>
            </w:r>
            <w:r>
              <w:rPr>
                <w:rFonts w:hint="eastAsia"/>
                <w:sz w:val="24"/>
              </w:rPr>
              <w:t>，项目废气在落实环保措施后，基本可实现达标排放，不会对区域大气环境产生明显影响，不会改变区域大气质量环境使用功能。</w:t>
            </w:r>
          </w:p>
          <w:p w14:paraId="1CF5CD60">
            <w:pPr>
              <w:spacing w:line="360" w:lineRule="auto"/>
              <w:ind w:firstLine="480" w:firstLineChars="200"/>
              <w:rPr>
                <w:b/>
                <w:sz w:val="24"/>
              </w:rPr>
            </w:pPr>
            <w:r>
              <w:rPr>
                <w:rFonts w:hint="eastAsia"/>
                <w:b/>
                <w:sz w:val="24"/>
              </w:rPr>
              <w:t>综上所述，项目运营过程产生的废气，在采取相关环保设施后，区域气环境影响较小。</w:t>
            </w:r>
          </w:p>
          <w:p w14:paraId="1CD4980B">
            <w:pPr>
              <w:spacing w:line="480" w:lineRule="exact"/>
              <w:ind w:firstLine="566" w:firstLineChars="236"/>
              <w:rPr>
                <w:b/>
                <w:bCs/>
                <w:sz w:val="24"/>
              </w:rPr>
            </w:pPr>
            <w:r>
              <w:rPr>
                <w:b/>
                <w:bCs/>
                <w:sz w:val="24"/>
              </w:rPr>
              <w:t>2</w:t>
            </w:r>
            <w:r>
              <w:rPr>
                <w:rFonts w:hint="eastAsia"/>
                <w:b/>
                <w:bCs/>
                <w:sz w:val="24"/>
              </w:rPr>
              <w:t>、地表水环境影响分析</w:t>
            </w:r>
          </w:p>
          <w:p w14:paraId="22D9B25E">
            <w:pPr>
              <w:spacing w:line="480" w:lineRule="exact"/>
              <w:ind w:firstLine="566" w:firstLineChars="236"/>
              <w:rPr>
                <w:sz w:val="24"/>
              </w:rPr>
            </w:pPr>
            <w:r>
              <w:rPr>
                <w:rFonts w:hint="eastAsia"/>
                <w:sz w:val="24"/>
              </w:rPr>
              <w:t>本项目废水主要为生活污水以及路面径流雨水。</w:t>
            </w:r>
          </w:p>
          <w:p w14:paraId="149C87DC">
            <w:pPr>
              <w:spacing w:line="480" w:lineRule="exact"/>
              <w:ind w:firstLine="566" w:firstLineChars="236"/>
              <w:rPr>
                <w:sz w:val="24"/>
              </w:rPr>
            </w:pPr>
            <w:r>
              <w:rPr>
                <w:rFonts w:hint="eastAsia"/>
                <w:sz w:val="24"/>
              </w:rPr>
              <w:t>（</w:t>
            </w:r>
            <w:r>
              <w:rPr>
                <w:sz w:val="24"/>
              </w:rPr>
              <w:t>1</w:t>
            </w:r>
            <w:r>
              <w:rPr>
                <w:rFonts w:hint="eastAsia"/>
                <w:sz w:val="24"/>
              </w:rPr>
              <w:t>）生活污水</w:t>
            </w:r>
          </w:p>
          <w:p w14:paraId="5414AFE1">
            <w:pPr>
              <w:spacing w:line="480" w:lineRule="exact"/>
              <w:ind w:firstLine="566" w:firstLineChars="236"/>
            </w:pPr>
            <w:r>
              <w:rPr>
                <w:rFonts w:hint="eastAsia"/>
                <w:sz w:val="24"/>
              </w:rPr>
              <w:t>根据《环境影响评价导则</w:t>
            </w:r>
            <w:r>
              <w:rPr>
                <w:sz w:val="24"/>
              </w:rPr>
              <w:t xml:space="preserve">  </w:t>
            </w:r>
            <w:r>
              <w:rPr>
                <w:rFonts w:hint="eastAsia"/>
                <w:sz w:val="24"/>
              </w:rPr>
              <w:t>地表水环境》（</w:t>
            </w:r>
            <w:r>
              <w:rPr>
                <w:sz w:val="24"/>
              </w:rPr>
              <w:t>HJ2.3-2018</w:t>
            </w:r>
            <w:r>
              <w:rPr>
                <w:rFonts w:hint="eastAsia"/>
                <w:sz w:val="24"/>
              </w:rPr>
              <w:t>），本项目废水排放方式为回用处理不排放，评价等级为三级</w:t>
            </w:r>
            <w:r>
              <w:rPr>
                <w:sz w:val="24"/>
              </w:rPr>
              <w:t>B</w:t>
            </w:r>
            <w:r>
              <w:rPr>
                <w:rFonts w:hint="eastAsia"/>
                <w:sz w:val="24"/>
              </w:rPr>
              <w:t>。根据要求水污染影响型三级</w:t>
            </w:r>
            <w:r>
              <w:rPr>
                <w:sz w:val="24"/>
              </w:rPr>
              <w:t>B</w:t>
            </w:r>
            <w:r>
              <w:rPr>
                <w:rFonts w:hint="eastAsia"/>
                <w:sz w:val="24"/>
              </w:rPr>
              <w:t>评价，可不开展区域污染源调查。具体水污染源分析详见工程分析内容。</w:t>
            </w:r>
          </w:p>
          <w:p w14:paraId="38AC23FB">
            <w:pPr>
              <w:spacing w:line="360" w:lineRule="auto"/>
              <w:ind w:firstLine="480" w:firstLineChars="200"/>
              <w:rPr>
                <w:sz w:val="24"/>
              </w:rPr>
            </w:pPr>
            <w:r>
              <w:rPr>
                <w:rFonts w:hint="eastAsia"/>
                <w:sz w:val="24"/>
              </w:rPr>
              <w:t>本项目生活污水依托现有已建污水预处理池处理后回用农肥处理，确保废水妥善处置。</w:t>
            </w:r>
          </w:p>
          <w:p w14:paraId="1ECF038C">
            <w:pPr>
              <w:tabs>
                <w:tab w:val="left" w:pos="5670"/>
              </w:tabs>
              <w:spacing w:line="480" w:lineRule="exact"/>
              <w:ind w:firstLine="480" w:firstLineChars="200"/>
              <w:rPr>
                <w:sz w:val="24"/>
              </w:rPr>
            </w:pPr>
            <w:r>
              <w:rPr>
                <w:rFonts w:hint="eastAsia"/>
                <w:sz w:val="24"/>
              </w:rPr>
              <w:t>①评价等级</w:t>
            </w:r>
          </w:p>
          <w:p w14:paraId="06C7D406">
            <w:pPr>
              <w:tabs>
                <w:tab w:val="left" w:pos="5670"/>
              </w:tabs>
              <w:spacing w:line="480" w:lineRule="exact"/>
              <w:ind w:firstLine="480" w:firstLineChars="200"/>
              <w:rPr>
                <w:sz w:val="24"/>
              </w:rPr>
            </w:pPr>
            <w:r>
              <w:rPr>
                <w:rFonts w:hint="eastAsia"/>
                <w:sz w:val="24"/>
              </w:rPr>
              <w:t>根据《环境影响评价技术导则地表水环境》（HJ 2.3-2018），项目属于水污染影响型建设项目。水污染影响型建设项目根据排放方式和废水排放量划分评价等级，见下表：</w:t>
            </w:r>
          </w:p>
          <w:p w14:paraId="3B1DAC91">
            <w:pPr>
              <w:spacing w:line="360" w:lineRule="auto"/>
              <w:jc w:val="center"/>
              <w:rPr>
                <w:rFonts w:ascii="黑体" w:hAnsi="黑体" w:eastAsia="黑体"/>
                <w:bCs/>
                <w:sz w:val="24"/>
              </w:rPr>
            </w:pPr>
            <w:r>
              <w:rPr>
                <w:rFonts w:ascii="黑体" w:hAnsi="黑体" w:eastAsia="黑体"/>
                <w:bCs/>
                <w:sz w:val="24"/>
              </w:rPr>
              <w:t>表7-12  水污染影响型建设项目评价等级判定</w:t>
            </w:r>
          </w:p>
          <w:tbl>
            <w:tblPr>
              <w:tblStyle w:val="25"/>
              <w:tblW w:w="8033"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509"/>
              <w:gridCol w:w="3080"/>
              <w:gridCol w:w="3444"/>
            </w:tblGrid>
            <w:tr w14:paraId="02B6E8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509" w:type="dxa"/>
                  <w:vMerge w:val="restart"/>
                  <w:tcBorders>
                    <w:top w:val="single" w:color="auto" w:sz="4" w:space="0"/>
                    <w:left w:val="single" w:color="auto" w:sz="4" w:space="0"/>
                    <w:bottom w:val="single" w:color="auto" w:sz="6" w:space="0"/>
                    <w:right w:val="single" w:color="auto" w:sz="6" w:space="0"/>
                  </w:tcBorders>
                  <w:vAlign w:val="center"/>
                </w:tcPr>
                <w:p w14:paraId="7C720DF7">
                  <w:pPr>
                    <w:snapToGrid w:val="0"/>
                    <w:ind w:firstLine="414"/>
                    <w:jc w:val="center"/>
                    <w:rPr>
                      <w:b/>
                      <w:bCs/>
                      <w:spacing w:val="-2"/>
                    </w:rPr>
                  </w:pPr>
                  <w:r>
                    <w:rPr>
                      <w:b/>
                      <w:bCs/>
                      <w:spacing w:val="-2"/>
                    </w:rPr>
                    <w:t>评价等级</w:t>
                  </w:r>
                </w:p>
              </w:tc>
              <w:tc>
                <w:tcPr>
                  <w:tcW w:w="6524" w:type="dxa"/>
                  <w:gridSpan w:val="2"/>
                  <w:tcBorders>
                    <w:top w:val="single" w:color="auto" w:sz="4" w:space="0"/>
                    <w:left w:val="single" w:color="auto" w:sz="6" w:space="0"/>
                    <w:bottom w:val="single" w:color="auto" w:sz="6" w:space="0"/>
                    <w:right w:val="single" w:color="auto" w:sz="4" w:space="0"/>
                  </w:tcBorders>
                  <w:vAlign w:val="center"/>
                </w:tcPr>
                <w:p w14:paraId="3E8EAE06">
                  <w:pPr>
                    <w:snapToGrid w:val="0"/>
                    <w:ind w:firstLine="414"/>
                    <w:jc w:val="center"/>
                    <w:rPr>
                      <w:b/>
                      <w:bCs/>
                      <w:spacing w:val="-2"/>
                    </w:rPr>
                  </w:pPr>
                  <w:r>
                    <w:rPr>
                      <w:b/>
                      <w:bCs/>
                      <w:spacing w:val="-2"/>
                    </w:rPr>
                    <w:t>判定依据</w:t>
                  </w:r>
                </w:p>
              </w:tc>
            </w:tr>
            <w:tr w14:paraId="6FA6D84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509" w:type="dxa"/>
                  <w:vMerge w:val="continue"/>
                  <w:tcBorders>
                    <w:top w:val="single" w:color="auto" w:sz="6" w:space="0"/>
                    <w:left w:val="single" w:color="auto" w:sz="4" w:space="0"/>
                    <w:bottom w:val="single" w:color="auto" w:sz="6" w:space="0"/>
                    <w:right w:val="single" w:color="auto" w:sz="6" w:space="0"/>
                  </w:tcBorders>
                  <w:vAlign w:val="center"/>
                </w:tcPr>
                <w:p w14:paraId="3DF80749">
                  <w:pPr>
                    <w:snapToGrid w:val="0"/>
                    <w:ind w:firstLine="414"/>
                    <w:jc w:val="center"/>
                    <w:rPr>
                      <w:b/>
                      <w:bCs/>
                      <w:spacing w:val="-2"/>
                    </w:rPr>
                  </w:pPr>
                </w:p>
              </w:tc>
              <w:tc>
                <w:tcPr>
                  <w:tcW w:w="3080" w:type="dxa"/>
                  <w:tcBorders>
                    <w:top w:val="single" w:color="auto" w:sz="6" w:space="0"/>
                    <w:left w:val="single" w:color="auto" w:sz="6" w:space="0"/>
                    <w:bottom w:val="single" w:color="auto" w:sz="6" w:space="0"/>
                    <w:right w:val="single" w:color="auto" w:sz="6" w:space="0"/>
                  </w:tcBorders>
                  <w:vAlign w:val="center"/>
                </w:tcPr>
                <w:p w14:paraId="6F3C4BEB">
                  <w:pPr>
                    <w:snapToGrid w:val="0"/>
                    <w:ind w:firstLine="414"/>
                    <w:jc w:val="center"/>
                    <w:rPr>
                      <w:b/>
                      <w:bCs/>
                      <w:spacing w:val="-2"/>
                    </w:rPr>
                  </w:pPr>
                  <w:r>
                    <w:rPr>
                      <w:b/>
                      <w:bCs/>
                      <w:spacing w:val="-2"/>
                    </w:rPr>
                    <w:t>排放方式</w:t>
                  </w:r>
                </w:p>
              </w:tc>
              <w:tc>
                <w:tcPr>
                  <w:tcW w:w="3444" w:type="dxa"/>
                  <w:tcBorders>
                    <w:top w:val="single" w:color="auto" w:sz="6" w:space="0"/>
                    <w:left w:val="single" w:color="auto" w:sz="6" w:space="0"/>
                    <w:bottom w:val="single" w:color="auto" w:sz="6" w:space="0"/>
                    <w:right w:val="single" w:color="auto" w:sz="4" w:space="0"/>
                  </w:tcBorders>
                  <w:vAlign w:val="center"/>
                </w:tcPr>
                <w:p w14:paraId="77396364">
                  <w:pPr>
                    <w:snapToGrid w:val="0"/>
                    <w:ind w:firstLine="414"/>
                    <w:jc w:val="center"/>
                    <w:rPr>
                      <w:b/>
                      <w:bCs/>
                      <w:spacing w:val="-2"/>
                    </w:rPr>
                  </w:pPr>
                  <w:r>
                    <w:rPr>
                      <w:b/>
                      <w:bCs/>
                      <w:spacing w:val="-2"/>
                    </w:rPr>
                    <w:t>废水排放量Q/（m</w:t>
                  </w:r>
                  <w:r>
                    <w:rPr>
                      <w:b/>
                      <w:bCs/>
                      <w:spacing w:val="-2"/>
                      <w:vertAlign w:val="superscript"/>
                    </w:rPr>
                    <w:t>3</w:t>
                  </w:r>
                  <w:r>
                    <w:rPr>
                      <w:b/>
                      <w:bCs/>
                      <w:spacing w:val="-2"/>
                    </w:rPr>
                    <w:t>/d）；水污染物当量数W/（无量纲）</w:t>
                  </w:r>
                </w:p>
              </w:tc>
            </w:tr>
            <w:tr w14:paraId="6D80386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509" w:type="dxa"/>
                  <w:tcBorders>
                    <w:top w:val="single" w:color="auto" w:sz="6" w:space="0"/>
                    <w:left w:val="single" w:color="auto" w:sz="4" w:space="0"/>
                    <w:bottom w:val="single" w:color="auto" w:sz="6" w:space="0"/>
                    <w:right w:val="single" w:color="auto" w:sz="6" w:space="0"/>
                  </w:tcBorders>
                  <w:vAlign w:val="center"/>
                </w:tcPr>
                <w:p w14:paraId="6EC3293A">
                  <w:pPr>
                    <w:snapToGrid w:val="0"/>
                    <w:ind w:firstLine="472"/>
                    <w:jc w:val="center"/>
                    <w:rPr>
                      <w:spacing w:val="-2"/>
                    </w:rPr>
                  </w:pPr>
                  <w:r>
                    <w:rPr>
                      <w:spacing w:val="-2"/>
                    </w:rPr>
                    <w:t>一级</w:t>
                  </w:r>
                </w:p>
              </w:tc>
              <w:tc>
                <w:tcPr>
                  <w:tcW w:w="3080" w:type="dxa"/>
                  <w:tcBorders>
                    <w:top w:val="single" w:color="auto" w:sz="6" w:space="0"/>
                    <w:left w:val="single" w:color="auto" w:sz="6" w:space="0"/>
                    <w:bottom w:val="single" w:color="auto" w:sz="6" w:space="0"/>
                    <w:right w:val="single" w:color="auto" w:sz="6" w:space="0"/>
                  </w:tcBorders>
                  <w:vAlign w:val="center"/>
                </w:tcPr>
                <w:p w14:paraId="50117A66">
                  <w:pPr>
                    <w:snapToGrid w:val="0"/>
                    <w:ind w:firstLine="472"/>
                    <w:jc w:val="center"/>
                    <w:rPr>
                      <w:spacing w:val="-2"/>
                    </w:rPr>
                  </w:pPr>
                  <w:r>
                    <w:rPr>
                      <w:spacing w:val="-2"/>
                    </w:rPr>
                    <w:t>直接排放</w:t>
                  </w:r>
                </w:p>
              </w:tc>
              <w:tc>
                <w:tcPr>
                  <w:tcW w:w="3444" w:type="dxa"/>
                  <w:tcBorders>
                    <w:top w:val="single" w:color="auto" w:sz="6" w:space="0"/>
                    <w:left w:val="single" w:color="auto" w:sz="6" w:space="0"/>
                    <w:bottom w:val="single" w:color="auto" w:sz="6" w:space="0"/>
                    <w:right w:val="single" w:color="auto" w:sz="4" w:space="0"/>
                  </w:tcBorders>
                  <w:vAlign w:val="center"/>
                </w:tcPr>
                <w:p w14:paraId="49917D49">
                  <w:pPr>
                    <w:snapToGrid w:val="0"/>
                    <w:ind w:firstLine="412"/>
                    <w:jc w:val="center"/>
                    <w:rPr>
                      <w:spacing w:val="-2"/>
                    </w:rPr>
                  </w:pPr>
                  <w:r>
                    <w:rPr>
                      <w:spacing w:val="-2"/>
                    </w:rPr>
                    <w:t>Q≥20000或W≥600000</w:t>
                  </w:r>
                </w:p>
              </w:tc>
            </w:tr>
            <w:tr w14:paraId="7E89E85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509" w:type="dxa"/>
                  <w:tcBorders>
                    <w:top w:val="single" w:color="auto" w:sz="6" w:space="0"/>
                    <w:left w:val="single" w:color="auto" w:sz="4" w:space="0"/>
                    <w:bottom w:val="single" w:color="auto" w:sz="6" w:space="0"/>
                    <w:right w:val="single" w:color="auto" w:sz="6" w:space="0"/>
                  </w:tcBorders>
                  <w:vAlign w:val="center"/>
                </w:tcPr>
                <w:p w14:paraId="6AFFB96D">
                  <w:pPr>
                    <w:snapToGrid w:val="0"/>
                    <w:ind w:firstLine="472"/>
                    <w:jc w:val="center"/>
                    <w:rPr>
                      <w:spacing w:val="-2"/>
                    </w:rPr>
                  </w:pPr>
                  <w:r>
                    <w:rPr>
                      <w:spacing w:val="-2"/>
                    </w:rPr>
                    <w:t>二级</w:t>
                  </w:r>
                </w:p>
              </w:tc>
              <w:tc>
                <w:tcPr>
                  <w:tcW w:w="3080" w:type="dxa"/>
                  <w:tcBorders>
                    <w:top w:val="single" w:color="auto" w:sz="6" w:space="0"/>
                    <w:left w:val="single" w:color="auto" w:sz="6" w:space="0"/>
                    <w:bottom w:val="single" w:color="auto" w:sz="6" w:space="0"/>
                    <w:right w:val="single" w:color="auto" w:sz="6" w:space="0"/>
                  </w:tcBorders>
                  <w:vAlign w:val="center"/>
                </w:tcPr>
                <w:p w14:paraId="6F7982DB">
                  <w:pPr>
                    <w:snapToGrid w:val="0"/>
                    <w:ind w:firstLine="472"/>
                    <w:jc w:val="center"/>
                    <w:rPr>
                      <w:spacing w:val="-2"/>
                    </w:rPr>
                  </w:pPr>
                  <w:r>
                    <w:rPr>
                      <w:spacing w:val="-2"/>
                    </w:rPr>
                    <w:t>直接排放</w:t>
                  </w:r>
                </w:p>
              </w:tc>
              <w:tc>
                <w:tcPr>
                  <w:tcW w:w="3444" w:type="dxa"/>
                  <w:tcBorders>
                    <w:top w:val="single" w:color="auto" w:sz="6" w:space="0"/>
                    <w:left w:val="single" w:color="auto" w:sz="6" w:space="0"/>
                    <w:bottom w:val="single" w:color="auto" w:sz="6" w:space="0"/>
                    <w:right w:val="single" w:color="auto" w:sz="4" w:space="0"/>
                  </w:tcBorders>
                  <w:vAlign w:val="center"/>
                </w:tcPr>
                <w:p w14:paraId="239DF9EE">
                  <w:pPr>
                    <w:snapToGrid w:val="0"/>
                    <w:ind w:firstLine="472"/>
                    <w:jc w:val="center"/>
                    <w:rPr>
                      <w:spacing w:val="-2"/>
                    </w:rPr>
                  </w:pPr>
                  <w:r>
                    <w:rPr>
                      <w:spacing w:val="-2"/>
                    </w:rPr>
                    <w:t>其他</w:t>
                  </w:r>
                </w:p>
              </w:tc>
            </w:tr>
            <w:tr w14:paraId="2068B02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509" w:type="dxa"/>
                  <w:tcBorders>
                    <w:top w:val="single" w:color="auto" w:sz="6" w:space="0"/>
                    <w:left w:val="single" w:color="auto" w:sz="4" w:space="0"/>
                    <w:bottom w:val="single" w:color="auto" w:sz="6" w:space="0"/>
                    <w:right w:val="single" w:color="auto" w:sz="6" w:space="0"/>
                  </w:tcBorders>
                  <w:vAlign w:val="center"/>
                </w:tcPr>
                <w:p w14:paraId="0BA42DE0">
                  <w:pPr>
                    <w:snapToGrid w:val="0"/>
                    <w:ind w:firstLine="472"/>
                    <w:jc w:val="center"/>
                    <w:rPr>
                      <w:spacing w:val="-2"/>
                    </w:rPr>
                  </w:pPr>
                  <w:r>
                    <w:rPr>
                      <w:spacing w:val="-2"/>
                    </w:rPr>
                    <w:t>三级A</w:t>
                  </w:r>
                </w:p>
              </w:tc>
              <w:tc>
                <w:tcPr>
                  <w:tcW w:w="3080" w:type="dxa"/>
                  <w:tcBorders>
                    <w:top w:val="single" w:color="auto" w:sz="6" w:space="0"/>
                    <w:left w:val="single" w:color="auto" w:sz="6" w:space="0"/>
                    <w:bottom w:val="single" w:color="auto" w:sz="6" w:space="0"/>
                    <w:right w:val="single" w:color="auto" w:sz="6" w:space="0"/>
                  </w:tcBorders>
                  <w:vAlign w:val="center"/>
                </w:tcPr>
                <w:p w14:paraId="3480A80B">
                  <w:pPr>
                    <w:snapToGrid w:val="0"/>
                    <w:ind w:firstLine="472"/>
                    <w:jc w:val="center"/>
                    <w:rPr>
                      <w:spacing w:val="-2"/>
                    </w:rPr>
                  </w:pPr>
                  <w:r>
                    <w:rPr>
                      <w:spacing w:val="-2"/>
                    </w:rPr>
                    <w:t>直接排放</w:t>
                  </w:r>
                </w:p>
              </w:tc>
              <w:tc>
                <w:tcPr>
                  <w:tcW w:w="3444" w:type="dxa"/>
                  <w:tcBorders>
                    <w:top w:val="single" w:color="auto" w:sz="6" w:space="0"/>
                    <w:left w:val="single" w:color="auto" w:sz="6" w:space="0"/>
                    <w:bottom w:val="single" w:color="auto" w:sz="6" w:space="0"/>
                    <w:right w:val="single" w:color="auto" w:sz="4" w:space="0"/>
                  </w:tcBorders>
                  <w:vAlign w:val="center"/>
                </w:tcPr>
                <w:p w14:paraId="46BB7447">
                  <w:pPr>
                    <w:snapToGrid w:val="0"/>
                    <w:ind w:firstLine="412"/>
                    <w:jc w:val="center"/>
                    <w:rPr>
                      <w:spacing w:val="-2"/>
                    </w:rPr>
                  </w:pPr>
                  <w:r>
                    <w:rPr>
                      <w:spacing w:val="-2"/>
                    </w:rPr>
                    <w:t>Q＜200且W＜6000</w:t>
                  </w:r>
                </w:p>
              </w:tc>
            </w:tr>
            <w:tr w14:paraId="69EE876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509" w:type="dxa"/>
                  <w:tcBorders>
                    <w:top w:val="single" w:color="auto" w:sz="6" w:space="0"/>
                    <w:left w:val="single" w:color="auto" w:sz="4" w:space="0"/>
                    <w:bottom w:val="single" w:color="auto" w:sz="6" w:space="0"/>
                    <w:right w:val="single" w:color="auto" w:sz="6" w:space="0"/>
                  </w:tcBorders>
                  <w:vAlign w:val="center"/>
                </w:tcPr>
                <w:p w14:paraId="6B3B3C6F">
                  <w:pPr>
                    <w:snapToGrid w:val="0"/>
                    <w:ind w:firstLine="472"/>
                    <w:jc w:val="center"/>
                    <w:rPr>
                      <w:spacing w:val="-2"/>
                    </w:rPr>
                  </w:pPr>
                  <w:r>
                    <w:rPr>
                      <w:spacing w:val="-2"/>
                    </w:rPr>
                    <w:t>三级B</w:t>
                  </w:r>
                </w:p>
              </w:tc>
              <w:tc>
                <w:tcPr>
                  <w:tcW w:w="3080" w:type="dxa"/>
                  <w:tcBorders>
                    <w:top w:val="single" w:color="auto" w:sz="6" w:space="0"/>
                    <w:left w:val="single" w:color="auto" w:sz="6" w:space="0"/>
                    <w:bottom w:val="single" w:color="auto" w:sz="6" w:space="0"/>
                    <w:right w:val="single" w:color="auto" w:sz="6" w:space="0"/>
                  </w:tcBorders>
                  <w:vAlign w:val="center"/>
                </w:tcPr>
                <w:p w14:paraId="5A8A4DDB">
                  <w:pPr>
                    <w:snapToGrid w:val="0"/>
                    <w:ind w:firstLine="472"/>
                    <w:jc w:val="center"/>
                    <w:rPr>
                      <w:spacing w:val="-2"/>
                    </w:rPr>
                  </w:pPr>
                  <w:r>
                    <w:rPr>
                      <w:spacing w:val="-2"/>
                    </w:rPr>
                    <w:t>间接排放</w:t>
                  </w:r>
                </w:p>
              </w:tc>
              <w:tc>
                <w:tcPr>
                  <w:tcW w:w="3444" w:type="dxa"/>
                  <w:tcBorders>
                    <w:top w:val="single" w:color="auto" w:sz="6" w:space="0"/>
                    <w:left w:val="single" w:color="auto" w:sz="6" w:space="0"/>
                    <w:bottom w:val="single" w:color="auto" w:sz="6" w:space="0"/>
                    <w:right w:val="single" w:color="auto" w:sz="4" w:space="0"/>
                  </w:tcBorders>
                  <w:vAlign w:val="center"/>
                </w:tcPr>
                <w:p w14:paraId="06D9BB2E">
                  <w:pPr>
                    <w:snapToGrid w:val="0"/>
                    <w:ind w:firstLine="472"/>
                    <w:jc w:val="center"/>
                    <w:rPr>
                      <w:spacing w:val="-2"/>
                    </w:rPr>
                  </w:pPr>
                  <w:r>
                    <w:rPr>
                      <w:spacing w:val="-2"/>
                    </w:rPr>
                    <w:t>—</w:t>
                  </w:r>
                </w:p>
              </w:tc>
            </w:tr>
            <w:tr w14:paraId="46AF016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033" w:type="dxa"/>
                  <w:gridSpan w:val="3"/>
                  <w:tcBorders>
                    <w:top w:val="single" w:color="auto" w:sz="6" w:space="0"/>
                    <w:left w:val="single" w:color="auto" w:sz="4" w:space="0"/>
                    <w:bottom w:val="single" w:color="auto" w:sz="4" w:space="0"/>
                    <w:right w:val="single" w:color="auto" w:sz="4" w:space="0"/>
                  </w:tcBorders>
                  <w:vAlign w:val="center"/>
                </w:tcPr>
                <w:p w14:paraId="7ECDADB8">
                  <w:pPr>
                    <w:snapToGrid w:val="0"/>
                    <w:jc w:val="left"/>
                    <w:rPr>
                      <w:sz w:val="18"/>
                      <w:szCs w:val="18"/>
                    </w:rPr>
                  </w:pPr>
                  <w:r>
                    <w:rPr>
                      <w:sz w:val="18"/>
                      <w:szCs w:val="18"/>
                    </w:rPr>
                    <w:t>注1：水污染物当量数等于该污染物的年排放量除以该污染物的污染当量值，计算排放污染物的污染物当量数，应区分第一类水污染物和其他类水污染物，统计第一类污染物当量数总和，然后与其他类污染物按照污染物当量从大到小排序，取最大当量数作为建设项目评价等级确定的依据。</w:t>
                  </w:r>
                </w:p>
                <w:p w14:paraId="338E5F3C">
                  <w:pPr>
                    <w:pStyle w:val="137"/>
                    <w:spacing w:line="240" w:lineRule="auto"/>
                    <w:ind w:firstLine="0" w:firstLineChars="0"/>
                    <w:rPr>
                      <w:spacing w:val="-2"/>
                      <w:sz w:val="18"/>
                      <w:szCs w:val="18"/>
                    </w:rPr>
                  </w:pPr>
                  <w:r>
                    <w:rPr>
                      <w:spacing w:val="-2"/>
                      <w:sz w:val="18"/>
                      <w:szCs w:val="18"/>
                    </w:rPr>
                    <w:t>注2：废水排放量按行业排放标准中规定的废水种类统计，没有相关行业排放标准要求的通过工程分析合理确定，应统计含热量大的冷却水的排放量，可不统计间歇冷却水，循环水以及其他含污染物极少的清净下水的排放量。</w:t>
                  </w:r>
                </w:p>
                <w:p w14:paraId="77E85025">
                  <w:pPr>
                    <w:pStyle w:val="137"/>
                    <w:spacing w:line="240" w:lineRule="auto"/>
                    <w:ind w:firstLine="0" w:firstLineChars="0"/>
                    <w:rPr>
                      <w:spacing w:val="-2"/>
                      <w:sz w:val="18"/>
                      <w:szCs w:val="18"/>
                    </w:rPr>
                  </w:pPr>
                  <w:r>
                    <w:rPr>
                      <w:spacing w:val="-2"/>
                      <w:sz w:val="18"/>
                      <w:szCs w:val="18"/>
                    </w:rPr>
                    <w:t>注3：厂区存在堆积物（露天堆放的原料，燃料、废渣等以及垃圾堆放场）、降尘污染的，应将初期雨水纳入废水排放量，相应的主要污染物纳入水污染当量计算。</w:t>
                  </w:r>
                </w:p>
                <w:p w14:paraId="265782FF">
                  <w:pPr>
                    <w:pStyle w:val="137"/>
                    <w:spacing w:line="240" w:lineRule="auto"/>
                    <w:ind w:firstLine="0" w:firstLineChars="0"/>
                    <w:rPr>
                      <w:spacing w:val="-2"/>
                      <w:sz w:val="18"/>
                      <w:szCs w:val="18"/>
                    </w:rPr>
                  </w:pPr>
                  <w:r>
                    <w:rPr>
                      <w:spacing w:val="-2"/>
                      <w:sz w:val="18"/>
                      <w:szCs w:val="18"/>
                    </w:rPr>
                    <w:t>注4：建设项目直接排放第一类污染物的，其评价等级为一级；建设项目直接排放的污染物为受纳水体超标因子的，评价等级不低于二级。</w:t>
                  </w:r>
                </w:p>
                <w:p w14:paraId="06492551">
                  <w:pPr>
                    <w:pStyle w:val="137"/>
                    <w:spacing w:line="240" w:lineRule="auto"/>
                    <w:ind w:firstLine="0" w:firstLineChars="0"/>
                    <w:rPr>
                      <w:spacing w:val="-2"/>
                      <w:sz w:val="18"/>
                      <w:szCs w:val="18"/>
                    </w:rPr>
                  </w:pPr>
                  <w:r>
                    <w:rPr>
                      <w:spacing w:val="-2"/>
                      <w:sz w:val="18"/>
                      <w:szCs w:val="18"/>
                    </w:rPr>
                    <w:t>注5：直接排放受纳水体影响范围涉及饮用水水源保护区、饮用水取水口、重点保护与珍惜水生生物的栖息地、重要水生生物的自然产卵场等保护目标时，评价等级不低于二级。</w:t>
                  </w:r>
                </w:p>
                <w:p w14:paraId="3F293C23">
                  <w:pPr>
                    <w:pStyle w:val="137"/>
                    <w:spacing w:line="240" w:lineRule="auto"/>
                    <w:ind w:firstLine="0" w:firstLineChars="0"/>
                    <w:rPr>
                      <w:spacing w:val="-2"/>
                      <w:sz w:val="18"/>
                      <w:szCs w:val="18"/>
                    </w:rPr>
                  </w:pPr>
                  <w:r>
                    <w:rPr>
                      <w:spacing w:val="-2"/>
                      <w:sz w:val="18"/>
                      <w:szCs w:val="18"/>
                    </w:rPr>
                    <w:t>注6：建设项目向河流、湖库排放温排水引起收纳水体水文变化超过水环境质量标准要求，且评价范围有水温敏感目标时，评价等级为一级。</w:t>
                  </w:r>
                </w:p>
                <w:p w14:paraId="2BF4EEE5">
                  <w:pPr>
                    <w:pStyle w:val="137"/>
                    <w:spacing w:line="240" w:lineRule="auto"/>
                    <w:ind w:firstLine="0" w:firstLineChars="0"/>
                    <w:rPr>
                      <w:spacing w:val="-2"/>
                      <w:sz w:val="18"/>
                      <w:szCs w:val="18"/>
                    </w:rPr>
                  </w:pPr>
                  <w:r>
                    <w:rPr>
                      <w:spacing w:val="-2"/>
                      <w:sz w:val="18"/>
                      <w:szCs w:val="18"/>
                    </w:rPr>
                    <w:t>注7：建设项目利用海水未做调节温度介质，排水≥500万m</w:t>
                  </w:r>
                  <w:r>
                    <w:rPr>
                      <w:spacing w:val="-2"/>
                      <w:sz w:val="18"/>
                      <w:szCs w:val="18"/>
                      <w:vertAlign w:val="superscript"/>
                    </w:rPr>
                    <w:t>3</w:t>
                  </w:r>
                  <w:r>
                    <w:rPr>
                      <w:spacing w:val="-2"/>
                      <w:sz w:val="18"/>
                      <w:szCs w:val="18"/>
                    </w:rPr>
                    <w:t>/d，评价等级为一级排水量﹤500万m</w:t>
                  </w:r>
                  <w:r>
                    <w:rPr>
                      <w:spacing w:val="-2"/>
                      <w:sz w:val="18"/>
                      <w:szCs w:val="18"/>
                      <w:vertAlign w:val="superscript"/>
                    </w:rPr>
                    <w:t>3</w:t>
                  </w:r>
                  <w:r>
                    <w:rPr>
                      <w:spacing w:val="-2"/>
                      <w:sz w:val="18"/>
                      <w:szCs w:val="18"/>
                    </w:rPr>
                    <w:t>/d，评价等级为二级。</w:t>
                  </w:r>
                </w:p>
                <w:p w14:paraId="6E7D9B69">
                  <w:pPr>
                    <w:pStyle w:val="137"/>
                    <w:spacing w:line="240" w:lineRule="auto"/>
                    <w:ind w:firstLine="0" w:firstLineChars="0"/>
                    <w:rPr>
                      <w:spacing w:val="-2"/>
                      <w:sz w:val="18"/>
                      <w:szCs w:val="18"/>
                    </w:rPr>
                  </w:pPr>
                  <w:r>
                    <w:rPr>
                      <w:spacing w:val="-2"/>
                      <w:sz w:val="18"/>
                      <w:szCs w:val="18"/>
                    </w:rPr>
                    <w:t>注8：仅涉及清净下水排放的，如其排水水质满足收纳水体水环境质量要求的，评价等级为三级A。</w:t>
                  </w:r>
                </w:p>
                <w:p w14:paraId="63BFEB47">
                  <w:pPr>
                    <w:pStyle w:val="137"/>
                    <w:spacing w:line="240" w:lineRule="auto"/>
                    <w:ind w:firstLine="0" w:firstLineChars="0"/>
                    <w:rPr>
                      <w:spacing w:val="-2"/>
                      <w:sz w:val="18"/>
                      <w:szCs w:val="18"/>
                    </w:rPr>
                  </w:pPr>
                  <w:r>
                    <w:rPr>
                      <w:spacing w:val="-2"/>
                      <w:sz w:val="18"/>
                      <w:szCs w:val="18"/>
                    </w:rPr>
                    <w:t>注9：依托现有排放口，且对外环境未新增污染物的直接排放建设项目，评价等级参照间接排放，定位三级B。</w:t>
                  </w:r>
                </w:p>
                <w:p w14:paraId="54B1DE6E">
                  <w:pPr>
                    <w:pStyle w:val="137"/>
                    <w:spacing w:line="240" w:lineRule="auto"/>
                    <w:ind w:firstLine="0" w:firstLineChars="0"/>
                    <w:rPr>
                      <w:spacing w:val="-2"/>
                      <w:sz w:val="21"/>
                      <w:szCs w:val="21"/>
                    </w:rPr>
                  </w:pPr>
                  <w:r>
                    <w:rPr>
                      <w:spacing w:val="-2"/>
                      <w:sz w:val="18"/>
                      <w:szCs w:val="18"/>
                    </w:rPr>
                    <w:t>注10：建设项目生产工艺中有废水产生，但作为回水利用，不排放到外环境的，按三级B评价。</w:t>
                  </w:r>
                </w:p>
              </w:tc>
            </w:tr>
          </w:tbl>
          <w:p w14:paraId="42D64F72">
            <w:pPr>
              <w:tabs>
                <w:tab w:val="left" w:pos="5670"/>
              </w:tabs>
              <w:spacing w:line="480" w:lineRule="exact"/>
              <w:ind w:firstLine="480" w:firstLineChars="200"/>
              <w:rPr>
                <w:sz w:val="24"/>
              </w:rPr>
            </w:pPr>
            <w:r>
              <w:rPr>
                <w:rFonts w:hint="eastAsia"/>
                <w:sz w:val="24"/>
              </w:rPr>
              <w:t>根据注示10“建设项目生产工艺中有废水产生，但作为回水利用，不排放到外环境的，按三级B评价。”，因此，本项目地表水环境影响评价等级为三级B。</w:t>
            </w:r>
          </w:p>
          <w:p w14:paraId="32B29FA2">
            <w:pPr>
              <w:tabs>
                <w:tab w:val="left" w:pos="5670"/>
              </w:tabs>
              <w:spacing w:line="480" w:lineRule="exact"/>
              <w:ind w:firstLine="480" w:firstLineChars="200"/>
              <w:rPr>
                <w:sz w:val="24"/>
              </w:rPr>
            </w:pPr>
            <w:r>
              <w:rPr>
                <w:rFonts w:hint="eastAsia"/>
                <w:sz w:val="24"/>
              </w:rPr>
              <w:t>②评价时期</w:t>
            </w:r>
          </w:p>
          <w:p w14:paraId="09A2CDD1">
            <w:pPr>
              <w:tabs>
                <w:tab w:val="left" w:pos="5670"/>
              </w:tabs>
              <w:spacing w:line="480" w:lineRule="exact"/>
              <w:ind w:firstLine="480" w:firstLineChars="200"/>
              <w:rPr>
                <w:sz w:val="24"/>
              </w:rPr>
            </w:pPr>
            <w:r>
              <w:rPr>
                <w:rFonts w:hint="eastAsia"/>
                <w:sz w:val="24"/>
              </w:rPr>
              <w:t>根据《环境影响评价技术导则地表水环境》（HJ 2.3-2018），三级B评价可不考虑评价时期。</w:t>
            </w:r>
          </w:p>
          <w:p w14:paraId="45BE74BC">
            <w:pPr>
              <w:tabs>
                <w:tab w:val="left" w:pos="5670"/>
              </w:tabs>
              <w:spacing w:line="480" w:lineRule="exact"/>
              <w:ind w:firstLine="480" w:firstLineChars="200"/>
              <w:rPr>
                <w:sz w:val="24"/>
              </w:rPr>
            </w:pPr>
            <w:r>
              <w:rPr>
                <w:rFonts w:hint="eastAsia"/>
                <w:sz w:val="24"/>
              </w:rPr>
              <w:t>③评价范围</w:t>
            </w:r>
          </w:p>
          <w:p w14:paraId="369137C6">
            <w:pPr>
              <w:tabs>
                <w:tab w:val="left" w:pos="5670"/>
              </w:tabs>
              <w:spacing w:line="480" w:lineRule="exact"/>
              <w:ind w:firstLine="480" w:firstLineChars="200"/>
              <w:rPr>
                <w:sz w:val="24"/>
              </w:rPr>
            </w:pPr>
            <w:r>
              <w:rPr>
                <w:rFonts w:hint="eastAsia"/>
                <w:sz w:val="24"/>
              </w:rPr>
              <w:t>根据《环境影响评价技术导则地表水环境》（HJ 2.3-2018）5.3.2.2，三级B其评价范围应符合以下要求：a）应满足其依托污水处理设施环境可行性分析的要求；b）涉及地表水环境风险的，应覆盖环境风险影响范围所及的水环境保护目标水域。</w:t>
            </w:r>
          </w:p>
          <w:p w14:paraId="7C157AD9">
            <w:pPr>
              <w:tabs>
                <w:tab w:val="left" w:pos="5670"/>
              </w:tabs>
              <w:spacing w:line="480" w:lineRule="exact"/>
              <w:ind w:firstLine="480" w:firstLineChars="200"/>
              <w:rPr>
                <w:sz w:val="24"/>
              </w:rPr>
            </w:pPr>
            <w:r>
              <w:rPr>
                <w:sz w:val="24"/>
              </w:rPr>
              <w:fldChar w:fldCharType="begin"/>
            </w:r>
            <w:r>
              <w:rPr>
                <w:sz w:val="24"/>
              </w:rPr>
              <w:instrText xml:space="preserve"> </w:instrText>
            </w:r>
            <w:r>
              <w:rPr>
                <w:rFonts w:hint="eastAsia"/>
                <w:sz w:val="24"/>
              </w:rPr>
              <w:instrText xml:space="preserve">= 4 \* GB3</w:instrText>
            </w:r>
            <w:r>
              <w:rPr>
                <w:sz w:val="24"/>
              </w:rPr>
              <w:instrText xml:space="preserve"> </w:instrText>
            </w:r>
            <w:r>
              <w:rPr>
                <w:sz w:val="24"/>
              </w:rPr>
              <w:fldChar w:fldCharType="separate"/>
            </w:r>
            <w:r>
              <w:rPr>
                <w:rFonts w:hint="eastAsia"/>
                <w:sz w:val="24"/>
              </w:rPr>
              <w:t>④</w:t>
            </w:r>
            <w:r>
              <w:rPr>
                <w:sz w:val="24"/>
              </w:rPr>
              <w:fldChar w:fldCharType="end"/>
            </w:r>
            <w:r>
              <w:rPr>
                <w:rFonts w:hint="eastAsia"/>
                <w:bCs/>
                <w:sz w:val="24"/>
              </w:rPr>
              <w:t>回用可行性分析</w:t>
            </w:r>
          </w:p>
          <w:p w14:paraId="5F16C174">
            <w:pPr>
              <w:tabs>
                <w:tab w:val="left" w:pos="5670"/>
              </w:tabs>
              <w:spacing w:line="480" w:lineRule="exact"/>
              <w:ind w:firstLine="480" w:firstLineChars="200"/>
              <w:rPr>
                <w:bCs/>
                <w:sz w:val="24"/>
              </w:rPr>
            </w:pPr>
            <w:r>
              <w:rPr>
                <w:rFonts w:hint="eastAsia"/>
                <w:bCs/>
                <w:sz w:val="24"/>
              </w:rPr>
              <w:t>根据建设单位提供信息，项目周边耕地约</w:t>
            </w:r>
            <w:r>
              <w:rPr>
                <w:bCs/>
                <w:sz w:val="24"/>
              </w:rPr>
              <w:t>1200</w:t>
            </w:r>
            <w:r>
              <w:rPr>
                <w:rFonts w:hint="eastAsia"/>
                <w:bCs/>
                <w:sz w:val="24"/>
              </w:rPr>
              <w:t>平方米（约</w:t>
            </w:r>
            <w:r>
              <w:rPr>
                <w:bCs/>
                <w:sz w:val="24"/>
              </w:rPr>
              <w:t>2</w:t>
            </w:r>
            <w:r>
              <w:rPr>
                <w:rFonts w:hint="eastAsia"/>
                <w:bCs/>
                <w:sz w:val="24"/>
              </w:rPr>
              <w:t>亩），按《四川省地方标准用水定额》（DB51/T 2138-2016），项目位于彭山区属于</w:t>
            </w:r>
            <w:r>
              <w:rPr>
                <w:bCs/>
                <w:sz w:val="24"/>
              </w:rPr>
              <w:fldChar w:fldCharType="begin"/>
            </w:r>
            <w:r>
              <w:rPr>
                <w:bCs/>
                <w:sz w:val="24"/>
              </w:rPr>
              <w:instrText xml:space="preserve"> </w:instrText>
            </w:r>
            <w:r>
              <w:rPr>
                <w:rFonts w:hint="eastAsia"/>
                <w:bCs/>
                <w:sz w:val="24"/>
              </w:rPr>
              <w:instrText xml:space="preserve">= 1 \* ROMAN</w:instrText>
            </w:r>
            <w:r>
              <w:rPr>
                <w:bCs/>
                <w:sz w:val="24"/>
              </w:rPr>
              <w:instrText xml:space="preserve"> </w:instrText>
            </w:r>
            <w:r>
              <w:rPr>
                <w:bCs/>
                <w:sz w:val="24"/>
              </w:rPr>
              <w:fldChar w:fldCharType="separate"/>
            </w:r>
            <w:r>
              <w:rPr>
                <w:bCs/>
                <w:sz w:val="24"/>
              </w:rPr>
              <w:t>I</w:t>
            </w:r>
            <w:r>
              <w:rPr>
                <w:bCs/>
                <w:sz w:val="24"/>
              </w:rPr>
              <w:fldChar w:fldCharType="end"/>
            </w:r>
            <w:r>
              <w:rPr>
                <w:rFonts w:hint="eastAsia"/>
                <w:bCs/>
                <w:sz w:val="24"/>
              </w:rPr>
              <w:t>类盆西平原区，50%的灌溉保证率露地蔬菜用水定额85m</w:t>
            </w:r>
            <w:r>
              <w:rPr>
                <w:rFonts w:hint="eastAsia"/>
                <w:bCs/>
                <w:sz w:val="24"/>
                <w:vertAlign w:val="superscript"/>
              </w:rPr>
              <w:t>3</w:t>
            </w:r>
            <w:r>
              <w:rPr>
                <w:rFonts w:hint="eastAsia"/>
                <w:bCs/>
                <w:sz w:val="24"/>
              </w:rPr>
              <w:t>/亩，经计算可知：项目种植示范区50%的灌溉保证率需用水</w:t>
            </w:r>
            <w:r>
              <w:rPr>
                <w:bCs/>
                <w:sz w:val="24"/>
              </w:rPr>
              <w:t>170</w:t>
            </w:r>
            <w:r>
              <w:rPr>
                <w:rFonts w:hint="eastAsia"/>
                <w:bCs/>
                <w:sz w:val="24"/>
              </w:rPr>
              <w:t>m</w:t>
            </w:r>
            <w:r>
              <w:rPr>
                <w:rFonts w:hint="eastAsia"/>
                <w:bCs/>
                <w:sz w:val="24"/>
                <w:vertAlign w:val="superscript"/>
              </w:rPr>
              <w:t>3</w:t>
            </w:r>
            <w:r>
              <w:rPr>
                <w:rFonts w:hint="eastAsia"/>
                <w:bCs/>
                <w:sz w:val="24"/>
              </w:rPr>
              <w:t>，项目废水产生量为</w:t>
            </w:r>
            <w:r>
              <w:rPr>
                <w:bCs/>
                <w:sz w:val="24"/>
              </w:rPr>
              <w:t>115.2</w:t>
            </w:r>
            <w:r>
              <w:rPr>
                <w:rFonts w:hint="eastAsia"/>
                <w:bCs/>
                <w:sz w:val="24"/>
              </w:rPr>
              <w:t>m</w:t>
            </w:r>
            <w:r>
              <w:rPr>
                <w:rFonts w:hint="eastAsia"/>
                <w:bCs/>
                <w:sz w:val="24"/>
                <w:vertAlign w:val="superscript"/>
              </w:rPr>
              <w:t>3</w:t>
            </w:r>
            <w:r>
              <w:rPr>
                <w:rFonts w:hint="eastAsia"/>
                <w:bCs/>
                <w:sz w:val="24"/>
              </w:rPr>
              <w:t>/a，小于种植示范区需求水量，故回种植示范区用可行。</w:t>
            </w:r>
          </w:p>
          <w:p w14:paraId="07086B44">
            <w:pPr>
              <w:tabs>
                <w:tab w:val="left" w:pos="5670"/>
              </w:tabs>
              <w:spacing w:line="480" w:lineRule="exact"/>
              <w:ind w:firstLine="480" w:firstLineChars="200"/>
              <w:rPr>
                <w:sz w:val="24"/>
              </w:rPr>
            </w:pPr>
            <w:r>
              <w:rPr>
                <w:sz w:val="24"/>
              </w:rPr>
              <w:fldChar w:fldCharType="begin"/>
            </w:r>
            <w:r>
              <w:rPr>
                <w:sz w:val="24"/>
              </w:rPr>
              <w:instrText xml:space="preserve"> </w:instrText>
            </w:r>
            <w:r>
              <w:rPr>
                <w:rFonts w:hint="eastAsia"/>
                <w:sz w:val="24"/>
              </w:rPr>
              <w:instrText xml:space="preserve">= 5 \* GB3</w:instrText>
            </w:r>
            <w:r>
              <w:rPr>
                <w:sz w:val="24"/>
              </w:rPr>
              <w:instrText xml:space="preserve"> </w:instrText>
            </w:r>
            <w:r>
              <w:rPr>
                <w:sz w:val="24"/>
              </w:rPr>
              <w:fldChar w:fldCharType="separate"/>
            </w:r>
            <w:r>
              <w:rPr>
                <w:rFonts w:hint="eastAsia"/>
                <w:sz w:val="24"/>
              </w:rPr>
              <w:t>⑤</w:t>
            </w:r>
            <w:r>
              <w:rPr>
                <w:sz w:val="24"/>
              </w:rPr>
              <w:fldChar w:fldCharType="end"/>
            </w:r>
            <w:r>
              <w:rPr>
                <w:rFonts w:hint="eastAsia"/>
                <w:sz w:val="24"/>
              </w:rPr>
              <w:t>项目废水污染物排放信息</w:t>
            </w:r>
          </w:p>
          <w:p w14:paraId="6907C74C">
            <w:pPr>
              <w:tabs>
                <w:tab w:val="left" w:pos="5670"/>
              </w:tabs>
              <w:spacing w:line="480" w:lineRule="exact"/>
              <w:ind w:firstLine="480" w:firstLineChars="200"/>
              <w:rPr>
                <w:sz w:val="24"/>
              </w:rPr>
            </w:pPr>
            <w:r>
              <w:rPr>
                <w:rFonts w:hint="eastAsia"/>
                <w:sz w:val="24"/>
              </w:rPr>
              <w:t>项目不设排放口，废水污染物排放信息详见下表7-</w:t>
            </w:r>
            <w:r>
              <w:rPr>
                <w:sz w:val="24"/>
              </w:rPr>
              <w:t>13</w:t>
            </w:r>
            <w:r>
              <w:rPr>
                <w:rFonts w:hint="eastAsia"/>
                <w:sz w:val="24"/>
              </w:rPr>
              <w:t>：</w:t>
            </w:r>
          </w:p>
          <w:p w14:paraId="6A75A645">
            <w:pPr>
              <w:spacing w:line="360" w:lineRule="auto"/>
              <w:jc w:val="center"/>
              <w:rPr>
                <w:rFonts w:eastAsia="黑体"/>
                <w:bCs/>
                <w:sz w:val="24"/>
              </w:rPr>
            </w:pPr>
            <w:r>
              <w:rPr>
                <w:rFonts w:eastAsia="黑体"/>
                <w:bCs/>
                <w:sz w:val="24"/>
              </w:rPr>
              <w:t xml:space="preserve">表7-13  </w:t>
            </w:r>
            <w:r>
              <w:rPr>
                <w:rFonts w:hint="eastAsia" w:eastAsia="黑体"/>
                <w:bCs/>
                <w:sz w:val="24"/>
              </w:rPr>
              <w:t>项目废水类别、污染物及污染治理设施信息表</w:t>
            </w:r>
          </w:p>
          <w:tbl>
            <w:tblPr>
              <w:tblStyle w:val="25"/>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123"/>
              <w:gridCol w:w="2124"/>
              <w:gridCol w:w="5271"/>
            </w:tblGrid>
            <w:tr w14:paraId="38806E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1906" w:type="pct"/>
                  <w:gridSpan w:val="2"/>
                  <w:vAlign w:val="center"/>
                </w:tcPr>
                <w:p w14:paraId="3E7881FA">
                  <w:pPr>
                    <w:jc w:val="center"/>
                    <w:rPr>
                      <w:rFonts w:hAnsi="宋体"/>
                      <w:szCs w:val="21"/>
                    </w:rPr>
                  </w:pPr>
                  <w:r>
                    <w:rPr>
                      <w:rFonts w:hint="eastAsia" w:hAnsi="宋体"/>
                      <w:szCs w:val="21"/>
                    </w:rPr>
                    <w:t>序号</w:t>
                  </w:r>
                </w:p>
              </w:tc>
              <w:tc>
                <w:tcPr>
                  <w:tcW w:w="3094" w:type="pct"/>
                  <w:vAlign w:val="center"/>
                </w:tcPr>
                <w:p w14:paraId="301F36A7">
                  <w:pPr>
                    <w:jc w:val="center"/>
                    <w:rPr>
                      <w:rFonts w:hAnsi="宋体"/>
                      <w:szCs w:val="21"/>
                    </w:rPr>
                  </w:pPr>
                  <w:r>
                    <w:rPr>
                      <w:rFonts w:hint="eastAsia" w:hAnsi="宋体"/>
                      <w:szCs w:val="21"/>
                    </w:rPr>
                    <w:t>1</w:t>
                  </w:r>
                </w:p>
              </w:tc>
            </w:tr>
            <w:tr w14:paraId="722C88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1906" w:type="pct"/>
                  <w:gridSpan w:val="2"/>
                  <w:vAlign w:val="center"/>
                </w:tcPr>
                <w:p w14:paraId="321DCE72">
                  <w:pPr>
                    <w:jc w:val="center"/>
                    <w:rPr>
                      <w:rFonts w:hAnsi="宋体"/>
                      <w:szCs w:val="21"/>
                    </w:rPr>
                  </w:pPr>
                  <w:r>
                    <w:rPr>
                      <w:rFonts w:hint="eastAsia" w:hAnsi="宋体"/>
                      <w:szCs w:val="21"/>
                    </w:rPr>
                    <w:t>废水类别</w:t>
                  </w:r>
                </w:p>
              </w:tc>
              <w:tc>
                <w:tcPr>
                  <w:tcW w:w="3094" w:type="pct"/>
                  <w:vAlign w:val="center"/>
                </w:tcPr>
                <w:p w14:paraId="3C85C03C">
                  <w:pPr>
                    <w:jc w:val="center"/>
                    <w:rPr>
                      <w:rFonts w:hAnsi="宋体"/>
                      <w:szCs w:val="21"/>
                    </w:rPr>
                  </w:pPr>
                  <w:r>
                    <w:rPr>
                      <w:rFonts w:hint="eastAsia" w:hAnsi="宋体"/>
                      <w:szCs w:val="21"/>
                    </w:rPr>
                    <w:t>生活污水</w:t>
                  </w:r>
                </w:p>
              </w:tc>
            </w:tr>
            <w:tr w14:paraId="0074E1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1906" w:type="pct"/>
                  <w:gridSpan w:val="2"/>
                  <w:vAlign w:val="center"/>
                </w:tcPr>
                <w:p w14:paraId="318EB33C">
                  <w:pPr>
                    <w:jc w:val="center"/>
                    <w:rPr>
                      <w:rFonts w:hAnsi="宋体"/>
                      <w:szCs w:val="21"/>
                    </w:rPr>
                  </w:pPr>
                  <w:r>
                    <w:rPr>
                      <w:rFonts w:hint="eastAsia" w:hAnsi="宋体"/>
                      <w:szCs w:val="21"/>
                    </w:rPr>
                    <w:t>污染物种类</w:t>
                  </w:r>
                </w:p>
              </w:tc>
              <w:tc>
                <w:tcPr>
                  <w:tcW w:w="3094" w:type="pct"/>
                  <w:vAlign w:val="center"/>
                </w:tcPr>
                <w:p w14:paraId="4A7EE06F">
                  <w:pPr>
                    <w:jc w:val="center"/>
                    <w:rPr>
                      <w:rFonts w:hAnsi="宋体"/>
                      <w:szCs w:val="21"/>
                    </w:rPr>
                  </w:pPr>
                  <w:r>
                    <w:rPr>
                      <w:rFonts w:hAnsi="宋体"/>
                      <w:szCs w:val="21"/>
                    </w:rPr>
                    <w:t>COD</w:t>
                  </w:r>
                  <w:r>
                    <w:rPr>
                      <w:rFonts w:hint="eastAsia" w:hAnsi="宋体"/>
                      <w:szCs w:val="21"/>
                    </w:rPr>
                    <w:t>、</w:t>
                  </w:r>
                  <w:r>
                    <w:rPr>
                      <w:rFonts w:hAnsi="宋体"/>
                      <w:szCs w:val="21"/>
                    </w:rPr>
                    <w:t>NH</w:t>
                  </w:r>
                  <w:r>
                    <w:rPr>
                      <w:rFonts w:hAnsi="宋体"/>
                      <w:szCs w:val="21"/>
                      <w:vertAlign w:val="subscript"/>
                    </w:rPr>
                    <w:t>3</w:t>
                  </w:r>
                  <w:r>
                    <w:rPr>
                      <w:rFonts w:hAnsi="宋体"/>
                      <w:szCs w:val="21"/>
                    </w:rPr>
                    <w:t>-N</w:t>
                  </w:r>
                  <w:r>
                    <w:rPr>
                      <w:rFonts w:hint="eastAsia" w:hAnsi="宋体"/>
                      <w:szCs w:val="21"/>
                    </w:rPr>
                    <w:t>、</w:t>
                  </w:r>
                  <w:r>
                    <w:rPr>
                      <w:rFonts w:hAnsi="宋体"/>
                      <w:szCs w:val="21"/>
                    </w:rPr>
                    <w:t>TP</w:t>
                  </w:r>
                  <w:r>
                    <w:rPr>
                      <w:rFonts w:hint="eastAsia" w:hAnsi="宋体"/>
                      <w:szCs w:val="21"/>
                    </w:rPr>
                    <w:t>等</w:t>
                  </w:r>
                </w:p>
              </w:tc>
            </w:tr>
            <w:tr w14:paraId="0A6FE3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1906" w:type="pct"/>
                  <w:gridSpan w:val="2"/>
                  <w:vAlign w:val="center"/>
                </w:tcPr>
                <w:p w14:paraId="1F069F3C">
                  <w:pPr>
                    <w:jc w:val="center"/>
                    <w:rPr>
                      <w:rFonts w:hAnsi="宋体"/>
                      <w:szCs w:val="21"/>
                    </w:rPr>
                  </w:pPr>
                  <w:r>
                    <w:rPr>
                      <w:rFonts w:hint="eastAsia" w:hAnsi="宋体"/>
                      <w:szCs w:val="21"/>
                    </w:rPr>
                    <w:t>排放去向</w:t>
                  </w:r>
                </w:p>
              </w:tc>
              <w:tc>
                <w:tcPr>
                  <w:tcW w:w="3094" w:type="pct"/>
                  <w:vAlign w:val="center"/>
                </w:tcPr>
                <w:p w14:paraId="5C1771A6">
                  <w:pPr>
                    <w:jc w:val="center"/>
                    <w:rPr>
                      <w:rFonts w:hAnsi="宋体"/>
                      <w:szCs w:val="21"/>
                    </w:rPr>
                  </w:pPr>
                  <w:r>
                    <w:rPr>
                      <w:rFonts w:hint="eastAsia" w:hAnsi="宋体"/>
                      <w:szCs w:val="21"/>
                    </w:rPr>
                    <w:t>回用种植区</w:t>
                  </w:r>
                </w:p>
              </w:tc>
            </w:tr>
            <w:tr w14:paraId="046A40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1906" w:type="pct"/>
                  <w:gridSpan w:val="2"/>
                  <w:vAlign w:val="center"/>
                </w:tcPr>
                <w:p w14:paraId="016947DA">
                  <w:pPr>
                    <w:jc w:val="center"/>
                    <w:rPr>
                      <w:rFonts w:hAnsi="宋体"/>
                      <w:szCs w:val="21"/>
                    </w:rPr>
                  </w:pPr>
                  <w:r>
                    <w:rPr>
                      <w:rFonts w:hint="eastAsia" w:hAnsi="宋体"/>
                      <w:szCs w:val="21"/>
                    </w:rPr>
                    <w:t>排放规律</w:t>
                  </w:r>
                </w:p>
              </w:tc>
              <w:tc>
                <w:tcPr>
                  <w:tcW w:w="3094" w:type="pct"/>
                  <w:vAlign w:val="center"/>
                </w:tcPr>
                <w:p w14:paraId="3EF62806">
                  <w:pPr>
                    <w:jc w:val="left"/>
                    <w:rPr>
                      <w:rFonts w:hAnsi="宋体"/>
                      <w:szCs w:val="21"/>
                    </w:rPr>
                  </w:pPr>
                  <w:r>
                    <w:rPr>
                      <w:rFonts w:hint="eastAsia" w:hAnsi="宋体"/>
                      <w:szCs w:val="21"/>
                    </w:rPr>
                    <w:t>间断排放，排放期间流量不稳定，但有周期性规律</w:t>
                  </w:r>
                </w:p>
              </w:tc>
            </w:tr>
            <w:tr w14:paraId="2C97E8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59" w:type="pct"/>
                  <w:vMerge w:val="restart"/>
                  <w:vAlign w:val="center"/>
                </w:tcPr>
                <w:p w14:paraId="7B2632C9">
                  <w:pPr>
                    <w:jc w:val="center"/>
                    <w:rPr>
                      <w:rFonts w:hAnsi="宋体"/>
                      <w:szCs w:val="21"/>
                    </w:rPr>
                  </w:pPr>
                  <w:r>
                    <w:rPr>
                      <w:rFonts w:hint="eastAsia" w:hAnsi="宋体"/>
                      <w:szCs w:val="21"/>
                    </w:rPr>
                    <w:t>污染治理设施</w:t>
                  </w:r>
                </w:p>
              </w:tc>
              <w:tc>
                <w:tcPr>
                  <w:tcW w:w="1247" w:type="pct"/>
                  <w:vAlign w:val="center"/>
                </w:tcPr>
                <w:p w14:paraId="037753B7">
                  <w:pPr>
                    <w:jc w:val="center"/>
                    <w:rPr>
                      <w:rFonts w:hAnsi="宋体"/>
                      <w:szCs w:val="21"/>
                    </w:rPr>
                  </w:pPr>
                  <w:r>
                    <w:rPr>
                      <w:rFonts w:hint="eastAsia" w:hAnsi="宋体"/>
                      <w:szCs w:val="21"/>
                    </w:rPr>
                    <w:t>设施编号</w:t>
                  </w:r>
                </w:p>
              </w:tc>
              <w:tc>
                <w:tcPr>
                  <w:tcW w:w="3094" w:type="pct"/>
                  <w:vAlign w:val="center"/>
                </w:tcPr>
                <w:p w14:paraId="13D34F5A">
                  <w:pPr>
                    <w:jc w:val="center"/>
                    <w:rPr>
                      <w:rFonts w:hAnsi="宋体"/>
                      <w:szCs w:val="21"/>
                    </w:rPr>
                  </w:pPr>
                  <w:r>
                    <w:rPr>
                      <w:rFonts w:hint="eastAsia" w:hAnsi="宋体"/>
                      <w:szCs w:val="21"/>
                    </w:rPr>
                    <w:t>/</w:t>
                  </w:r>
                </w:p>
              </w:tc>
            </w:tr>
            <w:tr w14:paraId="7C53D7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59" w:type="pct"/>
                  <w:vMerge w:val="continue"/>
                  <w:vAlign w:val="center"/>
                </w:tcPr>
                <w:p w14:paraId="5AB377FD">
                  <w:pPr>
                    <w:jc w:val="center"/>
                    <w:rPr>
                      <w:rFonts w:hAnsi="宋体"/>
                      <w:szCs w:val="21"/>
                    </w:rPr>
                  </w:pPr>
                </w:p>
              </w:tc>
              <w:tc>
                <w:tcPr>
                  <w:tcW w:w="1247" w:type="pct"/>
                  <w:vAlign w:val="center"/>
                </w:tcPr>
                <w:p w14:paraId="320F1D19">
                  <w:pPr>
                    <w:jc w:val="center"/>
                    <w:rPr>
                      <w:rFonts w:hAnsi="宋体"/>
                      <w:szCs w:val="21"/>
                    </w:rPr>
                  </w:pPr>
                  <w:r>
                    <w:rPr>
                      <w:rFonts w:hint="eastAsia" w:hAnsi="宋体"/>
                      <w:szCs w:val="21"/>
                    </w:rPr>
                    <w:t>设施名称</w:t>
                  </w:r>
                </w:p>
              </w:tc>
              <w:tc>
                <w:tcPr>
                  <w:tcW w:w="3094" w:type="pct"/>
                  <w:vAlign w:val="center"/>
                </w:tcPr>
                <w:p w14:paraId="08DC090C">
                  <w:pPr>
                    <w:jc w:val="center"/>
                    <w:rPr>
                      <w:rFonts w:hAnsi="宋体"/>
                      <w:szCs w:val="21"/>
                    </w:rPr>
                  </w:pPr>
                  <w:r>
                    <w:rPr>
                      <w:rFonts w:hint="eastAsia" w:hAnsi="宋体"/>
                      <w:szCs w:val="21"/>
                    </w:rPr>
                    <w:t>污水预处理池</w:t>
                  </w:r>
                </w:p>
              </w:tc>
            </w:tr>
            <w:tr w14:paraId="3E2051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59" w:type="pct"/>
                  <w:vMerge w:val="continue"/>
                  <w:vAlign w:val="center"/>
                </w:tcPr>
                <w:p w14:paraId="37791779">
                  <w:pPr>
                    <w:jc w:val="center"/>
                    <w:rPr>
                      <w:rFonts w:hAnsi="宋体"/>
                      <w:szCs w:val="21"/>
                    </w:rPr>
                  </w:pPr>
                </w:p>
              </w:tc>
              <w:tc>
                <w:tcPr>
                  <w:tcW w:w="1247" w:type="pct"/>
                  <w:vAlign w:val="center"/>
                </w:tcPr>
                <w:p w14:paraId="3B8641F7">
                  <w:pPr>
                    <w:jc w:val="center"/>
                    <w:rPr>
                      <w:rFonts w:hAnsi="宋体"/>
                      <w:szCs w:val="21"/>
                    </w:rPr>
                  </w:pPr>
                  <w:r>
                    <w:rPr>
                      <w:rFonts w:hint="eastAsia" w:hAnsi="宋体"/>
                      <w:szCs w:val="21"/>
                    </w:rPr>
                    <w:t>设施工艺</w:t>
                  </w:r>
                </w:p>
              </w:tc>
              <w:tc>
                <w:tcPr>
                  <w:tcW w:w="3094" w:type="pct"/>
                  <w:vAlign w:val="center"/>
                </w:tcPr>
                <w:p w14:paraId="289D85BC">
                  <w:pPr>
                    <w:jc w:val="center"/>
                    <w:rPr>
                      <w:rFonts w:hAnsi="宋体"/>
                      <w:szCs w:val="21"/>
                    </w:rPr>
                  </w:pPr>
                  <w:r>
                    <w:rPr>
                      <w:rFonts w:hint="eastAsia" w:hAnsi="宋体"/>
                      <w:szCs w:val="21"/>
                    </w:rPr>
                    <w:t>厌氧发酵</w:t>
                  </w:r>
                </w:p>
              </w:tc>
            </w:tr>
            <w:tr w14:paraId="4C1377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1906" w:type="pct"/>
                  <w:gridSpan w:val="2"/>
                  <w:vAlign w:val="center"/>
                </w:tcPr>
                <w:p w14:paraId="78E13536">
                  <w:pPr>
                    <w:jc w:val="center"/>
                    <w:rPr>
                      <w:rFonts w:hAnsi="宋体"/>
                      <w:szCs w:val="21"/>
                    </w:rPr>
                  </w:pPr>
                  <w:r>
                    <w:rPr>
                      <w:rFonts w:hint="eastAsia" w:hAnsi="宋体"/>
                      <w:szCs w:val="21"/>
                    </w:rPr>
                    <w:t>排放口编号</w:t>
                  </w:r>
                </w:p>
              </w:tc>
              <w:tc>
                <w:tcPr>
                  <w:tcW w:w="3094" w:type="pct"/>
                  <w:vAlign w:val="center"/>
                </w:tcPr>
                <w:p w14:paraId="72C35EA9">
                  <w:pPr>
                    <w:jc w:val="center"/>
                    <w:rPr>
                      <w:rFonts w:hAnsi="宋体"/>
                      <w:szCs w:val="21"/>
                    </w:rPr>
                  </w:pPr>
                  <w:r>
                    <w:rPr>
                      <w:rFonts w:hint="eastAsia" w:hAnsi="宋体"/>
                      <w:szCs w:val="21"/>
                    </w:rPr>
                    <w:t>/</w:t>
                  </w:r>
                </w:p>
              </w:tc>
            </w:tr>
            <w:tr w14:paraId="1460A9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1906" w:type="pct"/>
                  <w:gridSpan w:val="2"/>
                  <w:vAlign w:val="center"/>
                </w:tcPr>
                <w:p w14:paraId="21ED772D">
                  <w:pPr>
                    <w:jc w:val="center"/>
                    <w:rPr>
                      <w:rFonts w:hAnsi="宋体"/>
                      <w:szCs w:val="21"/>
                    </w:rPr>
                  </w:pPr>
                  <w:r>
                    <w:rPr>
                      <w:rFonts w:hint="eastAsia" w:hAnsi="宋体"/>
                      <w:szCs w:val="21"/>
                    </w:rPr>
                    <w:t>排放口设置是否符合要求</w:t>
                  </w:r>
                </w:p>
              </w:tc>
              <w:tc>
                <w:tcPr>
                  <w:tcW w:w="3094" w:type="pct"/>
                  <w:vAlign w:val="center"/>
                </w:tcPr>
                <w:p w14:paraId="2E01C148">
                  <w:pPr>
                    <w:adjustRightInd w:val="0"/>
                    <w:snapToGrid w:val="0"/>
                    <w:jc w:val="center"/>
                    <w:rPr>
                      <w:szCs w:val="21"/>
                    </w:rPr>
                  </w:pPr>
                  <w:r>
                    <w:rPr>
                      <w:szCs w:val="21"/>
                    </w:rPr>
                    <w:sym w:font="Wingdings 2" w:char="00A3"/>
                  </w:r>
                  <w:r>
                    <w:rPr>
                      <w:rFonts w:hint="eastAsia"/>
                      <w:szCs w:val="21"/>
                    </w:rPr>
                    <w:t xml:space="preserve">是   </w:t>
                  </w:r>
                  <w:r>
                    <w:rPr>
                      <w:szCs w:val="21"/>
                    </w:rPr>
                    <w:sym w:font="Wingdings 2" w:char="00A3"/>
                  </w:r>
                  <w:r>
                    <w:rPr>
                      <w:rFonts w:hint="eastAsia"/>
                      <w:szCs w:val="21"/>
                    </w:rPr>
                    <w:t>否</w:t>
                  </w:r>
                </w:p>
              </w:tc>
            </w:tr>
            <w:tr w14:paraId="645C4B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1906" w:type="pct"/>
                  <w:gridSpan w:val="2"/>
                  <w:vAlign w:val="center"/>
                </w:tcPr>
                <w:p w14:paraId="5B40F1B1">
                  <w:pPr>
                    <w:jc w:val="center"/>
                    <w:rPr>
                      <w:rFonts w:hAnsi="宋体"/>
                      <w:szCs w:val="21"/>
                    </w:rPr>
                  </w:pPr>
                  <w:r>
                    <w:rPr>
                      <w:rFonts w:hint="eastAsia" w:hAnsi="宋体"/>
                      <w:szCs w:val="21"/>
                    </w:rPr>
                    <w:t>排放口类型</w:t>
                  </w:r>
                </w:p>
              </w:tc>
              <w:tc>
                <w:tcPr>
                  <w:tcW w:w="3094" w:type="pct"/>
                  <w:vAlign w:val="center"/>
                </w:tcPr>
                <w:p w14:paraId="6584FB13">
                  <w:pPr>
                    <w:adjustRightInd w:val="0"/>
                    <w:snapToGrid w:val="0"/>
                    <w:rPr>
                      <w:szCs w:val="21"/>
                    </w:rPr>
                  </w:pPr>
                  <w:r>
                    <w:rPr>
                      <w:szCs w:val="21"/>
                    </w:rPr>
                    <w:sym w:font="Wingdings 2" w:char="00A3"/>
                  </w:r>
                  <w:r>
                    <w:rPr>
                      <w:rFonts w:hint="eastAsia"/>
                      <w:szCs w:val="21"/>
                    </w:rPr>
                    <w:t>企业总排</w:t>
                  </w:r>
                </w:p>
                <w:p w14:paraId="39A0F7B2">
                  <w:pPr>
                    <w:adjustRightInd w:val="0"/>
                    <w:snapToGrid w:val="0"/>
                    <w:rPr>
                      <w:szCs w:val="21"/>
                    </w:rPr>
                  </w:pPr>
                  <w:r>
                    <w:rPr>
                      <w:szCs w:val="21"/>
                    </w:rPr>
                    <w:sym w:font="Wingdings 2" w:char="00A3"/>
                  </w:r>
                  <w:r>
                    <w:rPr>
                      <w:rFonts w:hint="eastAsia"/>
                      <w:szCs w:val="21"/>
                    </w:rPr>
                    <w:t xml:space="preserve">雨水排放 </w:t>
                  </w:r>
                </w:p>
                <w:p w14:paraId="6F4B41CD">
                  <w:pPr>
                    <w:adjustRightInd w:val="0"/>
                    <w:snapToGrid w:val="0"/>
                    <w:rPr>
                      <w:szCs w:val="21"/>
                    </w:rPr>
                  </w:pPr>
                  <w:r>
                    <w:rPr>
                      <w:szCs w:val="21"/>
                    </w:rPr>
                    <w:sym w:font="Wingdings 2" w:char="00A3"/>
                  </w:r>
                  <w:r>
                    <w:rPr>
                      <w:rFonts w:hint="eastAsia"/>
                      <w:szCs w:val="21"/>
                    </w:rPr>
                    <w:t>清净下水排放</w:t>
                  </w:r>
                </w:p>
                <w:p w14:paraId="35284305">
                  <w:pPr>
                    <w:adjustRightInd w:val="0"/>
                    <w:snapToGrid w:val="0"/>
                    <w:rPr>
                      <w:szCs w:val="21"/>
                    </w:rPr>
                  </w:pPr>
                  <w:r>
                    <w:rPr>
                      <w:szCs w:val="21"/>
                    </w:rPr>
                    <w:sym w:font="Wingdings 2" w:char="00A3"/>
                  </w:r>
                  <w:r>
                    <w:rPr>
                      <w:rFonts w:hint="eastAsia"/>
                      <w:szCs w:val="21"/>
                    </w:rPr>
                    <w:t>温排水排放</w:t>
                  </w:r>
                </w:p>
                <w:p w14:paraId="649FDFDF">
                  <w:pPr>
                    <w:adjustRightInd w:val="0"/>
                    <w:snapToGrid w:val="0"/>
                    <w:jc w:val="left"/>
                    <w:rPr>
                      <w:szCs w:val="21"/>
                    </w:rPr>
                  </w:pPr>
                  <w:r>
                    <w:rPr>
                      <w:szCs w:val="21"/>
                    </w:rPr>
                    <w:sym w:font="Wingdings 2" w:char="00A3"/>
                  </w:r>
                  <w:r>
                    <w:rPr>
                      <w:rFonts w:hint="eastAsia"/>
                      <w:szCs w:val="21"/>
                    </w:rPr>
                    <w:t>车间或车间处理设施排放口</w:t>
                  </w:r>
                </w:p>
              </w:tc>
            </w:tr>
          </w:tbl>
          <w:p w14:paraId="43CFE146">
            <w:pPr>
              <w:tabs>
                <w:tab w:val="left" w:pos="5670"/>
              </w:tabs>
              <w:spacing w:line="480" w:lineRule="exact"/>
              <w:ind w:firstLine="480" w:firstLineChars="200"/>
              <w:rPr>
                <w:sz w:val="24"/>
              </w:rPr>
            </w:pPr>
            <w:r>
              <w:rPr>
                <w:rFonts w:hint="eastAsia"/>
                <w:sz w:val="24"/>
              </w:rPr>
              <w:t>综上，本项目生活污水经处理后回用种植，不会对地表水环境质量造成明显影响。</w:t>
            </w:r>
          </w:p>
          <w:p w14:paraId="69B710DE">
            <w:pPr>
              <w:spacing w:line="360" w:lineRule="auto"/>
              <w:ind w:firstLine="480" w:firstLineChars="200"/>
              <w:rPr>
                <w:sz w:val="24"/>
              </w:rPr>
            </w:pPr>
            <w:r>
              <w:rPr>
                <w:rFonts w:hint="eastAsia"/>
                <w:sz w:val="24"/>
              </w:rPr>
              <w:t>综上，项目采取上述措施后，运营期废水对区域水环境影响较小。</w:t>
            </w:r>
          </w:p>
          <w:p w14:paraId="2F0EFC93">
            <w:pPr>
              <w:spacing w:line="360" w:lineRule="auto"/>
              <w:ind w:firstLine="480" w:firstLineChars="200"/>
              <w:rPr>
                <w:b/>
                <w:bCs/>
                <w:sz w:val="24"/>
              </w:rPr>
            </w:pPr>
            <w:r>
              <w:rPr>
                <w:b/>
                <w:bCs/>
                <w:sz w:val="24"/>
              </w:rPr>
              <w:t>3</w:t>
            </w:r>
            <w:r>
              <w:rPr>
                <w:rFonts w:hint="eastAsia"/>
                <w:b/>
                <w:bCs/>
                <w:sz w:val="24"/>
              </w:rPr>
              <w:t>、声境影响分析</w:t>
            </w:r>
          </w:p>
          <w:p w14:paraId="07894A39">
            <w:pPr>
              <w:tabs>
                <w:tab w:val="left" w:pos="5670"/>
              </w:tabs>
              <w:spacing w:line="360" w:lineRule="auto"/>
              <w:ind w:firstLine="480" w:firstLineChars="200"/>
              <w:rPr>
                <w:sz w:val="24"/>
              </w:rPr>
            </w:pPr>
            <w:r>
              <w:rPr>
                <w:rFonts w:hint="eastAsia"/>
                <w:sz w:val="24"/>
              </w:rPr>
              <w:t>根据工程分析，噪声较大的设备有圆盘锯、圆木机、边皮锯、带锯、多片锯、抓木机等，噪声级</w:t>
            </w:r>
            <w:r>
              <w:rPr>
                <w:sz w:val="24"/>
              </w:rPr>
              <w:t>65-80dB</w:t>
            </w:r>
            <w:r>
              <w:rPr>
                <w:sz w:val="24"/>
                <w:szCs w:val="22"/>
              </w:rPr>
              <w:t>(A)</w:t>
            </w:r>
            <w:r>
              <w:rPr>
                <w:rFonts w:hint="eastAsia"/>
                <w:sz w:val="24"/>
                <w:szCs w:val="22"/>
              </w:rPr>
              <w:t>，均位于生产车间内</w:t>
            </w:r>
            <w:r>
              <w:rPr>
                <w:rFonts w:hint="eastAsia"/>
                <w:sz w:val="24"/>
              </w:rPr>
              <w:t>。</w:t>
            </w:r>
          </w:p>
          <w:p w14:paraId="5A05D0F9">
            <w:pPr>
              <w:snapToGrid w:val="0"/>
              <w:spacing w:line="360" w:lineRule="auto"/>
              <w:ind w:firstLine="480" w:firstLineChars="200"/>
              <w:rPr>
                <w:color w:val="FF0000"/>
                <w:sz w:val="24"/>
              </w:rPr>
            </w:pPr>
            <w:r>
              <w:rPr>
                <w:color w:val="FF0000"/>
                <w:sz w:val="24"/>
              </w:rPr>
              <w:t>根据声环境评价导则的规定，</w:t>
            </w:r>
            <w:r>
              <w:rPr>
                <w:rFonts w:hint="eastAsia"/>
                <w:color w:val="FF0000"/>
                <w:sz w:val="24"/>
              </w:rPr>
              <w:t>本项目位于工业区，属于声环境</w:t>
            </w:r>
            <w:r>
              <w:rPr>
                <w:color w:val="FF0000"/>
                <w:sz w:val="24"/>
              </w:rPr>
              <w:t>2</w:t>
            </w:r>
            <w:r>
              <w:rPr>
                <w:rFonts w:hint="eastAsia"/>
                <w:color w:val="FF0000"/>
                <w:sz w:val="24"/>
              </w:rPr>
              <w:t>类区，按二级评价，项目评价范围按2</w:t>
            </w:r>
            <w:r>
              <w:rPr>
                <w:color w:val="FF0000"/>
                <w:sz w:val="24"/>
              </w:rPr>
              <w:t>00</w:t>
            </w:r>
            <w:r>
              <w:rPr>
                <w:rFonts w:hint="eastAsia"/>
                <w:color w:val="FF0000"/>
                <w:sz w:val="24"/>
              </w:rPr>
              <w:t>m范围内调查、评价。</w:t>
            </w:r>
          </w:p>
          <w:p w14:paraId="10D685DF">
            <w:pPr>
              <w:tabs>
                <w:tab w:val="left" w:pos="5670"/>
              </w:tabs>
              <w:spacing w:line="360" w:lineRule="auto"/>
              <w:ind w:firstLine="480" w:firstLineChars="200"/>
              <w:rPr>
                <w:sz w:val="24"/>
                <w:szCs w:val="20"/>
              </w:rPr>
            </w:pPr>
            <w:r>
              <w:rPr>
                <w:sz w:val="24"/>
                <w:szCs w:val="20"/>
              </w:rPr>
              <w:t>根据声环境评价导则的规定，选用预测模式，应用过程中将根据具体情况作必要简化。</w:t>
            </w:r>
          </w:p>
          <w:p w14:paraId="10DA8838">
            <w:pPr>
              <w:spacing w:line="360" w:lineRule="auto"/>
              <w:ind w:firstLine="480"/>
              <w:rPr>
                <w:sz w:val="24"/>
              </w:rPr>
            </w:pPr>
            <w:r>
              <w:rPr>
                <w:sz w:val="24"/>
              </w:rPr>
              <w:t>（1）室外点声源在预测点的倍频带声压级</w:t>
            </w:r>
          </w:p>
          <w:p w14:paraId="2AA87568">
            <w:pPr>
              <w:spacing w:line="360" w:lineRule="auto"/>
              <w:ind w:firstLine="436" w:firstLineChars="182"/>
              <w:rPr>
                <w:sz w:val="24"/>
              </w:rPr>
            </w:pPr>
            <w:r>
              <w:rPr>
                <w:rFonts w:hint="eastAsia" w:ascii="宋体" w:hAnsi="宋体" w:cs="宋体"/>
                <w:sz w:val="24"/>
              </w:rPr>
              <w:t>①</w:t>
            </w:r>
            <w:r>
              <w:rPr>
                <w:sz w:val="24"/>
              </w:rPr>
              <w:t>某个点源在预测点的倍频带声压级</w:t>
            </w:r>
          </w:p>
          <w:p w14:paraId="1BACDEF1">
            <w:pPr>
              <w:spacing w:line="360" w:lineRule="auto"/>
              <w:jc w:val="center"/>
              <w:rPr>
                <w:sz w:val="24"/>
              </w:rPr>
            </w:pPr>
            <w:r>
              <w:rPr>
                <w:position w:val="-12"/>
                <w:sz w:val="24"/>
              </w:rPr>
              <w:object>
                <v:shape id="_x0000_i1028" o:spt="75" type="#_x0000_t75" style="height:21.55pt;width:178.9pt;" o:ole="t" fillcolor="#6D6D6D"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7" r:id="rId14">
                  <o:LockedField>false</o:LockedField>
                </o:OLEObject>
              </w:object>
            </w:r>
          </w:p>
          <w:p w14:paraId="51F173F4">
            <w:pPr>
              <w:spacing w:line="360" w:lineRule="auto"/>
              <w:ind w:firstLine="480"/>
              <w:rPr>
                <w:sz w:val="24"/>
              </w:rPr>
            </w:pPr>
            <w:r>
              <w:rPr>
                <w:sz w:val="24"/>
              </w:rPr>
              <w:t xml:space="preserve">    式中：L</w:t>
            </w:r>
            <w:r>
              <w:rPr>
                <w:sz w:val="24"/>
                <w:vertAlign w:val="subscript"/>
              </w:rPr>
              <w:t>oct</w:t>
            </w:r>
            <w:r>
              <w:rPr>
                <w:sz w:val="24"/>
              </w:rPr>
              <w:t>（r）——点声源在预测点产生的倍频带声压级；</w:t>
            </w:r>
          </w:p>
          <w:p w14:paraId="36FA3E85">
            <w:pPr>
              <w:spacing w:line="360" w:lineRule="auto"/>
              <w:ind w:firstLine="480"/>
              <w:rPr>
                <w:sz w:val="24"/>
              </w:rPr>
            </w:pPr>
            <w:r>
              <w:rPr>
                <w:sz w:val="24"/>
              </w:rPr>
              <w:t xml:space="preserve">          L</w:t>
            </w:r>
            <w:r>
              <w:rPr>
                <w:sz w:val="24"/>
                <w:vertAlign w:val="subscript"/>
              </w:rPr>
              <w:t>oct</w:t>
            </w:r>
            <w:r>
              <w:rPr>
                <w:sz w:val="24"/>
              </w:rPr>
              <w:t>（r</w:t>
            </w:r>
            <w:r>
              <w:rPr>
                <w:sz w:val="24"/>
                <w:vertAlign w:val="subscript"/>
              </w:rPr>
              <w:t>0</w:t>
            </w:r>
            <w:r>
              <w:rPr>
                <w:sz w:val="24"/>
              </w:rPr>
              <w:t>）——参考位置r</w:t>
            </w:r>
            <w:r>
              <w:rPr>
                <w:sz w:val="24"/>
                <w:vertAlign w:val="subscript"/>
              </w:rPr>
              <w:t>0</w:t>
            </w:r>
            <w:r>
              <w:rPr>
                <w:sz w:val="24"/>
              </w:rPr>
              <w:t>处的倍频带声压级；</w:t>
            </w:r>
          </w:p>
          <w:p w14:paraId="393D36DA">
            <w:pPr>
              <w:spacing w:line="360" w:lineRule="auto"/>
              <w:ind w:firstLine="480"/>
              <w:rPr>
                <w:sz w:val="24"/>
              </w:rPr>
            </w:pPr>
            <w:r>
              <w:rPr>
                <w:sz w:val="24"/>
              </w:rPr>
              <w:t xml:space="preserve">          r——预测点距声源的距离，m；</w:t>
            </w:r>
          </w:p>
          <w:p w14:paraId="7C6E2E6C">
            <w:pPr>
              <w:spacing w:line="360" w:lineRule="auto"/>
              <w:ind w:firstLine="480"/>
              <w:rPr>
                <w:sz w:val="24"/>
              </w:rPr>
            </w:pPr>
            <w:r>
              <w:rPr>
                <w:sz w:val="24"/>
              </w:rPr>
              <w:t xml:space="preserve">          r</w:t>
            </w:r>
            <w:r>
              <w:rPr>
                <w:sz w:val="24"/>
                <w:vertAlign w:val="subscript"/>
              </w:rPr>
              <w:t>0</w:t>
            </w:r>
            <w:r>
              <w:rPr>
                <w:sz w:val="24"/>
              </w:rPr>
              <w:t>——参考位置距声源的距离，m；</w:t>
            </w:r>
          </w:p>
          <w:p w14:paraId="29F7CE49">
            <w:pPr>
              <w:spacing w:line="360" w:lineRule="auto"/>
              <w:ind w:left="2638" w:leftChars="228" w:hanging="2160" w:hangingChars="900"/>
              <w:rPr>
                <w:sz w:val="24"/>
              </w:rPr>
            </w:pPr>
            <w:r>
              <w:rPr>
                <w:sz w:val="24"/>
              </w:rPr>
              <w:t xml:space="preserve">         ΔL</w:t>
            </w:r>
            <w:r>
              <w:rPr>
                <w:sz w:val="24"/>
                <w:vertAlign w:val="subscript"/>
              </w:rPr>
              <w:t>oct</w:t>
            </w:r>
            <w:r>
              <w:rPr>
                <w:sz w:val="24"/>
              </w:rPr>
              <w:t>——各种因素引起的衰减量，包括声屏障、空气吸收和地面效应引起的衰减，其计算方式分别为：</w:t>
            </w:r>
          </w:p>
          <w:p w14:paraId="22B19379">
            <w:pPr>
              <w:spacing w:line="360" w:lineRule="auto"/>
              <w:jc w:val="center"/>
              <w:rPr>
                <w:sz w:val="24"/>
              </w:rPr>
            </w:pPr>
            <w:r>
              <w:rPr>
                <w:sz w:val="24"/>
              </w:rPr>
              <w:t>A</w:t>
            </w:r>
            <w:r>
              <w:rPr>
                <w:sz w:val="24"/>
                <w:vertAlign w:val="subscript"/>
              </w:rPr>
              <w:t>oct bar</w:t>
            </w:r>
            <w:r>
              <w:rPr>
                <w:sz w:val="24"/>
              </w:rPr>
              <w:t>=</w:t>
            </w:r>
            <w:r>
              <w:rPr>
                <w:position w:val="-32"/>
                <w:sz w:val="24"/>
              </w:rPr>
              <w:object>
                <v:shape id="_x0000_i1029" o:spt="75" type="#_x0000_t75" style="height:36.35pt;width:202.65pt;" o:ole="t" fillcolor="#6D6D6D"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8" r:id="rId16">
                  <o:LockedField>false</o:LockedField>
                </o:OLEObject>
              </w:object>
            </w:r>
          </w:p>
          <w:p w14:paraId="11735157">
            <w:pPr>
              <w:spacing w:line="360" w:lineRule="auto"/>
              <w:jc w:val="center"/>
              <w:rPr>
                <w:sz w:val="24"/>
              </w:rPr>
            </w:pPr>
            <w:r>
              <w:rPr>
                <w:sz w:val="24"/>
              </w:rPr>
              <w:t>A</w:t>
            </w:r>
            <w:r>
              <w:rPr>
                <w:sz w:val="24"/>
                <w:vertAlign w:val="subscript"/>
              </w:rPr>
              <w:t>oct atm</w:t>
            </w:r>
            <w:r>
              <w:rPr>
                <w:sz w:val="24"/>
              </w:rPr>
              <w:t>=α(r-r</w:t>
            </w:r>
            <w:r>
              <w:rPr>
                <w:sz w:val="24"/>
                <w:vertAlign w:val="subscript"/>
              </w:rPr>
              <w:t>0</w:t>
            </w:r>
            <w:r>
              <w:rPr>
                <w:sz w:val="24"/>
              </w:rPr>
              <w:t>)/100</w:t>
            </w:r>
            <w:r>
              <w:rPr>
                <w:rFonts w:hint="eastAsia"/>
                <w:sz w:val="24"/>
                <w:lang w:eastAsia="zh-CN"/>
              </w:rPr>
              <w:t>;</w:t>
            </w:r>
          </w:p>
          <w:p w14:paraId="10043BEB">
            <w:pPr>
              <w:spacing w:line="360" w:lineRule="auto"/>
              <w:jc w:val="center"/>
              <w:rPr>
                <w:sz w:val="24"/>
              </w:rPr>
            </w:pPr>
            <w:r>
              <w:rPr>
                <w:sz w:val="24"/>
              </w:rPr>
              <w:t>A</w:t>
            </w:r>
            <w:r>
              <w:rPr>
                <w:sz w:val="24"/>
                <w:vertAlign w:val="subscript"/>
              </w:rPr>
              <w:t>exc</w:t>
            </w:r>
            <w:r>
              <w:rPr>
                <w:sz w:val="24"/>
              </w:rPr>
              <w:t>=5lg(r-r</w:t>
            </w:r>
            <w:r>
              <w:rPr>
                <w:sz w:val="24"/>
                <w:vertAlign w:val="subscript"/>
              </w:rPr>
              <w:t>0</w:t>
            </w:r>
            <w:r>
              <w:rPr>
                <w:sz w:val="24"/>
              </w:rPr>
              <w:t>)</w:t>
            </w:r>
            <w:r>
              <w:rPr>
                <w:rFonts w:hint="eastAsia"/>
                <w:sz w:val="24"/>
                <w:lang w:eastAsia="zh-CN"/>
              </w:rPr>
              <w:t>;</w:t>
            </w:r>
          </w:p>
          <w:p w14:paraId="0D7B5A86">
            <w:pPr>
              <w:spacing w:line="360" w:lineRule="auto"/>
              <w:ind w:firstLine="436" w:firstLineChars="182"/>
              <w:rPr>
                <w:sz w:val="24"/>
              </w:rPr>
            </w:pPr>
            <w:r>
              <w:rPr>
                <w:rFonts w:hint="eastAsia" w:ascii="宋体" w:hAnsi="宋体" w:cs="宋体"/>
                <w:sz w:val="24"/>
              </w:rPr>
              <w:t>②</w:t>
            </w:r>
            <w:r>
              <w:rPr>
                <w:sz w:val="24"/>
              </w:rPr>
              <w:t>如果已知声源的倍频带声功率级L</w:t>
            </w:r>
            <w:r>
              <w:rPr>
                <w:sz w:val="24"/>
                <w:vertAlign w:val="subscript"/>
              </w:rPr>
              <w:t>w cot</w:t>
            </w:r>
            <w:r>
              <w:rPr>
                <w:sz w:val="24"/>
              </w:rPr>
              <w:t>，且声源可看作是位于地面上的，则：</w:t>
            </w:r>
          </w:p>
          <w:p w14:paraId="504C8A57">
            <w:pPr>
              <w:spacing w:line="360" w:lineRule="auto"/>
              <w:jc w:val="center"/>
              <w:rPr>
                <w:sz w:val="24"/>
              </w:rPr>
            </w:pPr>
            <w:r>
              <w:rPr>
                <w:sz w:val="24"/>
              </w:rPr>
              <w:t>L</w:t>
            </w:r>
            <w:r>
              <w:rPr>
                <w:sz w:val="24"/>
                <w:vertAlign w:val="subscript"/>
              </w:rPr>
              <w:t>cot</w:t>
            </w:r>
            <w:r>
              <w:rPr>
                <w:sz w:val="24"/>
              </w:rPr>
              <w:t>=L</w:t>
            </w:r>
            <w:r>
              <w:rPr>
                <w:sz w:val="24"/>
                <w:vertAlign w:val="subscript"/>
              </w:rPr>
              <w:t>w cot</w:t>
            </w:r>
            <w:r>
              <w:rPr>
                <w:sz w:val="24"/>
              </w:rPr>
              <w:t>-20lgr</w:t>
            </w:r>
            <w:r>
              <w:rPr>
                <w:sz w:val="24"/>
                <w:vertAlign w:val="subscript"/>
              </w:rPr>
              <w:t>0</w:t>
            </w:r>
            <w:r>
              <w:rPr>
                <w:sz w:val="24"/>
              </w:rPr>
              <w:t>-8</w:t>
            </w:r>
          </w:p>
          <w:p w14:paraId="23640645">
            <w:pPr>
              <w:spacing w:line="360" w:lineRule="auto"/>
              <w:ind w:firstLine="436" w:firstLineChars="182"/>
              <w:rPr>
                <w:sz w:val="24"/>
              </w:rPr>
            </w:pPr>
            <w:r>
              <w:rPr>
                <w:rFonts w:hint="eastAsia" w:ascii="宋体" w:hAnsi="宋体" w:cs="宋体"/>
                <w:sz w:val="24"/>
              </w:rPr>
              <w:t>③</w:t>
            </w:r>
            <w:r>
              <w:rPr>
                <w:sz w:val="24"/>
              </w:rPr>
              <w:t>由各倍频带声压级合成计算出该声源产生的A声级L</w:t>
            </w:r>
            <w:r>
              <w:rPr>
                <w:sz w:val="24"/>
                <w:vertAlign w:val="subscript"/>
              </w:rPr>
              <w:t>A</w:t>
            </w:r>
            <w:r>
              <w:rPr>
                <w:sz w:val="24"/>
              </w:rPr>
              <w:t>：</w:t>
            </w:r>
          </w:p>
          <w:p w14:paraId="4F5156AA">
            <w:pPr>
              <w:spacing w:line="360" w:lineRule="auto"/>
              <w:jc w:val="center"/>
              <w:rPr>
                <w:sz w:val="24"/>
              </w:rPr>
            </w:pPr>
            <w:r>
              <w:rPr>
                <w:position w:val="-30"/>
                <w:sz w:val="24"/>
              </w:rPr>
              <w:object>
                <v:shape id="_x0000_i1030" o:spt="75" type="#_x0000_t75" style="height:35.65pt;width:129.9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29" r:id="rId18">
                  <o:LockedField>false</o:LockedField>
                </o:OLEObject>
              </w:object>
            </w:r>
          </w:p>
          <w:p w14:paraId="7E768A2D">
            <w:pPr>
              <w:spacing w:line="360" w:lineRule="auto"/>
              <w:ind w:firstLine="480"/>
              <w:rPr>
                <w:sz w:val="24"/>
              </w:rPr>
            </w:pPr>
            <w:r>
              <w:rPr>
                <w:rFonts w:eastAsia="楷体_GB2312"/>
                <w:sz w:val="24"/>
              </w:rPr>
              <w:t xml:space="preserve">    </w:t>
            </w:r>
            <w:r>
              <w:rPr>
                <w:sz w:val="24"/>
              </w:rPr>
              <w:t>式中ΔLi为A计权网络修正值。</w:t>
            </w:r>
          </w:p>
          <w:p w14:paraId="249FD90F">
            <w:pPr>
              <w:spacing w:line="360" w:lineRule="auto"/>
              <w:ind w:firstLine="436" w:firstLineChars="182"/>
              <w:rPr>
                <w:sz w:val="24"/>
              </w:rPr>
            </w:pPr>
            <w:r>
              <w:rPr>
                <w:rFonts w:hint="eastAsia" w:ascii="宋体" w:hAnsi="宋体" w:cs="宋体"/>
                <w:sz w:val="24"/>
              </w:rPr>
              <w:t>④</w:t>
            </w:r>
            <w:r>
              <w:rPr>
                <w:sz w:val="24"/>
              </w:rPr>
              <w:t>各声源在预测点产生的声级的合成</w:t>
            </w:r>
          </w:p>
          <w:p w14:paraId="2356DFE7">
            <w:pPr>
              <w:spacing w:line="360" w:lineRule="auto"/>
              <w:jc w:val="center"/>
              <w:rPr>
                <w:sz w:val="24"/>
              </w:rPr>
            </w:pPr>
            <w:r>
              <w:rPr>
                <w:position w:val="-30"/>
                <w:sz w:val="24"/>
              </w:rPr>
              <w:object>
                <v:shape id="_x0000_i1031" o:spt="75" type="#_x0000_t75" style="height:35.65pt;width:109.1pt;" o:ole="t" fillcolor="#6D6D6D"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0" r:id="rId20">
                  <o:LockedField>false</o:LockedField>
                </o:OLEObject>
              </w:object>
            </w:r>
          </w:p>
          <w:p w14:paraId="56D87762">
            <w:pPr>
              <w:spacing w:line="360" w:lineRule="auto"/>
              <w:ind w:firstLine="480"/>
              <w:rPr>
                <w:sz w:val="24"/>
              </w:rPr>
            </w:pPr>
            <w:r>
              <w:rPr>
                <w:sz w:val="24"/>
              </w:rPr>
              <w:t>（2）室内点声源的预测</w:t>
            </w:r>
          </w:p>
          <w:p w14:paraId="4968DBF8">
            <w:pPr>
              <w:spacing w:line="360" w:lineRule="auto"/>
              <w:ind w:firstLine="436" w:firstLineChars="182"/>
              <w:rPr>
                <w:sz w:val="24"/>
              </w:rPr>
            </w:pPr>
            <w:r>
              <w:rPr>
                <w:rFonts w:hint="eastAsia" w:ascii="宋体" w:hAnsi="宋体" w:cs="宋体"/>
                <w:sz w:val="24"/>
              </w:rPr>
              <w:t>①</w:t>
            </w:r>
            <w:r>
              <w:rPr>
                <w:sz w:val="24"/>
              </w:rPr>
              <w:t>室内靠近围护结构处的倍频带声压级：</w:t>
            </w:r>
          </w:p>
          <w:p w14:paraId="56CB8C1D">
            <w:pPr>
              <w:spacing w:line="360" w:lineRule="auto"/>
              <w:jc w:val="center"/>
              <w:rPr>
                <w:sz w:val="24"/>
              </w:rPr>
            </w:pPr>
            <w:r>
              <w:rPr>
                <w:position w:val="-32"/>
                <w:sz w:val="24"/>
              </w:rPr>
              <w:object>
                <v:shape id="_x0000_i1032" o:spt="75" type="#_x0000_t75" style="height:35.65pt;width:151.4pt;" o:ole="t" fillcolor="#6D6D6D" filled="f" o:preferrelative="t" stroked="f" coordsize="21600,21600">
                  <v:path/>
                  <v:fill on="f" focussize="0,0"/>
                  <v:stroke on="f" joinstyle="miter"/>
                  <v:imagedata r:id="rId23" o:title=""/>
                  <o:lock v:ext="edit" aspectratio="t"/>
                  <w10:wrap type="none"/>
                  <w10:anchorlock/>
                </v:shape>
                <o:OLEObject Type="Embed" ProgID="Equation.3" ShapeID="_x0000_i1032" DrawAspect="Content" ObjectID="_1468075731" r:id="rId22">
                  <o:LockedField>false</o:LockedField>
                </o:OLEObject>
              </w:object>
            </w:r>
          </w:p>
          <w:p w14:paraId="59CB1843">
            <w:pPr>
              <w:spacing w:line="360" w:lineRule="auto"/>
              <w:ind w:firstLine="480"/>
              <w:rPr>
                <w:sz w:val="24"/>
              </w:rPr>
            </w:pPr>
            <w:r>
              <w:rPr>
                <w:sz w:val="24"/>
              </w:rPr>
              <w:t xml:space="preserve">    式中：r1为室内某源距离围护结构的距离；</w:t>
            </w:r>
          </w:p>
          <w:p w14:paraId="5F6EB979">
            <w:pPr>
              <w:spacing w:line="360" w:lineRule="auto"/>
              <w:ind w:firstLine="480"/>
              <w:rPr>
                <w:sz w:val="24"/>
              </w:rPr>
            </w:pPr>
            <w:r>
              <w:rPr>
                <w:sz w:val="24"/>
              </w:rPr>
              <w:t xml:space="preserve">          R为房间常数；</w:t>
            </w:r>
          </w:p>
          <w:p w14:paraId="35CE4FD1">
            <w:pPr>
              <w:spacing w:line="360" w:lineRule="auto"/>
              <w:ind w:firstLine="480"/>
              <w:rPr>
                <w:sz w:val="24"/>
              </w:rPr>
            </w:pPr>
            <w:r>
              <w:rPr>
                <w:sz w:val="24"/>
              </w:rPr>
              <w:t xml:space="preserve">          Q为方向性因子。</w:t>
            </w:r>
          </w:p>
          <w:p w14:paraId="46D8DE3D">
            <w:pPr>
              <w:spacing w:line="360" w:lineRule="auto"/>
              <w:ind w:firstLine="436" w:firstLineChars="182"/>
              <w:rPr>
                <w:sz w:val="24"/>
              </w:rPr>
            </w:pPr>
            <w:r>
              <w:rPr>
                <w:rFonts w:hint="eastAsia" w:ascii="宋体" w:hAnsi="宋体" w:cs="宋体"/>
                <w:sz w:val="24"/>
              </w:rPr>
              <w:t>②</w:t>
            </w:r>
            <w:r>
              <w:rPr>
                <w:sz w:val="24"/>
              </w:rPr>
              <w:t>室内声源在靠近围护结构处产生的总倍频带声压级：</w:t>
            </w:r>
          </w:p>
          <w:p w14:paraId="08D2B7C9">
            <w:pPr>
              <w:spacing w:line="360" w:lineRule="auto"/>
              <w:jc w:val="center"/>
              <w:rPr>
                <w:sz w:val="24"/>
              </w:rPr>
            </w:pPr>
            <w:r>
              <w:rPr>
                <w:position w:val="-30"/>
                <w:sz w:val="24"/>
              </w:rPr>
              <w:object>
                <v:shape id="_x0000_i1033" o:spt="75" type="#_x0000_t75" style="height:35.65pt;width:144pt;" o:ole="t" fillcolor="#6D6D6D"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2" r:id="rId24">
                  <o:LockedField>false</o:LockedField>
                </o:OLEObject>
              </w:object>
            </w:r>
          </w:p>
          <w:p w14:paraId="16E14388">
            <w:pPr>
              <w:spacing w:line="360" w:lineRule="auto"/>
              <w:ind w:firstLine="436" w:firstLineChars="182"/>
              <w:rPr>
                <w:sz w:val="24"/>
              </w:rPr>
            </w:pPr>
            <w:r>
              <w:rPr>
                <w:rFonts w:hint="eastAsia" w:ascii="宋体" w:hAnsi="宋体" w:cs="宋体"/>
                <w:sz w:val="24"/>
              </w:rPr>
              <w:t>③</w:t>
            </w:r>
            <w:r>
              <w:rPr>
                <w:sz w:val="24"/>
              </w:rPr>
              <w:t>室外靠近围护结构处的总的声压级：</w:t>
            </w:r>
          </w:p>
          <w:p w14:paraId="5AE88402">
            <w:pPr>
              <w:spacing w:line="360" w:lineRule="auto"/>
              <w:jc w:val="center"/>
              <w:rPr>
                <w:sz w:val="24"/>
              </w:rPr>
            </w:pPr>
            <w:r>
              <w:rPr>
                <w:sz w:val="24"/>
              </w:rPr>
              <w:t>L</w:t>
            </w:r>
            <w:r>
              <w:rPr>
                <w:sz w:val="24"/>
                <w:vertAlign w:val="subscript"/>
              </w:rPr>
              <w:t>oct,1</w:t>
            </w:r>
            <w:r>
              <w:rPr>
                <w:sz w:val="24"/>
              </w:rPr>
              <w:t>(T)=L</w:t>
            </w:r>
            <w:r>
              <w:rPr>
                <w:sz w:val="24"/>
                <w:vertAlign w:val="subscript"/>
              </w:rPr>
              <w:t>0ct,1</w:t>
            </w:r>
            <w:r>
              <w:rPr>
                <w:sz w:val="24"/>
              </w:rPr>
              <w:t>(T)-(T</w:t>
            </w:r>
            <w:r>
              <w:rPr>
                <w:sz w:val="24"/>
                <w:vertAlign w:val="subscript"/>
              </w:rPr>
              <w:t>loct</w:t>
            </w:r>
            <w:r>
              <w:rPr>
                <w:sz w:val="24"/>
              </w:rPr>
              <w:t>+6)</w:t>
            </w:r>
          </w:p>
          <w:p w14:paraId="251D2522">
            <w:pPr>
              <w:spacing w:line="360" w:lineRule="auto"/>
              <w:ind w:firstLine="436" w:firstLineChars="182"/>
              <w:rPr>
                <w:sz w:val="24"/>
              </w:rPr>
            </w:pPr>
            <w:r>
              <w:rPr>
                <w:rFonts w:hint="eastAsia" w:ascii="宋体" w:hAnsi="宋体" w:cs="宋体"/>
                <w:sz w:val="24"/>
              </w:rPr>
              <w:t>④</w:t>
            </w:r>
            <w:r>
              <w:rPr>
                <w:sz w:val="24"/>
              </w:rPr>
              <w:t>室外声压级换算成等效的室外声源：</w:t>
            </w:r>
          </w:p>
          <w:p w14:paraId="6A264C1C">
            <w:pPr>
              <w:spacing w:line="360" w:lineRule="auto"/>
              <w:jc w:val="center"/>
              <w:outlineLvl w:val="0"/>
              <w:rPr>
                <w:sz w:val="24"/>
              </w:rPr>
            </w:pPr>
            <w:r>
              <w:rPr>
                <w:sz w:val="24"/>
              </w:rPr>
              <w:t>L</w:t>
            </w:r>
            <w:r>
              <w:rPr>
                <w:sz w:val="24"/>
                <w:vertAlign w:val="subscript"/>
              </w:rPr>
              <w:t>w oct</w:t>
            </w:r>
            <w:r>
              <w:rPr>
                <w:sz w:val="24"/>
              </w:rPr>
              <w:t>=L</w:t>
            </w:r>
            <w:r>
              <w:rPr>
                <w:sz w:val="24"/>
                <w:vertAlign w:val="subscript"/>
              </w:rPr>
              <w:t>oct,2</w:t>
            </w:r>
            <w:r>
              <w:rPr>
                <w:sz w:val="24"/>
              </w:rPr>
              <w:t>(T)+10lgS</w:t>
            </w:r>
          </w:p>
          <w:p w14:paraId="5A42C84E">
            <w:pPr>
              <w:spacing w:line="360" w:lineRule="auto"/>
              <w:ind w:firstLine="480"/>
              <w:rPr>
                <w:sz w:val="24"/>
              </w:rPr>
            </w:pPr>
            <w:r>
              <w:rPr>
                <w:sz w:val="24"/>
              </w:rPr>
              <w:t xml:space="preserve">    式中：S为透声面积。</w:t>
            </w:r>
          </w:p>
          <w:p w14:paraId="4F0B3506">
            <w:pPr>
              <w:spacing w:line="360" w:lineRule="auto"/>
              <w:ind w:firstLine="480"/>
              <w:rPr>
                <w:sz w:val="24"/>
              </w:rPr>
            </w:pPr>
            <w:r>
              <w:rPr>
                <w:rFonts w:hint="eastAsia" w:ascii="宋体" w:hAnsi="宋体" w:cs="宋体"/>
                <w:sz w:val="24"/>
              </w:rPr>
              <w:t>⑤</w:t>
            </w:r>
            <w:r>
              <w:rPr>
                <w:sz w:val="24"/>
              </w:rPr>
              <w:t>等效室外声源的位置为围护结构的位置，其倍频带声功率级为L</w:t>
            </w:r>
            <w:r>
              <w:rPr>
                <w:sz w:val="24"/>
                <w:vertAlign w:val="subscript"/>
              </w:rPr>
              <w:t>w oct</w:t>
            </w:r>
            <w:r>
              <w:rPr>
                <w:sz w:val="24"/>
              </w:rPr>
              <w:t>，由此按室外声源方法计算等效室外声源在预测点产生的声级。</w:t>
            </w:r>
          </w:p>
          <w:p w14:paraId="7BFDF51A">
            <w:pPr>
              <w:spacing w:line="360" w:lineRule="auto"/>
              <w:ind w:firstLine="480"/>
              <w:rPr>
                <w:sz w:val="24"/>
              </w:rPr>
            </w:pPr>
            <w:r>
              <w:rPr>
                <w:sz w:val="24"/>
              </w:rPr>
              <w:t>根据拟建项目的特点和现有的资料数据，对计算模式进行简化并进行估算，为充分估算声源对周围环境的影响，对不满足计算条件的小额正衰减予以忽略，在此基础上进一步计算各预测点的声级。先计算设备噪声到各预测点的声压级合成，即以车间或装置作为一个整体声源，分段以不同模式测算其对外辐射的衰减量，预测各主要场源对单独存在时对厂界及外环境噪声的影响，并合成设备声源对受声点的影响。</w:t>
            </w:r>
          </w:p>
          <w:p w14:paraId="58B0E30D">
            <w:pPr>
              <w:spacing w:line="360" w:lineRule="auto"/>
              <w:ind w:firstLine="480"/>
              <w:rPr>
                <w:sz w:val="24"/>
              </w:rPr>
            </w:pPr>
            <w:r>
              <w:rPr>
                <w:sz w:val="24"/>
              </w:rPr>
              <w:t>本项目为</w:t>
            </w:r>
            <w:r>
              <w:rPr>
                <w:rFonts w:hint="eastAsia"/>
                <w:sz w:val="24"/>
              </w:rPr>
              <w:t>新建</w:t>
            </w:r>
            <w:r>
              <w:rPr>
                <w:sz w:val="24"/>
              </w:rPr>
              <w:t>项目，根据《环境影响评价技术导则》</w:t>
            </w:r>
            <w:r>
              <w:rPr>
                <w:rFonts w:hint="eastAsia"/>
                <w:sz w:val="24"/>
              </w:rPr>
              <w:t>将项目</w:t>
            </w:r>
            <w:r>
              <w:rPr>
                <w:sz w:val="24"/>
              </w:rPr>
              <w:t>噪声贡献值作为评价量，结果见表7-14。</w:t>
            </w:r>
          </w:p>
          <w:p w14:paraId="15034643">
            <w:pPr>
              <w:tabs>
                <w:tab w:val="left" w:pos="5670"/>
              </w:tabs>
              <w:spacing w:line="480" w:lineRule="exact"/>
              <w:ind w:firstLine="480" w:firstLineChars="200"/>
              <w:jc w:val="center"/>
              <w:rPr>
                <w:rFonts w:eastAsia="黑体"/>
                <w:snapToGrid w:val="0"/>
                <w:kern w:val="0"/>
                <w:sz w:val="24"/>
              </w:rPr>
            </w:pPr>
            <w:r>
              <w:rPr>
                <w:rFonts w:eastAsia="黑体"/>
                <w:snapToGrid w:val="0"/>
                <w:kern w:val="0"/>
                <w:sz w:val="24"/>
              </w:rPr>
              <w:t>表7-14   建设项目噪声预测结果表    单位：dB(A)</w:t>
            </w:r>
          </w:p>
          <w:tbl>
            <w:tblPr>
              <w:tblStyle w:val="2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96"/>
              <w:gridCol w:w="1275"/>
              <w:gridCol w:w="1561"/>
              <w:gridCol w:w="1473"/>
              <w:gridCol w:w="1473"/>
              <w:gridCol w:w="1925"/>
            </w:tblGrid>
            <w:tr w14:paraId="7B4279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jc w:val="center"/>
              </w:trPr>
              <w:tc>
                <w:tcPr>
                  <w:tcW w:w="468" w:type="pct"/>
                  <w:vMerge w:val="restart"/>
                  <w:vAlign w:val="center"/>
                </w:tcPr>
                <w:p w14:paraId="39AB3854">
                  <w:pPr>
                    <w:autoSpaceDE w:val="0"/>
                    <w:autoSpaceDN w:val="0"/>
                    <w:jc w:val="center"/>
                    <w:rPr>
                      <w:kern w:val="0"/>
                      <w:szCs w:val="21"/>
                    </w:rPr>
                  </w:pPr>
                  <w:r>
                    <w:rPr>
                      <w:kern w:val="0"/>
                      <w:szCs w:val="21"/>
                    </w:rPr>
                    <w:t>预测点</w:t>
                  </w:r>
                </w:p>
              </w:tc>
              <w:tc>
                <w:tcPr>
                  <w:tcW w:w="750" w:type="pct"/>
                  <w:vMerge w:val="restart"/>
                  <w:vAlign w:val="center"/>
                </w:tcPr>
                <w:p w14:paraId="789CCCFF">
                  <w:pPr>
                    <w:autoSpaceDE w:val="0"/>
                    <w:autoSpaceDN w:val="0"/>
                    <w:jc w:val="center"/>
                    <w:rPr>
                      <w:kern w:val="0"/>
                      <w:szCs w:val="21"/>
                    </w:rPr>
                  </w:pPr>
                  <w:r>
                    <w:rPr>
                      <w:kern w:val="0"/>
                      <w:szCs w:val="21"/>
                    </w:rPr>
                    <w:t>噪声源</w:t>
                  </w:r>
                </w:p>
              </w:tc>
              <w:tc>
                <w:tcPr>
                  <w:tcW w:w="918" w:type="pct"/>
                  <w:vMerge w:val="restart"/>
                  <w:vAlign w:val="center"/>
                </w:tcPr>
                <w:p w14:paraId="327154B7">
                  <w:pPr>
                    <w:autoSpaceDE w:val="0"/>
                    <w:autoSpaceDN w:val="0"/>
                    <w:jc w:val="center"/>
                    <w:rPr>
                      <w:kern w:val="0"/>
                      <w:szCs w:val="21"/>
                    </w:rPr>
                  </w:pPr>
                  <w:r>
                    <w:rPr>
                      <w:szCs w:val="21"/>
                    </w:rPr>
                    <w:t>治理后声级dB(A)</w:t>
                  </w:r>
                </w:p>
              </w:tc>
              <w:tc>
                <w:tcPr>
                  <w:tcW w:w="866" w:type="pct"/>
                  <w:vMerge w:val="restart"/>
                  <w:vAlign w:val="center"/>
                </w:tcPr>
                <w:p w14:paraId="40CBB08B">
                  <w:pPr>
                    <w:autoSpaceDE w:val="0"/>
                    <w:autoSpaceDN w:val="0"/>
                    <w:jc w:val="center"/>
                    <w:rPr>
                      <w:kern w:val="0"/>
                      <w:szCs w:val="21"/>
                    </w:rPr>
                  </w:pPr>
                  <w:r>
                    <w:rPr>
                      <w:kern w:val="0"/>
                      <w:szCs w:val="21"/>
                    </w:rPr>
                    <w:t>与厂界最近距离</w:t>
                  </w:r>
                </w:p>
              </w:tc>
              <w:tc>
                <w:tcPr>
                  <w:tcW w:w="866" w:type="pct"/>
                  <w:vMerge w:val="restart"/>
                  <w:vAlign w:val="center"/>
                </w:tcPr>
                <w:p w14:paraId="6140A9F3">
                  <w:pPr>
                    <w:autoSpaceDE w:val="0"/>
                    <w:autoSpaceDN w:val="0"/>
                    <w:jc w:val="center"/>
                    <w:rPr>
                      <w:kern w:val="0"/>
                      <w:szCs w:val="21"/>
                    </w:rPr>
                  </w:pPr>
                  <w:r>
                    <w:rPr>
                      <w:kern w:val="0"/>
                      <w:szCs w:val="21"/>
                    </w:rPr>
                    <w:t>贡献值dB(A)</w:t>
                  </w:r>
                </w:p>
              </w:tc>
              <w:tc>
                <w:tcPr>
                  <w:tcW w:w="1132" w:type="pct"/>
                  <w:vAlign w:val="center"/>
                </w:tcPr>
                <w:p w14:paraId="08C4A6DF">
                  <w:pPr>
                    <w:autoSpaceDE w:val="0"/>
                    <w:autoSpaceDN w:val="0"/>
                    <w:jc w:val="center"/>
                    <w:rPr>
                      <w:kern w:val="0"/>
                      <w:szCs w:val="21"/>
                    </w:rPr>
                  </w:pPr>
                  <w:r>
                    <w:rPr>
                      <w:kern w:val="0"/>
                      <w:szCs w:val="21"/>
                    </w:rPr>
                    <w:t>评价量dB(A)</w:t>
                  </w:r>
                </w:p>
              </w:tc>
            </w:tr>
            <w:tr w14:paraId="3B5BC5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468" w:type="pct"/>
                  <w:vMerge w:val="continue"/>
                  <w:vAlign w:val="center"/>
                </w:tcPr>
                <w:p w14:paraId="403A12B5">
                  <w:pPr>
                    <w:autoSpaceDE w:val="0"/>
                    <w:autoSpaceDN w:val="0"/>
                    <w:jc w:val="center"/>
                    <w:rPr>
                      <w:kern w:val="0"/>
                      <w:szCs w:val="21"/>
                    </w:rPr>
                  </w:pPr>
                </w:p>
              </w:tc>
              <w:tc>
                <w:tcPr>
                  <w:tcW w:w="750" w:type="pct"/>
                  <w:vMerge w:val="continue"/>
                  <w:vAlign w:val="center"/>
                </w:tcPr>
                <w:p w14:paraId="0EEC932E">
                  <w:pPr>
                    <w:autoSpaceDE w:val="0"/>
                    <w:autoSpaceDN w:val="0"/>
                    <w:jc w:val="center"/>
                    <w:rPr>
                      <w:kern w:val="0"/>
                      <w:szCs w:val="21"/>
                    </w:rPr>
                  </w:pPr>
                </w:p>
              </w:tc>
              <w:tc>
                <w:tcPr>
                  <w:tcW w:w="918" w:type="pct"/>
                  <w:vMerge w:val="continue"/>
                  <w:vAlign w:val="center"/>
                </w:tcPr>
                <w:p w14:paraId="24D714FE">
                  <w:pPr>
                    <w:autoSpaceDE w:val="0"/>
                    <w:autoSpaceDN w:val="0"/>
                    <w:jc w:val="center"/>
                    <w:rPr>
                      <w:kern w:val="0"/>
                      <w:szCs w:val="21"/>
                    </w:rPr>
                  </w:pPr>
                </w:p>
              </w:tc>
              <w:tc>
                <w:tcPr>
                  <w:tcW w:w="866" w:type="pct"/>
                  <w:vMerge w:val="continue"/>
                  <w:vAlign w:val="center"/>
                </w:tcPr>
                <w:p w14:paraId="6A4D2079">
                  <w:pPr>
                    <w:autoSpaceDE w:val="0"/>
                    <w:autoSpaceDN w:val="0"/>
                    <w:jc w:val="center"/>
                    <w:rPr>
                      <w:kern w:val="0"/>
                      <w:szCs w:val="21"/>
                    </w:rPr>
                  </w:pPr>
                </w:p>
              </w:tc>
              <w:tc>
                <w:tcPr>
                  <w:tcW w:w="866" w:type="pct"/>
                  <w:vMerge w:val="continue"/>
                  <w:vAlign w:val="center"/>
                </w:tcPr>
                <w:p w14:paraId="2BE3B7BF">
                  <w:pPr>
                    <w:autoSpaceDE w:val="0"/>
                    <w:autoSpaceDN w:val="0"/>
                    <w:jc w:val="center"/>
                    <w:rPr>
                      <w:kern w:val="0"/>
                      <w:szCs w:val="21"/>
                    </w:rPr>
                  </w:pPr>
                </w:p>
              </w:tc>
              <w:tc>
                <w:tcPr>
                  <w:tcW w:w="1132" w:type="pct"/>
                  <w:vAlign w:val="center"/>
                </w:tcPr>
                <w:p w14:paraId="5A0CE28B">
                  <w:pPr>
                    <w:autoSpaceDE w:val="0"/>
                    <w:autoSpaceDN w:val="0"/>
                    <w:jc w:val="center"/>
                    <w:rPr>
                      <w:kern w:val="0"/>
                      <w:szCs w:val="21"/>
                    </w:rPr>
                  </w:pPr>
                  <w:r>
                    <w:rPr>
                      <w:rFonts w:hint="eastAsia"/>
                      <w:kern w:val="0"/>
                      <w:szCs w:val="21"/>
                    </w:rPr>
                    <w:t>预测值</w:t>
                  </w:r>
                </w:p>
              </w:tc>
            </w:tr>
            <w:tr w14:paraId="76C774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9" w:hRule="atLeast"/>
                <w:jc w:val="center"/>
              </w:trPr>
              <w:tc>
                <w:tcPr>
                  <w:tcW w:w="468" w:type="pct"/>
                  <w:vAlign w:val="center"/>
                </w:tcPr>
                <w:p w14:paraId="4AAB8237">
                  <w:pPr>
                    <w:autoSpaceDE w:val="0"/>
                    <w:autoSpaceDN w:val="0"/>
                    <w:jc w:val="center"/>
                    <w:rPr>
                      <w:kern w:val="0"/>
                      <w:szCs w:val="21"/>
                    </w:rPr>
                  </w:pPr>
                  <w:r>
                    <w:rPr>
                      <w:kern w:val="0"/>
                      <w:szCs w:val="21"/>
                    </w:rPr>
                    <w:t>东侧</w:t>
                  </w:r>
                </w:p>
              </w:tc>
              <w:tc>
                <w:tcPr>
                  <w:tcW w:w="750" w:type="pct"/>
                  <w:vMerge w:val="restart"/>
                  <w:vAlign w:val="center"/>
                </w:tcPr>
                <w:p w14:paraId="30AF60E2">
                  <w:pPr>
                    <w:adjustRightInd w:val="0"/>
                    <w:snapToGrid w:val="0"/>
                    <w:jc w:val="center"/>
                    <w:rPr>
                      <w:szCs w:val="21"/>
                    </w:rPr>
                  </w:pPr>
                  <w:r>
                    <w:rPr>
                      <w:rFonts w:hint="eastAsia"/>
                      <w:szCs w:val="21"/>
                    </w:rPr>
                    <w:t>生产设备</w:t>
                  </w:r>
                </w:p>
              </w:tc>
              <w:tc>
                <w:tcPr>
                  <w:tcW w:w="918" w:type="pct"/>
                  <w:vAlign w:val="center"/>
                </w:tcPr>
                <w:p w14:paraId="53247CF7">
                  <w:pPr>
                    <w:autoSpaceDE w:val="0"/>
                    <w:autoSpaceDN w:val="0"/>
                    <w:jc w:val="center"/>
                    <w:rPr>
                      <w:kern w:val="0"/>
                      <w:szCs w:val="21"/>
                    </w:rPr>
                  </w:pPr>
                  <w:r>
                    <w:rPr>
                      <w:kern w:val="0"/>
                      <w:szCs w:val="21"/>
                    </w:rPr>
                    <w:t>66.51</w:t>
                  </w:r>
                </w:p>
              </w:tc>
              <w:tc>
                <w:tcPr>
                  <w:tcW w:w="866" w:type="pct"/>
                  <w:vAlign w:val="center"/>
                </w:tcPr>
                <w:p w14:paraId="39DAF8C8">
                  <w:pPr>
                    <w:spacing w:line="280" w:lineRule="exact"/>
                    <w:jc w:val="center"/>
                    <w:rPr>
                      <w:kern w:val="0"/>
                      <w:szCs w:val="21"/>
                    </w:rPr>
                  </w:pPr>
                  <w:r>
                    <w:rPr>
                      <w:rFonts w:hint="eastAsia"/>
                      <w:kern w:val="0"/>
                      <w:szCs w:val="21"/>
                    </w:rPr>
                    <w:t>2</w:t>
                  </w:r>
                  <w:r>
                    <w:rPr>
                      <w:kern w:val="0"/>
                      <w:szCs w:val="21"/>
                    </w:rPr>
                    <w:t>1.5</w:t>
                  </w:r>
                </w:p>
              </w:tc>
              <w:tc>
                <w:tcPr>
                  <w:tcW w:w="866" w:type="pct"/>
                  <w:vAlign w:val="center"/>
                </w:tcPr>
                <w:p w14:paraId="2086DD76">
                  <w:pPr>
                    <w:autoSpaceDE w:val="0"/>
                    <w:autoSpaceDN w:val="0"/>
                    <w:jc w:val="center"/>
                    <w:rPr>
                      <w:kern w:val="0"/>
                      <w:szCs w:val="21"/>
                    </w:rPr>
                  </w:pPr>
                  <w:r>
                    <w:rPr>
                      <w:rFonts w:hint="eastAsia"/>
                      <w:kern w:val="0"/>
                      <w:szCs w:val="21"/>
                    </w:rPr>
                    <w:t>3</w:t>
                  </w:r>
                  <w:r>
                    <w:rPr>
                      <w:kern w:val="0"/>
                      <w:szCs w:val="21"/>
                    </w:rPr>
                    <w:t>9.8</w:t>
                  </w:r>
                </w:p>
              </w:tc>
              <w:tc>
                <w:tcPr>
                  <w:tcW w:w="1132" w:type="pct"/>
                  <w:vAlign w:val="center"/>
                </w:tcPr>
                <w:p w14:paraId="70EAB24F">
                  <w:pPr>
                    <w:autoSpaceDE w:val="0"/>
                    <w:autoSpaceDN w:val="0"/>
                    <w:jc w:val="center"/>
                    <w:rPr>
                      <w:kern w:val="0"/>
                      <w:szCs w:val="21"/>
                    </w:rPr>
                  </w:pPr>
                  <w:r>
                    <w:rPr>
                      <w:rFonts w:hint="eastAsia"/>
                      <w:kern w:val="0"/>
                      <w:szCs w:val="21"/>
                    </w:rPr>
                    <w:t>3</w:t>
                  </w:r>
                  <w:r>
                    <w:rPr>
                      <w:kern w:val="0"/>
                      <w:szCs w:val="21"/>
                    </w:rPr>
                    <w:t>9.8</w:t>
                  </w:r>
                </w:p>
              </w:tc>
            </w:tr>
            <w:tr w14:paraId="4F9DE5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9" w:hRule="atLeast"/>
                <w:jc w:val="center"/>
              </w:trPr>
              <w:tc>
                <w:tcPr>
                  <w:tcW w:w="468" w:type="pct"/>
                  <w:vAlign w:val="center"/>
                </w:tcPr>
                <w:p w14:paraId="5CD184DF">
                  <w:pPr>
                    <w:autoSpaceDE w:val="0"/>
                    <w:autoSpaceDN w:val="0"/>
                    <w:jc w:val="center"/>
                    <w:rPr>
                      <w:kern w:val="0"/>
                      <w:szCs w:val="21"/>
                    </w:rPr>
                  </w:pPr>
                  <w:r>
                    <w:rPr>
                      <w:kern w:val="0"/>
                      <w:szCs w:val="21"/>
                    </w:rPr>
                    <w:t>南侧</w:t>
                  </w:r>
                </w:p>
              </w:tc>
              <w:tc>
                <w:tcPr>
                  <w:tcW w:w="750" w:type="pct"/>
                  <w:vMerge w:val="continue"/>
                  <w:vAlign w:val="center"/>
                </w:tcPr>
                <w:p w14:paraId="6CE3571F">
                  <w:pPr>
                    <w:adjustRightInd w:val="0"/>
                    <w:snapToGrid w:val="0"/>
                    <w:jc w:val="center"/>
                    <w:rPr>
                      <w:szCs w:val="21"/>
                    </w:rPr>
                  </w:pPr>
                </w:p>
              </w:tc>
              <w:tc>
                <w:tcPr>
                  <w:tcW w:w="918" w:type="pct"/>
                  <w:vAlign w:val="center"/>
                </w:tcPr>
                <w:p w14:paraId="6892209E">
                  <w:pPr>
                    <w:autoSpaceDE w:val="0"/>
                    <w:autoSpaceDN w:val="0"/>
                    <w:jc w:val="center"/>
                    <w:rPr>
                      <w:kern w:val="0"/>
                      <w:szCs w:val="21"/>
                    </w:rPr>
                  </w:pPr>
                  <w:r>
                    <w:rPr>
                      <w:kern w:val="0"/>
                      <w:szCs w:val="21"/>
                    </w:rPr>
                    <w:t>66.51</w:t>
                  </w:r>
                </w:p>
              </w:tc>
              <w:tc>
                <w:tcPr>
                  <w:tcW w:w="866" w:type="pct"/>
                  <w:vAlign w:val="center"/>
                </w:tcPr>
                <w:p w14:paraId="48FA3E04">
                  <w:pPr>
                    <w:spacing w:line="280" w:lineRule="exact"/>
                    <w:jc w:val="center"/>
                    <w:rPr>
                      <w:kern w:val="0"/>
                      <w:szCs w:val="21"/>
                    </w:rPr>
                  </w:pPr>
                  <w:r>
                    <w:rPr>
                      <w:rFonts w:hint="eastAsia"/>
                      <w:kern w:val="0"/>
                      <w:szCs w:val="21"/>
                    </w:rPr>
                    <w:t>6</w:t>
                  </w:r>
                  <w:r>
                    <w:rPr>
                      <w:kern w:val="0"/>
                      <w:szCs w:val="21"/>
                    </w:rPr>
                    <w:t>3.3</w:t>
                  </w:r>
                </w:p>
              </w:tc>
              <w:tc>
                <w:tcPr>
                  <w:tcW w:w="866" w:type="pct"/>
                  <w:vAlign w:val="center"/>
                </w:tcPr>
                <w:p w14:paraId="4329F984">
                  <w:pPr>
                    <w:autoSpaceDE w:val="0"/>
                    <w:autoSpaceDN w:val="0"/>
                    <w:jc w:val="center"/>
                    <w:rPr>
                      <w:kern w:val="0"/>
                      <w:szCs w:val="21"/>
                    </w:rPr>
                  </w:pPr>
                  <w:r>
                    <w:rPr>
                      <w:rFonts w:hint="eastAsia"/>
                      <w:kern w:val="0"/>
                      <w:szCs w:val="21"/>
                    </w:rPr>
                    <w:t>3</w:t>
                  </w:r>
                  <w:r>
                    <w:rPr>
                      <w:kern w:val="0"/>
                      <w:szCs w:val="21"/>
                    </w:rPr>
                    <w:t>0.4</w:t>
                  </w:r>
                </w:p>
              </w:tc>
              <w:tc>
                <w:tcPr>
                  <w:tcW w:w="1132" w:type="pct"/>
                  <w:vAlign w:val="center"/>
                </w:tcPr>
                <w:p w14:paraId="3C562388">
                  <w:pPr>
                    <w:autoSpaceDE w:val="0"/>
                    <w:autoSpaceDN w:val="0"/>
                    <w:jc w:val="center"/>
                    <w:rPr>
                      <w:kern w:val="0"/>
                      <w:szCs w:val="21"/>
                    </w:rPr>
                  </w:pPr>
                  <w:r>
                    <w:rPr>
                      <w:rFonts w:hint="eastAsia"/>
                      <w:kern w:val="0"/>
                      <w:szCs w:val="21"/>
                    </w:rPr>
                    <w:t>3</w:t>
                  </w:r>
                  <w:r>
                    <w:rPr>
                      <w:kern w:val="0"/>
                      <w:szCs w:val="21"/>
                    </w:rPr>
                    <w:t>0.4</w:t>
                  </w:r>
                </w:p>
              </w:tc>
            </w:tr>
            <w:tr w14:paraId="3FEFAA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9" w:hRule="atLeast"/>
                <w:jc w:val="center"/>
              </w:trPr>
              <w:tc>
                <w:tcPr>
                  <w:tcW w:w="468" w:type="pct"/>
                  <w:vAlign w:val="center"/>
                </w:tcPr>
                <w:p w14:paraId="7777A2AC">
                  <w:pPr>
                    <w:autoSpaceDE w:val="0"/>
                    <w:autoSpaceDN w:val="0"/>
                    <w:jc w:val="center"/>
                    <w:rPr>
                      <w:kern w:val="0"/>
                      <w:szCs w:val="21"/>
                    </w:rPr>
                  </w:pPr>
                  <w:r>
                    <w:rPr>
                      <w:kern w:val="0"/>
                      <w:szCs w:val="21"/>
                    </w:rPr>
                    <w:t>西侧</w:t>
                  </w:r>
                </w:p>
              </w:tc>
              <w:tc>
                <w:tcPr>
                  <w:tcW w:w="750" w:type="pct"/>
                  <w:vMerge w:val="continue"/>
                  <w:vAlign w:val="center"/>
                </w:tcPr>
                <w:p w14:paraId="43A88809">
                  <w:pPr>
                    <w:adjustRightInd w:val="0"/>
                    <w:snapToGrid w:val="0"/>
                    <w:jc w:val="center"/>
                    <w:rPr>
                      <w:szCs w:val="21"/>
                    </w:rPr>
                  </w:pPr>
                </w:p>
              </w:tc>
              <w:tc>
                <w:tcPr>
                  <w:tcW w:w="918" w:type="pct"/>
                  <w:vAlign w:val="center"/>
                </w:tcPr>
                <w:p w14:paraId="33779C4F">
                  <w:pPr>
                    <w:autoSpaceDE w:val="0"/>
                    <w:autoSpaceDN w:val="0"/>
                    <w:jc w:val="center"/>
                    <w:rPr>
                      <w:kern w:val="0"/>
                      <w:szCs w:val="21"/>
                    </w:rPr>
                  </w:pPr>
                  <w:r>
                    <w:rPr>
                      <w:kern w:val="0"/>
                      <w:szCs w:val="21"/>
                    </w:rPr>
                    <w:t>66.51</w:t>
                  </w:r>
                </w:p>
              </w:tc>
              <w:tc>
                <w:tcPr>
                  <w:tcW w:w="866" w:type="pct"/>
                  <w:vAlign w:val="center"/>
                </w:tcPr>
                <w:p w14:paraId="0EB450C7">
                  <w:pPr>
                    <w:spacing w:line="280" w:lineRule="exact"/>
                    <w:jc w:val="center"/>
                    <w:rPr>
                      <w:kern w:val="0"/>
                      <w:szCs w:val="21"/>
                    </w:rPr>
                  </w:pPr>
                  <w:r>
                    <w:rPr>
                      <w:rFonts w:hint="eastAsia"/>
                      <w:kern w:val="0"/>
                      <w:szCs w:val="21"/>
                    </w:rPr>
                    <w:t>2</w:t>
                  </w:r>
                  <w:r>
                    <w:rPr>
                      <w:kern w:val="0"/>
                      <w:szCs w:val="21"/>
                    </w:rPr>
                    <w:t>2.6</w:t>
                  </w:r>
                </w:p>
              </w:tc>
              <w:tc>
                <w:tcPr>
                  <w:tcW w:w="866" w:type="pct"/>
                  <w:vAlign w:val="center"/>
                </w:tcPr>
                <w:p w14:paraId="368BA01C">
                  <w:pPr>
                    <w:autoSpaceDE w:val="0"/>
                    <w:autoSpaceDN w:val="0"/>
                    <w:jc w:val="center"/>
                    <w:rPr>
                      <w:kern w:val="0"/>
                      <w:szCs w:val="21"/>
                    </w:rPr>
                  </w:pPr>
                  <w:r>
                    <w:rPr>
                      <w:rFonts w:hint="eastAsia"/>
                      <w:kern w:val="0"/>
                      <w:szCs w:val="21"/>
                    </w:rPr>
                    <w:t>3</w:t>
                  </w:r>
                  <w:r>
                    <w:rPr>
                      <w:kern w:val="0"/>
                      <w:szCs w:val="21"/>
                    </w:rPr>
                    <w:t>9.4</w:t>
                  </w:r>
                </w:p>
              </w:tc>
              <w:tc>
                <w:tcPr>
                  <w:tcW w:w="1132" w:type="pct"/>
                  <w:vAlign w:val="center"/>
                </w:tcPr>
                <w:p w14:paraId="258A2665">
                  <w:pPr>
                    <w:autoSpaceDE w:val="0"/>
                    <w:autoSpaceDN w:val="0"/>
                    <w:jc w:val="center"/>
                    <w:rPr>
                      <w:kern w:val="0"/>
                      <w:szCs w:val="21"/>
                    </w:rPr>
                  </w:pPr>
                  <w:r>
                    <w:rPr>
                      <w:rFonts w:hint="eastAsia"/>
                      <w:kern w:val="0"/>
                      <w:szCs w:val="21"/>
                    </w:rPr>
                    <w:t>3</w:t>
                  </w:r>
                  <w:r>
                    <w:rPr>
                      <w:kern w:val="0"/>
                      <w:szCs w:val="21"/>
                    </w:rPr>
                    <w:t>9.4</w:t>
                  </w:r>
                </w:p>
              </w:tc>
            </w:tr>
            <w:tr w14:paraId="25E6A7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9" w:hRule="atLeast"/>
                <w:jc w:val="center"/>
              </w:trPr>
              <w:tc>
                <w:tcPr>
                  <w:tcW w:w="468" w:type="pct"/>
                  <w:vAlign w:val="center"/>
                </w:tcPr>
                <w:p w14:paraId="686B4C6D">
                  <w:pPr>
                    <w:autoSpaceDE w:val="0"/>
                    <w:autoSpaceDN w:val="0"/>
                    <w:jc w:val="center"/>
                    <w:rPr>
                      <w:kern w:val="0"/>
                      <w:szCs w:val="21"/>
                    </w:rPr>
                  </w:pPr>
                  <w:r>
                    <w:rPr>
                      <w:kern w:val="0"/>
                      <w:szCs w:val="21"/>
                    </w:rPr>
                    <w:t>北侧</w:t>
                  </w:r>
                </w:p>
              </w:tc>
              <w:tc>
                <w:tcPr>
                  <w:tcW w:w="750" w:type="pct"/>
                  <w:vMerge w:val="continue"/>
                  <w:vAlign w:val="center"/>
                </w:tcPr>
                <w:p w14:paraId="775FF073">
                  <w:pPr>
                    <w:adjustRightInd w:val="0"/>
                    <w:snapToGrid w:val="0"/>
                    <w:jc w:val="center"/>
                    <w:rPr>
                      <w:szCs w:val="21"/>
                    </w:rPr>
                  </w:pPr>
                </w:p>
              </w:tc>
              <w:tc>
                <w:tcPr>
                  <w:tcW w:w="918" w:type="pct"/>
                  <w:vAlign w:val="center"/>
                </w:tcPr>
                <w:p w14:paraId="36985979">
                  <w:pPr>
                    <w:autoSpaceDE w:val="0"/>
                    <w:autoSpaceDN w:val="0"/>
                    <w:jc w:val="center"/>
                    <w:rPr>
                      <w:kern w:val="0"/>
                      <w:szCs w:val="21"/>
                    </w:rPr>
                  </w:pPr>
                  <w:r>
                    <w:rPr>
                      <w:kern w:val="0"/>
                      <w:szCs w:val="21"/>
                    </w:rPr>
                    <w:t>66.51</w:t>
                  </w:r>
                </w:p>
              </w:tc>
              <w:tc>
                <w:tcPr>
                  <w:tcW w:w="866" w:type="pct"/>
                  <w:vAlign w:val="center"/>
                </w:tcPr>
                <w:p w14:paraId="0DAD4DCD">
                  <w:pPr>
                    <w:spacing w:line="280" w:lineRule="exact"/>
                    <w:jc w:val="center"/>
                    <w:rPr>
                      <w:kern w:val="0"/>
                      <w:szCs w:val="21"/>
                    </w:rPr>
                  </w:pPr>
                  <w:r>
                    <w:rPr>
                      <w:rFonts w:hint="eastAsia"/>
                      <w:kern w:val="0"/>
                      <w:szCs w:val="21"/>
                    </w:rPr>
                    <w:t>2</w:t>
                  </w:r>
                  <w:r>
                    <w:rPr>
                      <w:kern w:val="0"/>
                      <w:szCs w:val="21"/>
                    </w:rPr>
                    <w:t>8.2</w:t>
                  </w:r>
                </w:p>
              </w:tc>
              <w:tc>
                <w:tcPr>
                  <w:tcW w:w="866" w:type="pct"/>
                  <w:vAlign w:val="center"/>
                </w:tcPr>
                <w:p w14:paraId="4C8E78F4">
                  <w:pPr>
                    <w:autoSpaceDE w:val="0"/>
                    <w:autoSpaceDN w:val="0"/>
                    <w:jc w:val="center"/>
                    <w:rPr>
                      <w:kern w:val="0"/>
                      <w:szCs w:val="21"/>
                    </w:rPr>
                  </w:pPr>
                  <w:r>
                    <w:rPr>
                      <w:rFonts w:hint="eastAsia"/>
                      <w:kern w:val="0"/>
                      <w:szCs w:val="21"/>
                    </w:rPr>
                    <w:t>3</w:t>
                  </w:r>
                  <w:r>
                    <w:rPr>
                      <w:kern w:val="0"/>
                      <w:szCs w:val="21"/>
                    </w:rPr>
                    <w:t>7.5</w:t>
                  </w:r>
                </w:p>
              </w:tc>
              <w:tc>
                <w:tcPr>
                  <w:tcW w:w="1132" w:type="pct"/>
                  <w:vAlign w:val="center"/>
                </w:tcPr>
                <w:p w14:paraId="10C30D6C">
                  <w:pPr>
                    <w:autoSpaceDE w:val="0"/>
                    <w:autoSpaceDN w:val="0"/>
                    <w:jc w:val="center"/>
                    <w:rPr>
                      <w:kern w:val="0"/>
                      <w:szCs w:val="21"/>
                    </w:rPr>
                  </w:pPr>
                  <w:r>
                    <w:rPr>
                      <w:rFonts w:hint="eastAsia"/>
                      <w:kern w:val="0"/>
                      <w:szCs w:val="21"/>
                    </w:rPr>
                    <w:t>3</w:t>
                  </w:r>
                  <w:r>
                    <w:rPr>
                      <w:kern w:val="0"/>
                      <w:szCs w:val="21"/>
                    </w:rPr>
                    <w:t>7.5</w:t>
                  </w:r>
                </w:p>
              </w:tc>
            </w:tr>
          </w:tbl>
          <w:p w14:paraId="1CB3B27D">
            <w:pPr>
              <w:spacing w:line="360" w:lineRule="auto"/>
              <w:ind w:firstLine="480"/>
              <w:rPr>
                <w:sz w:val="24"/>
              </w:rPr>
            </w:pPr>
            <w:r>
              <w:rPr>
                <w:sz w:val="24"/>
              </w:rPr>
              <w:t>表7-14表明，建设项目</w:t>
            </w:r>
            <w:r>
              <w:rPr>
                <w:rFonts w:hint="eastAsia"/>
                <w:sz w:val="24"/>
              </w:rPr>
              <w:t>夜间不生产，</w:t>
            </w:r>
            <w:r>
              <w:rPr>
                <w:sz w:val="24"/>
              </w:rPr>
              <w:t>厂界昼间环境噪声</w:t>
            </w:r>
            <w:r>
              <w:rPr>
                <w:rFonts w:hint="eastAsia"/>
                <w:sz w:val="24"/>
              </w:rPr>
              <w:t>预测值</w:t>
            </w:r>
            <w:r>
              <w:rPr>
                <w:sz w:val="24"/>
              </w:rPr>
              <w:t>值均达到《工业企业厂界环境噪声排放标准》（GB12348—2008）中2类标准</w:t>
            </w:r>
            <w:r>
              <w:rPr>
                <w:rFonts w:hint="eastAsia"/>
                <w:sz w:val="24"/>
              </w:rPr>
              <w:t>。</w:t>
            </w:r>
            <w:r>
              <w:rPr>
                <w:sz w:val="24"/>
              </w:rPr>
              <w:t>故项目运行对周围声环境无明显影响，不会发生扰民现象。</w:t>
            </w:r>
          </w:p>
          <w:p w14:paraId="34D31D9B">
            <w:pPr>
              <w:spacing w:line="360" w:lineRule="auto"/>
              <w:ind w:firstLine="480"/>
              <w:rPr>
                <w:sz w:val="24"/>
              </w:rPr>
            </w:pPr>
            <w:r>
              <w:rPr>
                <w:sz w:val="24"/>
              </w:rPr>
              <w:t>为了减少噪声对周围环境的影响，确保厂界声环境达标，维持区域声环境质量状况，建议厂方采取以下措施：</w:t>
            </w:r>
          </w:p>
          <w:p w14:paraId="2223A5FE">
            <w:pPr>
              <w:spacing w:line="360" w:lineRule="auto"/>
              <w:ind w:firstLine="480"/>
              <w:rPr>
                <w:sz w:val="24"/>
              </w:rPr>
            </w:pPr>
            <w:r>
              <w:rPr>
                <w:sz w:val="24"/>
              </w:rPr>
              <w:fldChar w:fldCharType="begin"/>
            </w:r>
            <w:r>
              <w:rPr>
                <w:sz w:val="24"/>
              </w:rPr>
              <w:instrText xml:space="preserve"> = 1 \* GB3 </w:instrText>
            </w:r>
            <w:r>
              <w:rPr>
                <w:sz w:val="24"/>
              </w:rPr>
              <w:fldChar w:fldCharType="separate"/>
            </w:r>
            <w:r>
              <w:rPr>
                <w:rFonts w:hint="eastAsia" w:ascii="宋体" w:hAnsi="宋体" w:cs="宋体"/>
                <w:sz w:val="24"/>
              </w:rPr>
              <w:t>①</w:t>
            </w:r>
            <w:r>
              <w:rPr>
                <w:sz w:val="24"/>
              </w:rPr>
              <w:fldChar w:fldCharType="end"/>
            </w:r>
            <w:r>
              <w:rPr>
                <w:sz w:val="24"/>
              </w:rPr>
              <w:t>厂房内部采用合理的平面布局，尽量使高噪声设备远离厂界布置。</w:t>
            </w:r>
          </w:p>
          <w:p w14:paraId="4CA3BD37">
            <w:pPr>
              <w:spacing w:line="360" w:lineRule="auto"/>
              <w:ind w:firstLine="480"/>
              <w:rPr>
                <w:sz w:val="24"/>
              </w:rPr>
            </w:pPr>
            <w:r>
              <w:rPr>
                <w:sz w:val="24"/>
              </w:rPr>
              <w:fldChar w:fldCharType="begin"/>
            </w:r>
            <w:r>
              <w:rPr>
                <w:sz w:val="24"/>
              </w:rPr>
              <w:instrText xml:space="preserve"> = 2 \* GB3 </w:instrText>
            </w:r>
            <w:r>
              <w:rPr>
                <w:sz w:val="24"/>
              </w:rPr>
              <w:fldChar w:fldCharType="separate"/>
            </w:r>
            <w:r>
              <w:rPr>
                <w:rFonts w:hint="eastAsia" w:ascii="宋体" w:hAnsi="宋体" w:cs="宋体"/>
                <w:sz w:val="24"/>
              </w:rPr>
              <w:t>②</w:t>
            </w:r>
            <w:r>
              <w:rPr>
                <w:sz w:val="24"/>
              </w:rPr>
              <w:fldChar w:fldCharType="end"/>
            </w:r>
            <w:r>
              <w:rPr>
                <w:sz w:val="24"/>
              </w:rPr>
              <w:t>加强设备维修保养，保证设备处于良好的运行状态。</w:t>
            </w:r>
          </w:p>
          <w:p w14:paraId="409ECCCF">
            <w:pPr>
              <w:spacing w:line="360" w:lineRule="auto"/>
              <w:ind w:firstLine="480"/>
              <w:rPr>
                <w:sz w:val="24"/>
              </w:rPr>
            </w:pPr>
            <w:r>
              <w:rPr>
                <w:sz w:val="24"/>
              </w:rPr>
              <w:fldChar w:fldCharType="begin"/>
            </w:r>
            <w:r>
              <w:rPr>
                <w:sz w:val="24"/>
              </w:rPr>
              <w:instrText xml:space="preserve"> = 3 \* GB3 </w:instrText>
            </w:r>
            <w:r>
              <w:rPr>
                <w:sz w:val="24"/>
              </w:rPr>
              <w:fldChar w:fldCharType="separate"/>
            </w:r>
            <w:r>
              <w:rPr>
                <w:rFonts w:hint="eastAsia" w:ascii="宋体" w:hAnsi="宋体" w:cs="宋体"/>
                <w:sz w:val="24"/>
              </w:rPr>
              <w:t>③</w:t>
            </w:r>
            <w:r>
              <w:rPr>
                <w:sz w:val="24"/>
              </w:rPr>
              <w:fldChar w:fldCharType="end"/>
            </w:r>
            <w:r>
              <w:rPr>
                <w:sz w:val="24"/>
              </w:rPr>
              <w:t>加强生产管理，生产时做到门窗关闭；</w:t>
            </w:r>
          </w:p>
          <w:p w14:paraId="2723F545">
            <w:pPr>
              <w:spacing w:line="360" w:lineRule="auto"/>
              <w:ind w:firstLine="480"/>
              <w:rPr>
                <w:sz w:val="24"/>
              </w:rPr>
            </w:pPr>
            <w:r>
              <w:rPr>
                <w:sz w:val="24"/>
              </w:rPr>
              <w:fldChar w:fldCharType="begin"/>
            </w:r>
            <w:r>
              <w:rPr>
                <w:sz w:val="24"/>
              </w:rPr>
              <w:instrText xml:space="preserve"> = 4 \* GB3 </w:instrText>
            </w:r>
            <w:r>
              <w:rPr>
                <w:sz w:val="24"/>
              </w:rPr>
              <w:fldChar w:fldCharType="separate"/>
            </w:r>
            <w:r>
              <w:rPr>
                <w:rFonts w:hint="eastAsia" w:ascii="宋体" w:hAnsi="宋体" w:cs="宋体"/>
                <w:sz w:val="24"/>
              </w:rPr>
              <w:t>④</w:t>
            </w:r>
            <w:r>
              <w:rPr>
                <w:sz w:val="24"/>
              </w:rPr>
              <w:fldChar w:fldCharType="end"/>
            </w:r>
            <w:r>
              <w:rPr>
                <w:sz w:val="24"/>
              </w:rPr>
              <w:t>加强车间周边及厂区的绿化。</w:t>
            </w:r>
          </w:p>
          <w:p w14:paraId="29852A44">
            <w:pPr>
              <w:spacing w:line="480" w:lineRule="exact"/>
              <w:ind w:firstLine="480" w:firstLineChars="200"/>
              <w:rPr>
                <w:sz w:val="24"/>
              </w:rPr>
            </w:pPr>
            <w:r>
              <w:rPr>
                <w:rFonts w:hint="eastAsia"/>
                <w:sz w:val="24"/>
              </w:rPr>
              <w:t>⑤</w:t>
            </w:r>
            <w:r>
              <w:rPr>
                <w:sz w:val="24"/>
              </w:rPr>
              <w:t>落实夜间不生产。</w:t>
            </w:r>
          </w:p>
          <w:p w14:paraId="29E1E02A">
            <w:pPr>
              <w:spacing w:line="480" w:lineRule="exact"/>
              <w:ind w:firstLine="480" w:firstLineChars="200"/>
              <w:rPr>
                <w:b/>
                <w:bCs/>
                <w:sz w:val="24"/>
              </w:rPr>
            </w:pPr>
            <w:r>
              <w:rPr>
                <w:b/>
                <w:bCs/>
                <w:sz w:val="24"/>
              </w:rPr>
              <w:t>4</w:t>
            </w:r>
            <w:r>
              <w:rPr>
                <w:rFonts w:hint="eastAsia"/>
                <w:b/>
                <w:bCs/>
                <w:sz w:val="24"/>
              </w:rPr>
              <w:t>、固体废弃物环境影响分析</w:t>
            </w:r>
          </w:p>
          <w:p w14:paraId="59617DC1">
            <w:pPr>
              <w:spacing w:line="480" w:lineRule="exact"/>
              <w:ind w:firstLine="480" w:firstLineChars="200"/>
              <w:rPr>
                <w:sz w:val="24"/>
              </w:rPr>
            </w:pPr>
            <w:r>
              <w:rPr>
                <w:rFonts w:hint="eastAsia"/>
                <w:sz w:val="24"/>
              </w:rPr>
              <w:t>项目运营期将产生生活垃圾、树皮、木材边角料及锯末颗粒等固体废弃物。</w:t>
            </w:r>
          </w:p>
          <w:p w14:paraId="61FC275A">
            <w:pPr>
              <w:spacing w:line="480" w:lineRule="exact"/>
              <w:ind w:firstLine="480" w:firstLineChars="200"/>
              <w:rPr>
                <w:bCs/>
                <w:sz w:val="24"/>
              </w:rPr>
            </w:pPr>
            <w:r>
              <w:rPr>
                <w:rFonts w:hint="eastAsia"/>
                <w:sz w:val="24"/>
                <w:lang w:val="en-GB"/>
              </w:rPr>
              <w:t>项目劳动定员</w:t>
            </w:r>
            <w:r>
              <w:rPr>
                <w:sz w:val="24"/>
                <w:lang w:val="en-GB"/>
              </w:rPr>
              <w:t>8</w:t>
            </w:r>
            <w:r>
              <w:rPr>
                <w:rFonts w:hint="eastAsia"/>
                <w:sz w:val="24"/>
                <w:lang w:val="en-GB"/>
              </w:rPr>
              <w:t>人，产生生活垃圾约</w:t>
            </w:r>
            <w:r>
              <w:rPr>
                <w:sz w:val="24"/>
                <w:lang w:val="en-GB"/>
              </w:rPr>
              <w:t>1.2t/a</w:t>
            </w:r>
            <w:r>
              <w:rPr>
                <w:rFonts w:hint="eastAsia"/>
                <w:sz w:val="24"/>
                <w:lang w:val="en-GB"/>
              </w:rPr>
              <w:t>，经塑料垃圾桶收集后，</w:t>
            </w:r>
            <w:r>
              <w:rPr>
                <w:bCs/>
                <w:sz w:val="24"/>
              </w:rPr>
              <w:t>定期交村委会统一</w:t>
            </w:r>
            <w:r>
              <w:rPr>
                <w:rFonts w:hint="eastAsia"/>
                <w:bCs/>
                <w:sz w:val="24"/>
              </w:rPr>
              <w:t>收集处理</w:t>
            </w:r>
            <w:r>
              <w:rPr>
                <w:bCs/>
                <w:sz w:val="24"/>
              </w:rPr>
              <w:t>。</w:t>
            </w:r>
          </w:p>
          <w:p w14:paraId="6174A937">
            <w:pPr>
              <w:spacing w:line="480" w:lineRule="exact"/>
              <w:ind w:firstLine="480" w:firstLineChars="200"/>
              <w:rPr>
                <w:sz w:val="24"/>
                <w:lang w:val="en-GB"/>
              </w:rPr>
            </w:pPr>
            <w:r>
              <w:rPr>
                <w:rFonts w:hint="eastAsia"/>
                <w:sz w:val="24"/>
                <w:szCs w:val="22"/>
              </w:rPr>
              <w:t>项目将产生大量树皮及木材边角料、废木屑，产生量约</w:t>
            </w:r>
            <w:r>
              <w:rPr>
                <w:sz w:val="24"/>
                <w:szCs w:val="22"/>
              </w:rPr>
              <w:t>563.82t/a</w:t>
            </w:r>
            <w:r>
              <w:rPr>
                <w:rFonts w:hint="eastAsia"/>
                <w:sz w:val="24"/>
                <w:szCs w:val="22"/>
              </w:rPr>
              <w:t>。经收集后</w:t>
            </w:r>
            <w:r>
              <w:rPr>
                <w:rFonts w:hint="eastAsia"/>
                <w:sz w:val="24"/>
                <w:lang w:val="en-GB"/>
              </w:rPr>
              <w:t>料堆码于项目一般固废堆场，定期外售。</w:t>
            </w:r>
          </w:p>
          <w:p w14:paraId="538C94F2">
            <w:pPr>
              <w:spacing w:line="480" w:lineRule="exact"/>
              <w:ind w:firstLine="480" w:firstLineChars="200"/>
              <w:rPr>
                <w:sz w:val="24"/>
                <w:lang w:val="en-GB"/>
              </w:rPr>
            </w:pPr>
            <w:r>
              <w:rPr>
                <w:rFonts w:hint="eastAsia"/>
                <w:sz w:val="24"/>
                <w:lang w:val="en-GB"/>
              </w:rPr>
              <w:t>项目在断料、锯料等工序，设备运行产生大量的锯末颗粒，经每日清洁清扫，收集至塑料袋中暂存于一般固废堆场，定期外售。</w:t>
            </w:r>
          </w:p>
          <w:p w14:paraId="18829CFF">
            <w:pPr>
              <w:spacing w:line="480" w:lineRule="exact"/>
              <w:ind w:firstLine="480" w:firstLineChars="200"/>
              <w:rPr>
                <w:sz w:val="24"/>
                <w:lang w:val="en-GB"/>
              </w:rPr>
            </w:pPr>
            <w:r>
              <w:rPr>
                <w:rFonts w:hint="eastAsia"/>
                <w:sz w:val="24"/>
                <w:lang w:val="en-GB"/>
              </w:rPr>
              <w:t>项目设备长期运行将产生少量锯片、螺栓等废零件，约</w:t>
            </w:r>
            <w:r>
              <w:rPr>
                <w:sz w:val="24"/>
                <w:lang w:val="en-GB"/>
              </w:rPr>
              <w:t>0.5 t/a</w:t>
            </w:r>
            <w:r>
              <w:rPr>
                <w:rFonts w:hint="eastAsia"/>
                <w:sz w:val="24"/>
                <w:lang w:val="en-GB"/>
              </w:rPr>
              <w:t>，经集中收集后储存于附属用房内，外卖废品回收站综合利用。</w:t>
            </w:r>
          </w:p>
          <w:p w14:paraId="65CD98F5">
            <w:pPr>
              <w:spacing w:line="480" w:lineRule="exact"/>
              <w:ind w:firstLine="480" w:firstLineChars="200"/>
              <w:rPr>
                <w:sz w:val="24"/>
              </w:rPr>
            </w:pPr>
            <w:r>
              <w:rPr>
                <w:rFonts w:hint="eastAsia"/>
                <w:sz w:val="24"/>
                <w:szCs w:val="22"/>
              </w:rPr>
              <w:t>项目固废均得到经济、合理的处置，不会造成二次污染。</w:t>
            </w:r>
          </w:p>
          <w:p w14:paraId="1B71E34C">
            <w:pPr>
              <w:pStyle w:val="11"/>
              <w:spacing w:after="0" w:line="360" w:lineRule="auto"/>
              <w:ind w:left="0" w:leftChars="0" w:firstLine="480" w:firstLineChars="200"/>
              <w:jc w:val="left"/>
              <w:rPr>
                <w:b/>
                <w:bCs/>
                <w:sz w:val="24"/>
              </w:rPr>
            </w:pPr>
            <w:r>
              <w:rPr>
                <w:b/>
                <w:bCs/>
                <w:sz w:val="24"/>
              </w:rPr>
              <w:t>5</w:t>
            </w:r>
            <w:r>
              <w:rPr>
                <w:rFonts w:hint="eastAsia"/>
                <w:b/>
                <w:bCs/>
                <w:sz w:val="24"/>
              </w:rPr>
              <w:t>、地下水环境影响分析</w:t>
            </w:r>
          </w:p>
          <w:p w14:paraId="554CC601">
            <w:pPr>
              <w:spacing w:line="480" w:lineRule="exact"/>
              <w:ind w:firstLine="480" w:firstLineChars="200"/>
              <w:rPr>
                <w:sz w:val="24"/>
              </w:rPr>
            </w:pPr>
            <w:r>
              <w:rPr>
                <w:sz w:val="24"/>
              </w:rPr>
              <w:fldChar w:fldCharType="begin"/>
            </w:r>
            <w:r>
              <w:rPr>
                <w:sz w:val="24"/>
              </w:rPr>
              <w:instrText xml:space="preserve">= 1 \* GB3</w:instrText>
            </w:r>
            <w:r>
              <w:rPr>
                <w:sz w:val="24"/>
              </w:rPr>
              <w:fldChar w:fldCharType="separate"/>
            </w:r>
            <w:r>
              <w:rPr>
                <w:rFonts w:hint="eastAsia" w:ascii="宋体" w:hAnsi="宋体" w:cs="宋体"/>
                <w:sz w:val="24"/>
              </w:rPr>
              <w:t>①</w:t>
            </w:r>
            <w:r>
              <w:rPr>
                <w:sz w:val="24"/>
              </w:rPr>
              <w:fldChar w:fldCharType="end"/>
            </w:r>
            <w:r>
              <w:rPr>
                <w:sz w:val="24"/>
              </w:rPr>
              <w:t>评价等级确认</w:t>
            </w:r>
          </w:p>
          <w:p w14:paraId="7D54F086">
            <w:pPr>
              <w:spacing w:line="480" w:lineRule="exact"/>
              <w:ind w:firstLine="480" w:firstLineChars="200"/>
              <w:rPr>
                <w:sz w:val="24"/>
              </w:rPr>
            </w:pPr>
            <w:r>
              <w:rPr>
                <w:sz w:val="24"/>
              </w:rPr>
              <w:t>根据《环境影响评价技术导则地下水环境》（HJ610-2016），建设项目地下水环境影响评价工作等级划分见下表。</w:t>
            </w:r>
          </w:p>
          <w:p w14:paraId="3E9C2E8E">
            <w:pPr>
              <w:pStyle w:val="11"/>
              <w:spacing w:line="480" w:lineRule="exact"/>
              <w:jc w:val="center"/>
              <w:rPr>
                <w:sz w:val="24"/>
                <w:szCs w:val="32"/>
              </w:rPr>
            </w:pPr>
            <w:r>
              <w:rPr>
                <w:sz w:val="24"/>
                <w:szCs w:val="32"/>
              </w:rPr>
              <w:t>表7-15 建设项目地下水评价工作等级划分表</w:t>
            </w:r>
          </w:p>
          <w:tbl>
            <w:tblPr>
              <w:tblStyle w:val="25"/>
              <w:tblW w:w="817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165"/>
              <w:gridCol w:w="1875"/>
              <w:gridCol w:w="1843"/>
              <w:gridCol w:w="2287"/>
            </w:tblGrid>
            <w:tr w14:paraId="24B5F7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 w:hRule="atLeast"/>
                <w:jc w:val="center"/>
              </w:trPr>
              <w:tc>
                <w:tcPr>
                  <w:tcW w:w="2165" w:type="dxa"/>
                  <w:tcBorders>
                    <w:top w:val="single" w:color="auto" w:sz="12" w:space="0"/>
                    <w:left w:val="single" w:color="auto" w:sz="12" w:space="0"/>
                    <w:bottom w:val="single" w:color="auto" w:sz="6" w:space="0"/>
                    <w:right w:val="single" w:color="auto" w:sz="6" w:space="0"/>
                    <w:tl2br w:val="single" w:color="auto" w:sz="6" w:space="0"/>
                  </w:tcBorders>
                </w:tcPr>
                <w:p w14:paraId="08B2CA64">
                  <w:pPr>
                    <w:jc w:val="right"/>
                  </w:pPr>
                  <w:r>
                    <w:t>项目类别</w:t>
                  </w:r>
                </w:p>
                <w:p w14:paraId="4E0B18C6">
                  <w:pPr>
                    <w:jc w:val="left"/>
                  </w:pPr>
                  <w:r>
                    <w:t>环境敏感程度</w:t>
                  </w:r>
                </w:p>
              </w:tc>
              <w:tc>
                <w:tcPr>
                  <w:tcW w:w="1875" w:type="dxa"/>
                  <w:tcBorders>
                    <w:top w:val="single" w:color="auto" w:sz="12" w:space="0"/>
                    <w:left w:val="single" w:color="auto" w:sz="6" w:space="0"/>
                    <w:bottom w:val="single" w:color="auto" w:sz="6" w:space="0"/>
                    <w:right w:val="single" w:color="auto" w:sz="6" w:space="0"/>
                  </w:tcBorders>
                  <w:vAlign w:val="center"/>
                </w:tcPr>
                <w:p w14:paraId="1AC2317C">
                  <w:pPr>
                    <w:jc w:val="center"/>
                  </w:pPr>
                  <w:r>
                    <w:t>I类项目</w:t>
                  </w:r>
                </w:p>
              </w:tc>
              <w:tc>
                <w:tcPr>
                  <w:tcW w:w="1843" w:type="dxa"/>
                  <w:tcBorders>
                    <w:top w:val="single" w:color="auto" w:sz="12" w:space="0"/>
                    <w:left w:val="single" w:color="auto" w:sz="6" w:space="0"/>
                    <w:bottom w:val="single" w:color="auto" w:sz="6" w:space="0"/>
                    <w:right w:val="single" w:color="auto" w:sz="6" w:space="0"/>
                  </w:tcBorders>
                  <w:vAlign w:val="center"/>
                </w:tcPr>
                <w:p w14:paraId="26F11573">
                  <w:pPr>
                    <w:jc w:val="center"/>
                  </w:pPr>
                  <w:r>
                    <w:t>Ⅱ类项目</w:t>
                  </w:r>
                </w:p>
              </w:tc>
              <w:tc>
                <w:tcPr>
                  <w:tcW w:w="2287" w:type="dxa"/>
                  <w:tcBorders>
                    <w:top w:val="single" w:color="auto" w:sz="12" w:space="0"/>
                    <w:left w:val="single" w:color="auto" w:sz="6" w:space="0"/>
                    <w:bottom w:val="single" w:color="auto" w:sz="6" w:space="0"/>
                    <w:right w:val="single" w:color="auto" w:sz="12" w:space="0"/>
                  </w:tcBorders>
                  <w:vAlign w:val="center"/>
                </w:tcPr>
                <w:p w14:paraId="09D0A77C">
                  <w:pPr>
                    <w:jc w:val="center"/>
                  </w:pPr>
                  <w:r>
                    <w:t>Ⅲ类项目</w:t>
                  </w:r>
                </w:p>
              </w:tc>
            </w:tr>
            <w:tr w14:paraId="3BD872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 w:hRule="atLeast"/>
                <w:jc w:val="center"/>
              </w:trPr>
              <w:tc>
                <w:tcPr>
                  <w:tcW w:w="2165" w:type="dxa"/>
                  <w:tcBorders>
                    <w:top w:val="single" w:color="auto" w:sz="6" w:space="0"/>
                    <w:left w:val="single" w:color="auto" w:sz="12" w:space="0"/>
                    <w:bottom w:val="single" w:color="auto" w:sz="6" w:space="0"/>
                    <w:right w:val="single" w:color="auto" w:sz="6" w:space="0"/>
                  </w:tcBorders>
                </w:tcPr>
                <w:p w14:paraId="73D90703">
                  <w:pPr>
                    <w:jc w:val="center"/>
                  </w:pPr>
                  <w:r>
                    <w:t>敏感</w:t>
                  </w:r>
                </w:p>
              </w:tc>
              <w:tc>
                <w:tcPr>
                  <w:tcW w:w="1875" w:type="dxa"/>
                  <w:tcBorders>
                    <w:top w:val="single" w:color="auto" w:sz="6" w:space="0"/>
                    <w:left w:val="single" w:color="auto" w:sz="6" w:space="0"/>
                    <w:bottom w:val="single" w:color="auto" w:sz="6" w:space="0"/>
                    <w:right w:val="single" w:color="auto" w:sz="6" w:space="0"/>
                  </w:tcBorders>
                </w:tcPr>
                <w:p w14:paraId="67EEF3BA">
                  <w:pPr>
                    <w:jc w:val="center"/>
                  </w:pPr>
                  <w:r>
                    <w:t>一</w:t>
                  </w:r>
                </w:p>
              </w:tc>
              <w:tc>
                <w:tcPr>
                  <w:tcW w:w="1843" w:type="dxa"/>
                  <w:tcBorders>
                    <w:top w:val="single" w:color="auto" w:sz="6" w:space="0"/>
                    <w:left w:val="single" w:color="auto" w:sz="6" w:space="0"/>
                    <w:bottom w:val="single" w:color="auto" w:sz="6" w:space="0"/>
                    <w:right w:val="single" w:color="auto" w:sz="6" w:space="0"/>
                  </w:tcBorders>
                </w:tcPr>
                <w:p w14:paraId="5509074D">
                  <w:pPr>
                    <w:jc w:val="center"/>
                  </w:pPr>
                  <w:r>
                    <w:t>一</w:t>
                  </w:r>
                </w:p>
              </w:tc>
              <w:tc>
                <w:tcPr>
                  <w:tcW w:w="2287" w:type="dxa"/>
                  <w:tcBorders>
                    <w:top w:val="single" w:color="auto" w:sz="6" w:space="0"/>
                    <w:left w:val="single" w:color="auto" w:sz="6" w:space="0"/>
                    <w:bottom w:val="single" w:color="auto" w:sz="6" w:space="0"/>
                    <w:right w:val="single" w:color="auto" w:sz="12" w:space="0"/>
                  </w:tcBorders>
                </w:tcPr>
                <w:p w14:paraId="566A01EB">
                  <w:pPr>
                    <w:jc w:val="center"/>
                  </w:pPr>
                  <w:r>
                    <w:t>二</w:t>
                  </w:r>
                </w:p>
              </w:tc>
            </w:tr>
            <w:tr w14:paraId="08362B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 w:hRule="atLeast"/>
                <w:jc w:val="center"/>
              </w:trPr>
              <w:tc>
                <w:tcPr>
                  <w:tcW w:w="2165" w:type="dxa"/>
                  <w:tcBorders>
                    <w:top w:val="single" w:color="auto" w:sz="6" w:space="0"/>
                    <w:left w:val="single" w:color="auto" w:sz="12" w:space="0"/>
                    <w:bottom w:val="single" w:color="auto" w:sz="6" w:space="0"/>
                    <w:right w:val="single" w:color="auto" w:sz="6" w:space="0"/>
                  </w:tcBorders>
                </w:tcPr>
                <w:p w14:paraId="79A4184D">
                  <w:pPr>
                    <w:jc w:val="center"/>
                  </w:pPr>
                  <w:r>
                    <w:t>较敏感</w:t>
                  </w:r>
                </w:p>
              </w:tc>
              <w:tc>
                <w:tcPr>
                  <w:tcW w:w="1875" w:type="dxa"/>
                  <w:tcBorders>
                    <w:top w:val="single" w:color="auto" w:sz="6" w:space="0"/>
                    <w:left w:val="single" w:color="auto" w:sz="6" w:space="0"/>
                    <w:bottom w:val="single" w:color="auto" w:sz="6" w:space="0"/>
                    <w:right w:val="single" w:color="auto" w:sz="6" w:space="0"/>
                  </w:tcBorders>
                </w:tcPr>
                <w:p w14:paraId="2745495F">
                  <w:pPr>
                    <w:jc w:val="center"/>
                  </w:pPr>
                  <w:r>
                    <w:t>一</w:t>
                  </w:r>
                </w:p>
              </w:tc>
              <w:tc>
                <w:tcPr>
                  <w:tcW w:w="1843" w:type="dxa"/>
                  <w:tcBorders>
                    <w:top w:val="single" w:color="auto" w:sz="6" w:space="0"/>
                    <w:left w:val="single" w:color="auto" w:sz="6" w:space="0"/>
                    <w:bottom w:val="single" w:color="auto" w:sz="6" w:space="0"/>
                    <w:right w:val="single" w:color="auto" w:sz="6" w:space="0"/>
                  </w:tcBorders>
                </w:tcPr>
                <w:p w14:paraId="281C7DAE">
                  <w:pPr>
                    <w:jc w:val="center"/>
                  </w:pPr>
                  <w:r>
                    <w:t>二</w:t>
                  </w:r>
                </w:p>
              </w:tc>
              <w:tc>
                <w:tcPr>
                  <w:tcW w:w="2287" w:type="dxa"/>
                  <w:tcBorders>
                    <w:top w:val="single" w:color="auto" w:sz="6" w:space="0"/>
                    <w:left w:val="single" w:color="auto" w:sz="6" w:space="0"/>
                    <w:bottom w:val="single" w:color="auto" w:sz="6" w:space="0"/>
                    <w:right w:val="single" w:color="auto" w:sz="12" w:space="0"/>
                  </w:tcBorders>
                </w:tcPr>
                <w:p w14:paraId="680E5094">
                  <w:pPr>
                    <w:jc w:val="center"/>
                  </w:pPr>
                  <w:r>
                    <w:t>三</w:t>
                  </w:r>
                </w:p>
              </w:tc>
            </w:tr>
            <w:tr w14:paraId="72FA34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 w:hRule="atLeast"/>
                <w:jc w:val="center"/>
              </w:trPr>
              <w:tc>
                <w:tcPr>
                  <w:tcW w:w="2165" w:type="dxa"/>
                  <w:tcBorders>
                    <w:top w:val="single" w:color="auto" w:sz="6" w:space="0"/>
                    <w:left w:val="single" w:color="auto" w:sz="12" w:space="0"/>
                    <w:bottom w:val="single" w:color="auto" w:sz="12" w:space="0"/>
                    <w:right w:val="single" w:color="auto" w:sz="6" w:space="0"/>
                  </w:tcBorders>
                </w:tcPr>
                <w:p w14:paraId="213C8411">
                  <w:pPr>
                    <w:jc w:val="center"/>
                  </w:pPr>
                  <w:r>
                    <w:t>不敏感</w:t>
                  </w:r>
                </w:p>
              </w:tc>
              <w:tc>
                <w:tcPr>
                  <w:tcW w:w="1875" w:type="dxa"/>
                  <w:tcBorders>
                    <w:top w:val="single" w:color="auto" w:sz="6" w:space="0"/>
                    <w:left w:val="single" w:color="auto" w:sz="6" w:space="0"/>
                    <w:bottom w:val="single" w:color="auto" w:sz="12" w:space="0"/>
                    <w:right w:val="single" w:color="auto" w:sz="6" w:space="0"/>
                  </w:tcBorders>
                </w:tcPr>
                <w:p w14:paraId="29A3330E">
                  <w:pPr>
                    <w:jc w:val="center"/>
                  </w:pPr>
                  <w:r>
                    <w:t>二</w:t>
                  </w:r>
                </w:p>
              </w:tc>
              <w:tc>
                <w:tcPr>
                  <w:tcW w:w="1843" w:type="dxa"/>
                  <w:tcBorders>
                    <w:top w:val="single" w:color="auto" w:sz="6" w:space="0"/>
                    <w:left w:val="single" w:color="auto" w:sz="6" w:space="0"/>
                    <w:bottom w:val="single" w:color="auto" w:sz="12" w:space="0"/>
                    <w:right w:val="single" w:color="auto" w:sz="6" w:space="0"/>
                  </w:tcBorders>
                </w:tcPr>
                <w:p w14:paraId="74EA605F">
                  <w:pPr>
                    <w:jc w:val="center"/>
                  </w:pPr>
                  <w:r>
                    <w:t>三</w:t>
                  </w:r>
                </w:p>
              </w:tc>
              <w:tc>
                <w:tcPr>
                  <w:tcW w:w="2287" w:type="dxa"/>
                  <w:tcBorders>
                    <w:top w:val="single" w:color="auto" w:sz="6" w:space="0"/>
                    <w:left w:val="single" w:color="auto" w:sz="6" w:space="0"/>
                    <w:bottom w:val="single" w:color="auto" w:sz="12" w:space="0"/>
                    <w:right w:val="single" w:color="auto" w:sz="12" w:space="0"/>
                  </w:tcBorders>
                </w:tcPr>
                <w:p w14:paraId="5E8016DE">
                  <w:pPr>
                    <w:jc w:val="center"/>
                  </w:pPr>
                  <w:r>
                    <w:t>三</w:t>
                  </w:r>
                </w:p>
              </w:tc>
            </w:tr>
          </w:tbl>
          <w:p w14:paraId="03B5CFF6">
            <w:pPr>
              <w:pStyle w:val="11"/>
              <w:spacing w:line="480" w:lineRule="exact"/>
              <w:jc w:val="center"/>
              <w:rPr>
                <w:sz w:val="24"/>
                <w:szCs w:val="32"/>
              </w:rPr>
            </w:pPr>
            <w:r>
              <w:rPr>
                <w:sz w:val="24"/>
                <w:szCs w:val="32"/>
              </w:rPr>
              <w:t>表7-16 建设项目的地下水环境敏感程度分级表</w:t>
            </w:r>
          </w:p>
          <w:tbl>
            <w:tblPr>
              <w:tblStyle w:val="25"/>
              <w:tblW w:w="819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77"/>
              <w:gridCol w:w="7017"/>
            </w:tblGrid>
            <w:tr w14:paraId="61E763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 w:hRule="atLeast"/>
                <w:tblHeader/>
                <w:jc w:val="center"/>
              </w:trPr>
              <w:tc>
                <w:tcPr>
                  <w:tcW w:w="1177" w:type="dxa"/>
                  <w:tcBorders>
                    <w:top w:val="single" w:color="auto" w:sz="12" w:space="0"/>
                    <w:left w:val="single" w:color="auto" w:sz="12" w:space="0"/>
                    <w:bottom w:val="single" w:color="auto" w:sz="6" w:space="0"/>
                    <w:right w:val="single" w:color="auto" w:sz="6" w:space="0"/>
                  </w:tcBorders>
                  <w:vAlign w:val="center"/>
                </w:tcPr>
                <w:p w14:paraId="70F7BD3F">
                  <w:pPr>
                    <w:pStyle w:val="60"/>
                    <w:framePr w:hSpace="0" w:wrap="auto" w:vAnchor="margin" w:hAnchor="text" w:yAlign="inline"/>
                    <w:jc w:val="both"/>
                    <w:rPr>
                      <w:b w:val="0"/>
                      <w:snapToGrid w:val="0"/>
                      <w:sz w:val="21"/>
                    </w:rPr>
                  </w:pPr>
                  <w:r>
                    <w:rPr>
                      <w:b w:val="0"/>
                      <w:snapToGrid w:val="0"/>
                      <w:sz w:val="21"/>
                    </w:rPr>
                    <w:t>敏感程度</w:t>
                  </w:r>
                </w:p>
              </w:tc>
              <w:tc>
                <w:tcPr>
                  <w:tcW w:w="7017" w:type="dxa"/>
                  <w:tcBorders>
                    <w:top w:val="single" w:color="auto" w:sz="12" w:space="0"/>
                    <w:left w:val="single" w:color="auto" w:sz="6" w:space="0"/>
                    <w:bottom w:val="single" w:color="auto" w:sz="6" w:space="0"/>
                    <w:right w:val="single" w:color="auto" w:sz="12" w:space="0"/>
                  </w:tcBorders>
                  <w:vAlign w:val="center"/>
                </w:tcPr>
                <w:p w14:paraId="6B241285">
                  <w:pPr>
                    <w:pStyle w:val="60"/>
                    <w:framePr w:hSpace="0" w:wrap="auto" w:vAnchor="margin" w:hAnchor="text" w:yAlign="inline"/>
                    <w:ind w:firstLine="420"/>
                    <w:rPr>
                      <w:b w:val="0"/>
                      <w:snapToGrid w:val="0"/>
                      <w:sz w:val="21"/>
                    </w:rPr>
                  </w:pPr>
                  <w:r>
                    <w:rPr>
                      <w:b w:val="0"/>
                      <w:snapToGrid w:val="0"/>
                      <w:sz w:val="21"/>
                    </w:rPr>
                    <w:t>地下水环境敏感特征</w:t>
                  </w:r>
                </w:p>
              </w:tc>
            </w:tr>
            <w:tr w14:paraId="6D16E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177" w:type="dxa"/>
                  <w:tcBorders>
                    <w:top w:val="single" w:color="auto" w:sz="6" w:space="0"/>
                    <w:left w:val="single" w:color="auto" w:sz="12" w:space="0"/>
                    <w:bottom w:val="single" w:color="auto" w:sz="6" w:space="0"/>
                    <w:right w:val="single" w:color="auto" w:sz="6" w:space="0"/>
                  </w:tcBorders>
                  <w:vAlign w:val="center"/>
                </w:tcPr>
                <w:p w14:paraId="04D6FCCC">
                  <w:pPr>
                    <w:pStyle w:val="139"/>
                    <w:rPr>
                      <w:snapToGrid w:val="0"/>
                      <w:kern w:val="2"/>
                      <w:szCs w:val="24"/>
                    </w:rPr>
                  </w:pPr>
                  <w:r>
                    <w:rPr>
                      <w:snapToGrid w:val="0"/>
                      <w:kern w:val="2"/>
                      <w:szCs w:val="24"/>
                    </w:rPr>
                    <w:t>敏感</w:t>
                  </w:r>
                </w:p>
              </w:tc>
              <w:tc>
                <w:tcPr>
                  <w:tcW w:w="7017" w:type="dxa"/>
                  <w:tcBorders>
                    <w:top w:val="single" w:color="auto" w:sz="6" w:space="0"/>
                    <w:left w:val="single" w:color="auto" w:sz="6" w:space="0"/>
                    <w:bottom w:val="single" w:color="auto" w:sz="6" w:space="0"/>
                    <w:right w:val="single" w:color="auto" w:sz="12" w:space="0"/>
                  </w:tcBorders>
                  <w:vAlign w:val="center"/>
                </w:tcPr>
                <w:p w14:paraId="46ACC539">
                  <w:pPr>
                    <w:pStyle w:val="139"/>
                    <w:ind w:firstLine="420"/>
                    <w:jc w:val="left"/>
                    <w:rPr>
                      <w:snapToGrid w:val="0"/>
                      <w:kern w:val="2"/>
                      <w:szCs w:val="24"/>
                    </w:rPr>
                  </w:pPr>
                  <w:r>
                    <w:rPr>
                      <w:snapToGrid w:val="0"/>
                      <w:kern w:val="2"/>
                      <w:szCs w:val="24"/>
                    </w:rPr>
                    <w:t>集中式饮用水水源（包括已建成的在用、备用、应急水源，在建和规划的饮用水水源）准保护区；除集中式饮用水水源以外的国家或地方政府设定的与地下水环境相关的其他保护区，如热水、矿泉水、温泉等特殊地下水资源保护区。</w:t>
                  </w:r>
                </w:p>
              </w:tc>
            </w:tr>
            <w:tr w14:paraId="23D3F4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177" w:type="dxa"/>
                  <w:tcBorders>
                    <w:top w:val="single" w:color="auto" w:sz="6" w:space="0"/>
                    <w:left w:val="single" w:color="auto" w:sz="12" w:space="0"/>
                    <w:bottom w:val="single" w:color="auto" w:sz="6" w:space="0"/>
                    <w:right w:val="single" w:color="auto" w:sz="6" w:space="0"/>
                  </w:tcBorders>
                  <w:shd w:val="clear" w:color="auto" w:fill="auto"/>
                  <w:vAlign w:val="center"/>
                </w:tcPr>
                <w:p w14:paraId="23C899B1">
                  <w:pPr>
                    <w:pStyle w:val="139"/>
                    <w:rPr>
                      <w:snapToGrid w:val="0"/>
                      <w:kern w:val="2"/>
                      <w:szCs w:val="24"/>
                    </w:rPr>
                  </w:pPr>
                  <w:r>
                    <w:rPr>
                      <w:snapToGrid w:val="0"/>
                      <w:kern w:val="2"/>
                      <w:szCs w:val="24"/>
                    </w:rPr>
                    <w:t>较敏感</w:t>
                  </w:r>
                </w:p>
              </w:tc>
              <w:tc>
                <w:tcPr>
                  <w:tcW w:w="7017" w:type="dxa"/>
                  <w:tcBorders>
                    <w:top w:val="single" w:color="auto" w:sz="6" w:space="0"/>
                    <w:left w:val="single" w:color="auto" w:sz="6" w:space="0"/>
                    <w:bottom w:val="single" w:color="auto" w:sz="6" w:space="0"/>
                    <w:right w:val="single" w:color="auto" w:sz="12" w:space="0"/>
                  </w:tcBorders>
                  <w:shd w:val="clear" w:color="auto" w:fill="auto"/>
                  <w:vAlign w:val="center"/>
                </w:tcPr>
                <w:p w14:paraId="61BCD212">
                  <w:pPr>
                    <w:pStyle w:val="139"/>
                    <w:ind w:firstLine="420"/>
                    <w:jc w:val="left"/>
                    <w:rPr>
                      <w:snapToGrid w:val="0"/>
                      <w:kern w:val="2"/>
                      <w:szCs w:val="24"/>
                    </w:rPr>
                  </w:pPr>
                  <w:r>
                    <w:rPr>
                      <w:snapToGrid w:val="0"/>
                      <w:kern w:val="2"/>
                      <w:szCs w:val="24"/>
                    </w:rPr>
                    <w:t>集中式饮用水水源（包括已建成的在用、备用、应急水源，在建和规划的饮用水水源）准保护区以外的补给径流区；未划定准保护区的集中水式饮用水水源，其保护区以外的补给径流区；分散式饮用水水源地；特殊地下水资源（如矿泉水、温泉等）保护区以外的分布区等其他未列入上述敏感分级的环境敏感区a。</w:t>
                  </w:r>
                </w:p>
              </w:tc>
            </w:tr>
            <w:tr w14:paraId="6AB034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177" w:type="dxa"/>
                  <w:tcBorders>
                    <w:top w:val="single" w:color="auto" w:sz="6" w:space="0"/>
                    <w:left w:val="single" w:color="auto" w:sz="12" w:space="0"/>
                    <w:bottom w:val="single" w:color="auto" w:sz="12" w:space="0"/>
                    <w:right w:val="single" w:color="auto" w:sz="6" w:space="0"/>
                  </w:tcBorders>
                  <w:shd w:val="clear" w:color="auto" w:fill="D0CECE"/>
                  <w:vAlign w:val="center"/>
                </w:tcPr>
                <w:p w14:paraId="154F0550">
                  <w:pPr>
                    <w:pStyle w:val="139"/>
                    <w:rPr>
                      <w:snapToGrid w:val="0"/>
                      <w:kern w:val="2"/>
                      <w:szCs w:val="24"/>
                    </w:rPr>
                  </w:pPr>
                  <w:r>
                    <w:rPr>
                      <w:snapToGrid w:val="0"/>
                      <w:kern w:val="2"/>
                      <w:szCs w:val="24"/>
                    </w:rPr>
                    <w:t>不敏感</w:t>
                  </w:r>
                </w:p>
              </w:tc>
              <w:tc>
                <w:tcPr>
                  <w:tcW w:w="7017" w:type="dxa"/>
                  <w:tcBorders>
                    <w:top w:val="single" w:color="auto" w:sz="6" w:space="0"/>
                    <w:left w:val="single" w:color="auto" w:sz="6" w:space="0"/>
                    <w:bottom w:val="single" w:color="auto" w:sz="12" w:space="0"/>
                    <w:right w:val="single" w:color="auto" w:sz="12" w:space="0"/>
                  </w:tcBorders>
                  <w:shd w:val="clear" w:color="auto" w:fill="D0CECE"/>
                  <w:vAlign w:val="center"/>
                </w:tcPr>
                <w:p w14:paraId="138B8669">
                  <w:pPr>
                    <w:pStyle w:val="139"/>
                    <w:ind w:firstLine="420"/>
                    <w:rPr>
                      <w:snapToGrid w:val="0"/>
                      <w:kern w:val="2"/>
                      <w:szCs w:val="24"/>
                    </w:rPr>
                  </w:pPr>
                  <w:r>
                    <w:rPr>
                      <w:snapToGrid w:val="0"/>
                      <w:kern w:val="2"/>
                      <w:szCs w:val="24"/>
                    </w:rPr>
                    <w:t>上述地区之外的其他地区。</w:t>
                  </w:r>
                </w:p>
              </w:tc>
            </w:tr>
          </w:tbl>
          <w:p w14:paraId="04D7071F">
            <w:pPr>
              <w:ind w:firstLine="420"/>
            </w:pPr>
            <w:r>
              <w:rPr>
                <w:b/>
              </w:rPr>
              <w:t>注</w:t>
            </w:r>
            <w:r>
              <w:t>：a“环境敏感区”是指《建设项目环境影响评价分类管理名录》中所界定的涉及地下水的环境敏感区。</w:t>
            </w:r>
          </w:p>
          <w:p w14:paraId="4838F07A">
            <w:pPr>
              <w:spacing w:line="360" w:lineRule="auto"/>
              <w:ind w:firstLine="480" w:firstLineChars="200"/>
              <w:rPr>
                <w:sz w:val="24"/>
              </w:rPr>
            </w:pPr>
            <w:r>
              <w:rPr>
                <w:sz w:val="24"/>
              </w:rPr>
              <w:t>根据建设项目对地下水环境影响的程度，结合《建设项目环境影响评价分类管理目录》。根据附录A中地下水环境影响评价行业分类表，本项目属于“N轻工 109、锯材、木片加工、家具制造”应编制报告表，属于Ⅳ类项目</w:t>
            </w:r>
            <w:r>
              <w:rPr>
                <w:rFonts w:hint="eastAsia"/>
                <w:sz w:val="24"/>
              </w:rPr>
              <w:t>。</w:t>
            </w:r>
          </w:p>
          <w:p w14:paraId="4B6E4559">
            <w:pPr>
              <w:spacing w:line="480" w:lineRule="exact"/>
              <w:ind w:firstLine="480" w:firstLineChars="200"/>
              <w:rPr>
                <w:sz w:val="24"/>
              </w:rPr>
            </w:pPr>
            <w:r>
              <w:rPr>
                <w:sz w:val="24"/>
              </w:rPr>
              <w:fldChar w:fldCharType="begin"/>
            </w:r>
            <w:r>
              <w:rPr>
                <w:sz w:val="24"/>
              </w:rPr>
              <w:instrText xml:space="preserve">= 2 \* GB3</w:instrText>
            </w:r>
            <w:r>
              <w:rPr>
                <w:sz w:val="24"/>
              </w:rPr>
              <w:fldChar w:fldCharType="separate"/>
            </w:r>
            <w:r>
              <w:rPr>
                <w:rFonts w:hint="eastAsia" w:ascii="宋体" w:hAnsi="宋体" w:cs="宋体"/>
                <w:sz w:val="24"/>
              </w:rPr>
              <w:t>②</w:t>
            </w:r>
            <w:r>
              <w:rPr>
                <w:sz w:val="24"/>
              </w:rPr>
              <w:fldChar w:fldCharType="end"/>
            </w:r>
            <w:r>
              <w:rPr>
                <w:sz w:val="24"/>
              </w:rPr>
              <w:t>评价分析</w:t>
            </w:r>
          </w:p>
          <w:p w14:paraId="606736AE">
            <w:pPr>
              <w:tabs>
                <w:tab w:val="left" w:pos="5670"/>
              </w:tabs>
              <w:spacing w:line="480" w:lineRule="exact"/>
              <w:ind w:firstLine="480" w:firstLineChars="200"/>
              <w:rPr>
                <w:sz w:val="24"/>
              </w:rPr>
            </w:pPr>
            <w:r>
              <w:rPr>
                <w:sz w:val="24"/>
              </w:rPr>
              <w:t>根据《环境影响评价技术导则地下水环境》（HJ610-2016）4总则中</w:t>
            </w:r>
            <w:r>
              <w:rPr>
                <w:rFonts w:hint="eastAsia"/>
                <w:sz w:val="24"/>
              </w:rPr>
              <w:t>“</w:t>
            </w:r>
            <w:r>
              <w:rPr>
                <w:sz w:val="24"/>
              </w:rPr>
              <w:t>4.1一般性原则根据建设项目对地下水环境影响的程度，结合《建设项目环境影响评价分类管理名录》，将建设项目分为四类，详见附录A。</w:t>
            </w:r>
            <w:r>
              <w:rPr>
                <w:sz w:val="24"/>
              </w:rPr>
              <w:fldChar w:fldCharType="begin"/>
            </w:r>
            <w:r>
              <w:rPr>
                <w:sz w:val="24"/>
              </w:rPr>
              <w:instrText xml:space="preserve">= 1 \* ROMAN</w:instrText>
            </w:r>
            <w:r>
              <w:rPr>
                <w:sz w:val="24"/>
              </w:rPr>
              <w:fldChar w:fldCharType="separate"/>
            </w:r>
            <w:r>
              <w:rPr>
                <w:sz w:val="24"/>
              </w:rPr>
              <w:t>I</w:t>
            </w:r>
            <w:r>
              <w:rPr>
                <w:sz w:val="24"/>
              </w:rPr>
              <w:fldChar w:fldCharType="end"/>
            </w:r>
            <w:r>
              <w:rPr>
                <w:sz w:val="24"/>
              </w:rPr>
              <w:t>类、</w:t>
            </w:r>
            <w:r>
              <w:rPr>
                <w:sz w:val="24"/>
              </w:rPr>
              <w:fldChar w:fldCharType="begin"/>
            </w:r>
            <w:r>
              <w:rPr>
                <w:sz w:val="24"/>
              </w:rPr>
              <w:instrText xml:space="preserve">= 2 \* ROMAN</w:instrText>
            </w:r>
            <w:r>
              <w:rPr>
                <w:sz w:val="24"/>
              </w:rPr>
              <w:fldChar w:fldCharType="separate"/>
            </w:r>
            <w:r>
              <w:rPr>
                <w:sz w:val="24"/>
              </w:rPr>
              <w:t>II</w:t>
            </w:r>
            <w:r>
              <w:rPr>
                <w:sz w:val="24"/>
              </w:rPr>
              <w:fldChar w:fldCharType="end"/>
            </w:r>
            <w:r>
              <w:rPr>
                <w:sz w:val="24"/>
              </w:rPr>
              <w:t>类、</w:t>
            </w:r>
            <w:r>
              <w:rPr>
                <w:sz w:val="24"/>
              </w:rPr>
              <w:fldChar w:fldCharType="begin"/>
            </w:r>
            <w:r>
              <w:rPr>
                <w:sz w:val="24"/>
              </w:rPr>
              <w:instrText xml:space="preserve">= 3 \* ROMAN</w:instrText>
            </w:r>
            <w:r>
              <w:rPr>
                <w:sz w:val="24"/>
              </w:rPr>
              <w:fldChar w:fldCharType="separate"/>
            </w:r>
            <w:r>
              <w:rPr>
                <w:rFonts w:hint="eastAsia"/>
                <w:sz w:val="24"/>
                <w:lang w:eastAsia="zh-CN"/>
              </w:rPr>
              <w:t>Ⅲ</w:t>
            </w:r>
            <w:r>
              <w:rPr>
                <w:sz w:val="24"/>
              </w:rPr>
              <w:fldChar w:fldCharType="end"/>
            </w:r>
            <w:r>
              <w:rPr>
                <w:sz w:val="24"/>
              </w:rPr>
              <w:t>类建设项目的地下水环境影响评价应执行本标准，</w:t>
            </w:r>
            <w:r>
              <w:rPr>
                <w:b/>
                <w:sz w:val="24"/>
              </w:rPr>
              <w:t>类建设项目不开展地下水环境影响评价</w:t>
            </w:r>
            <w:r>
              <w:rPr>
                <w:rFonts w:hint="eastAsia"/>
                <w:sz w:val="24"/>
              </w:rPr>
              <w:t>”</w:t>
            </w:r>
            <w:r>
              <w:rPr>
                <w:sz w:val="24"/>
              </w:rPr>
              <w:t>。</w:t>
            </w:r>
          </w:p>
          <w:p w14:paraId="5CA40525">
            <w:pPr>
              <w:spacing w:line="360" w:lineRule="auto"/>
              <w:ind w:firstLine="480" w:firstLineChars="200"/>
              <w:rPr>
                <w:sz w:val="24"/>
              </w:rPr>
            </w:pPr>
            <w:r>
              <w:rPr>
                <w:sz w:val="24"/>
              </w:rPr>
              <w:t>故，根据《地下水环境影响评价技术导则（HJ 610-2016）》导则要求，本次不开展地下水环境影响评价。</w:t>
            </w:r>
          </w:p>
          <w:p w14:paraId="03B2B9E0">
            <w:pPr>
              <w:spacing w:line="360" w:lineRule="auto"/>
              <w:ind w:firstLine="480" w:firstLineChars="200"/>
              <w:rPr>
                <w:sz w:val="24"/>
              </w:rPr>
            </w:pPr>
            <w:r>
              <w:rPr>
                <w:rFonts w:hint="eastAsia"/>
                <w:sz w:val="24"/>
              </w:rPr>
              <w:t>同时，由于本项目不取用地下水，也不向地下注水和排水。本项目生活污水依托现有污水预处理池处理达标后农肥处理，项目正常情况下不会对地下水造成污染。</w:t>
            </w:r>
          </w:p>
          <w:p w14:paraId="7A917F8B">
            <w:pPr>
              <w:snapToGrid w:val="0"/>
              <w:spacing w:line="360" w:lineRule="auto"/>
              <w:ind w:firstLine="480" w:firstLineChars="200"/>
              <w:rPr>
                <w:rFonts w:ascii="宋体"/>
                <w:sz w:val="24"/>
              </w:rPr>
            </w:pPr>
            <w:r>
              <w:rPr>
                <w:rFonts w:hint="eastAsia"/>
                <w:sz w:val="24"/>
              </w:rPr>
              <w:t>环评要求：建设单位在生产车间机械设备区域等进行防渗处理，落实雨污分流。</w:t>
            </w:r>
            <w:r>
              <w:rPr>
                <w:rFonts w:hint="eastAsia" w:ascii="宋体" w:hAnsi="宋体"/>
                <w:sz w:val="24"/>
              </w:rPr>
              <w:t>为防止本项目产生的污水下渗对地下水造成污染，环评要求对厂区采取分区防渗措施。</w:t>
            </w:r>
          </w:p>
          <w:p w14:paraId="3AD6E80A">
            <w:pPr>
              <w:snapToGrid w:val="0"/>
              <w:spacing w:line="360" w:lineRule="auto"/>
              <w:ind w:firstLine="480" w:firstLineChars="200"/>
              <w:rPr>
                <w:rFonts w:ascii="Calibri" w:hAnsi="Calibri"/>
                <w:sz w:val="24"/>
              </w:rPr>
            </w:pPr>
            <w:r>
              <w:rPr>
                <w:rFonts w:hint="eastAsia" w:ascii="Calibri" w:hAnsi="Calibri"/>
                <w:sz w:val="24"/>
                <w:lang w:eastAsia="zh-CN"/>
              </w:rPr>
              <w:t>（</w:t>
            </w:r>
            <w:r>
              <w:rPr>
                <w:rFonts w:ascii="Calibri" w:hAnsi="Calibri"/>
                <w:sz w:val="24"/>
              </w:rPr>
              <w:t>1</w:t>
            </w:r>
            <w:r>
              <w:rPr>
                <w:rFonts w:hint="eastAsia" w:ascii="Calibri" w:hAnsi="Calibri"/>
                <w:sz w:val="24"/>
                <w:lang w:eastAsia="zh-CN"/>
              </w:rPr>
              <w:t>）</w:t>
            </w:r>
            <w:r>
              <w:rPr>
                <w:rFonts w:hint="eastAsia" w:ascii="Calibri" w:hAnsi="Calibri"/>
                <w:sz w:val="24"/>
              </w:rPr>
              <w:t>污染防治分区</w:t>
            </w:r>
          </w:p>
          <w:p w14:paraId="61909AE0">
            <w:pPr>
              <w:snapToGrid w:val="0"/>
              <w:spacing w:line="360" w:lineRule="auto"/>
              <w:ind w:firstLine="480" w:firstLineChars="200"/>
              <w:rPr>
                <w:rFonts w:ascii="Calibri" w:hAnsi="Calibri"/>
                <w:sz w:val="24"/>
              </w:rPr>
            </w:pPr>
            <w:r>
              <w:rPr>
                <w:rFonts w:hint="eastAsia" w:ascii="Calibri" w:hAnsi="Calibri"/>
                <w:sz w:val="24"/>
              </w:rPr>
              <w:t>根据物料或者污染物泄漏的途径和生产功能单元所处的位置，厂区可划分为非污染防治区、一般污染防治区和重点污染防治区。</w:t>
            </w:r>
          </w:p>
          <w:p w14:paraId="03927C03">
            <w:pPr>
              <w:snapToGrid w:val="0"/>
              <w:spacing w:line="360" w:lineRule="auto"/>
              <w:ind w:firstLine="480" w:firstLineChars="200"/>
              <w:rPr>
                <w:rFonts w:ascii="Calibri" w:hAnsi="Calibri"/>
                <w:sz w:val="24"/>
              </w:rPr>
            </w:pPr>
            <w:r>
              <w:rPr>
                <w:rFonts w:hint="eastAsia" w:ascii="Calibri" w:hAnsi="Calibri"/>
                <w:sz w:val="24"/>
              </w:rPr>
              <w:t>非污染防治区：没有物料或污染物泄漏，不会对地下水环境造成污染的区域或部位。</w:t>
            </w:r>
          </w:p>
          <w:p w14:paraId="25AC4380">
            <w:pPr>
              <w:snapToGrid w:val="0"/>
              <w:spacing w:line="360" w:lineRule="auto"/>
              <w:ind w:firstLine="480" w:firstLineChars="200"/>
              <w:rPr>
                <w:rFonts w:ascii="Calibri" w:hAnsi="Calibri"/>
                <w:sz w:val="24"/>
              </w:rPr>
            </w:pPr>
            <w:r>
              <w:rPr>
                <w:rFonts w:hint="eastAsia" w:ascii="Calibri" w:hAnsi="Calibri"/>
                <w:sz w:val="24"/>
              </w:rPr>
              <w:t>一般污染控制区：裸露于地面的生产功能单元，污染地下水环境的物料或污染物泄漏后，可及时发现和处理的区域或部位。</w:t>
            </w:r>
          </w:p>
          <w:p w14:paraId="5CA6591E">
            <w:pPr>
              <w:snapToGrid w:val="0"/>
              <w:spacing w:line="360" w:lineRule="auto"/>
              <w:ind w:firstLine="480" w:firstLineChars="200"/>
              <w:rPr>
                <w:rFonts w:ascii="Calibri" w:hAnsi="Calibri"/>
                <w:sz w:val="24"/>
              </w:rPr>
            </w:pPr>
            <w:r>
              <w:rPr>
                <w:rFonts w:hint="eastAsia" w:ascii="Calibri" w:hAnsi="Calibri"/>
                <w:sz w:val="24"/>
              </w:rPr>
              <w:t>重点污染控制区：位于地下或半地下的生产功能单元，污染地下水环境的物料或污染物泄漏后，不易及时发现和处理的区域或部位。</w:t>
            </w:r>
          </w:p>
          <w:p w14:paraId="74B5C902">
            <w:pPr>
              <w:snapToGrid w:val="0"/>
              <w:spacing w:line="360" w:lineRule="auto"/>
              <w:ind w:firstLine="480" w:firstLineChars="200"/>
              <w:rPr>
                <w:rFonts w:ascii="宋体"/>
                <w:sz w:val="24"/>
              </w:rPr>
            </w:pPr>
            <w:r>
              <w:rPr>
                <w:rFonts w:hint="eastAsia" w:ascii="宋体" w:hAnsi="宋体"/>
                <w:sz w:val="24"/>
              </w:rPr>
              <w:t>本项目污染防治分区见表</w:t>
            </w:r>
            <w:r>
              <w:rPr>
                <w:rFonts w:ascii="宋体" w:hAnsi="宋体"/>
                <w:sz w:val="24"/>
              </w:rPr>
              <w:t>7-17</w:t>
            </w:r>
            <w:r>
              <w:rPr>
                <w:rFonts w:hint="eastAsia" w:ascii="宋体" w:hAnsi="宋体"/>
                <w:sz w:val="24"/>
              </w:rPr>
              <w:t>。</w:t>
            </w:r>
          </w:p>
          <w:p w14:paraId="7CED4E41">
            <w:pPr>
              <w:snapToGrid w:val="0"/>
              <w:spacing w:line="360" w:lineRule="auto"/>
              <w:jc w:val="center"/>
              <w:rPr>
                <w:rFonts w:ascii="黑体" w:hAnsi="黑体" w:eastAsia="黑体" w:cs="仿宋_GB2312"/>
                <w:sz w:val="24"/>
              </w:rPr>
            </w:pPr>
            <w:r>
              <w:rPr>
                <w:rFonts w:hint="eastAsia" w:ascii="黑体" w:hAnsi="黑体" w:eastAsia="黑体" w:cs="仿宋_GB2312"/>
                <w:sz w:val="24"/>
              </w:rPr>
              <w:t>表</w:t>
            </w:r>
            <w:r>
              <w:rPr>
                <w:rFonts w:ascii="黑体" w:hAnsi="黑体" w:eastAsia="黑体" w:cs="仿宋_GB2312"/>
                <w:sz w:val="24"/>
              </w:rPr>
              <w:t xml:space="preserve">7-17 </w:t>
            </w:r>
            <w:r>
              <w:rPr>
                <w:rFonts w:hint="eastAsia" w:ascii="黑体" w:hAnsi="黑体" w:eastAsia="黑体" w:cs="仿宋_GB2312"/>
                <w:sz w:val="24"/>
              </w:rPr>
              <w:t>本项目污染防治分区一览表</w:t>
            </w:r>
          </w:p>
          <w:tbl>
            <w:tblPr>
              <w:tblStyle w:val="25"/>
              <w:tblW w:w="8503"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1957"/>
              <w:gridCol w:w="3699"/>
              <w:gridCol w:w="1423"/>
              <w:gridCol w:w="1424"/>
            </w:tblGrid>
            <w:tr w14:paraId="1FFAC6D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1957" w:type="dxa"/>
                  <w:tcBorders>
                    <w:top w:val="single" w:color="000000" w:sz="12" w:space="0"/>
                    <w:left w:val="single" w:color="000000" w:sz="12" w:space="0"/>
                    <w:bottom w:val="single" w:color="000000" w:sz="6" w:space="0"/>
                    <w:right w:val="single" w:color="000000" w:sz="6" w:space="0"/>
                  </w:tcBorders>
                  <w:vAlign w:val="center"/>
                </w:tcPr>
                <w:p w14:paraId="36E00F9F">
                  <w:pPr>
                    <w:snapToGrid w:val="0"/>
                    <w:jc w:val="center"/>
                    <w:rPr>
                      <w:rFonts w:ascii="宋体" w:cs="宋体"/>
                      <w:szCs w:val="21"/>
                    </w:rPr>
                  </w:pPr>
                  <w:r>
                    <w:rPr>
                      <w:rFonts w:hint="eastAsia" w:ascii="宋体" w:hAnsi="宋体" w:cs="宋体"/>
                      <w:szCs w:val="21"/>
                    </w:rPr>
                    <w:t>名称</w:t>
                  </w:r>
                </w:p>
              </w:tc>
              <w:tc>
                <w:tcPr>
                  <w:tcW w:w="3699" w:type="dxa"/>
                  <w:tcBorders>
                    <w:top w:val="single" w:color="000000" w:sz="12" w:space="0"/>
                    <w:left w:val="single" w:color="000000" w:sz="6" w:space="0"/>
                    <w:bottom w:val="single" w:color="000000" w:sz="6" w:space="0"/>
                    <w:right w:val="single" w:color="000000" w:sz="6" w:space="0"/>
                  </w:tcBorders>
                  <w:vAlign w:val="center"/>
                </w:tcPr>
                <w:p w14:paraId="4CC411EA">
                  <w:pPr>
                    <w:snapToGrid w:val="0"/>
                    <w:jc w:val="center"/>
                    <w:rPr>
                      <w:rFonts w:ascii="宋体" w:cs="宋体"/>
                      <w:szCs w:val="21"/>
                    </w:rPr>
                  </w:pPr>
                  <w:r>
                    <w:rPr>
                      <w:rFonts w:hint="eastAsia" w:ascii="宋体" w:hAnsi="宋体" w:cs="宋体"/>
                      <w:szCs w:val="21"/>
                    </w:rPr>
                    <w:t>防渗区域及部位</w:t>
                  </w:r>
                </w:p>
              </w:tc>
              <w:tc>
                <w:tcPr>
                  <w:tcW w:w="1423" w:type="dxa"/>
                  <w:tcBorders>
                    <w:top w:val="single" w:color="000000" w:sz="12" w:space="0"/>
                    <w:left w:val="single" w:color="000000" w:sz="6" w:space="0"/>
                    <w:bottom w:val="single" w:color="000000" w:sz="6" w:space="0"/>
                    <w:right w:val="single" w:color="000000" w:sz="6" w:space="0"/>
                  </w:tcBorders>
                  <w:vAlign w:val="center"/>
                </w:tcPr>
                <w:p w14:paraId="18F01EF8">
                  <w:pPr>
                    <w:snapToGrid w:val="0"/>
                    <w:jc w:val="center"/>
                    <w:rPr>
                      <w:rFonts w:ascii="宋体" w:cs="宋体"/>
                      <w:szCs w:val="21"/>
                    </w:rPr>
                  </w:pPr>
                  <w:r>
                    <w:rPr>
                      <w:rFonts w:hint="eastAsia" w:ascii="宋体" w:hAnsi="宋体" w:cs="宋体"/>
                      <w:szCs w:val="21"/>
                    </w:rPr>
                    <w:t>分区等级</w:t>
                  </w:r>
                </w:p>
              </w:tc>
              <w:tc>
                <w:tcPr>
                  <w:tcW w:w="1424" w:type="dxa"/>
                  <w:tcBorders>
                    <w:top w:val="single" w:color="000000" w:sz="12" w:space="0"/>
                    <w:left w:val="single" w:color="000000" w:sz="6" w:space="0"/>
                    <w:bottom w:val="single" w:color="000000" w:sz="6" w:space="0"/>
                    <w:right w:val="single" w:color="000000" w:sz="12" w:space="0"/>
                  </w:tcBorders>
                  <w:vAlign w:val="center"/>
                </w:tcPr>
                <w:p w14:paraId="4EE0C538">
                  <w:pPr>
                    <w:snapToGrid w:val="0"/>
                    <w:jc w:val="center"/>
                    <w:rPr>
                      <w:rFonts w:ascii="宋体" w:cs="宋体"/>
                      <w:szCs w:val="21"/>
                    </w:rPr>
                  </w:pPr>
                  <w:r>
                    <w:rPr>
                      <w:rFonts w:hint="eastAsia" w:ascii="宋体" w:hAnsi="宋体" w:cs="宋体"/>
                      <w:szCs w:val="21"/>
                    </w:rPr>
                    <w:t>备注</w:t>
                  </w:r>
                </w:p>
              </w:tc>
            </w:tr>
            <w:tr w14:paraId="61DC18D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1957" w:type="dxa"/>
                  <w:tcBorders>
                    <w:top w:val="single" w:color="000000" w:sz="6" w:space="0"/>
                    <w:left w:val="single" w:color="000000" w:sz="12" w:space="0"/>
                    <w:bottom w:val="single" w:color="000000" w:sz="6" w:space="0"/>
                    <w:right w:val="single" w:color="000000" w:sz="6" w:space="0"/>
                  </w:tcBorders>
                  <w:vAlign w:val="center"/>
                </w:tcPr>
                <w:p w14:paraId="72ABFE19">
                  <w:pPr>
                    <w:snapToGrid w:val="0"/>
                    <w:jc w:val="center"/>
                    <w:rPr>
                      <w:rFonts w:ascii="宋体" w:cs="宋体"/>
                      <w:szCs w:val="21"/>
                    </w:rPr>
                  </w:pPr>
                  <w:r>
                    <w:rPr>
                      <w:rFonts w:hint="eastAsia" w:ascii="宋体" w:hAnsi="宋体" w:cs="宋体"/>
                      <w:szCs w:val="21"/>
                    </w:rPr>
                    <w:t>建筑工程</w:t>
                  </w:r>
                </w:p>
              </w:tc>
              <w:tc>
                <w:tcPr>
                  <w:tcW w:w="3699" w:type="dxa"/>
                  <w:tcBorders>
                    <w:top w:val="single" w:color="000000" w:sz="6" w:space="0"/>
                    <w:left w:val="single" w:color="000000" w:sz="6" w:space="0"/>
                    <w:bottom w:val="single" w:color="000000" w:sz="6" w:space="0"/>
                    <w:right w:val="single" w:color="000000" w:sz="6" w:space="0"/>
                  </w:tcBorders>
                  <w:vAlign w:val="center"/>
                </w:tcPr>
                <w:p w14:paraId="4B4001EA">
                  <w:pPr>
                    <w:snapToGrid w:val="0"/>
                    <w:jc w:val="center"/>
                    <w:rPr>
                      <w:rFonts w:ascii="宋体" w:cs="宋体"/>
                      <w:szCs w:val="21"/>
                    </w:rPr>
                  </w:pPr>
                  <w:r>
                    <w:rPr>
                      <w:rFonts w:hint="eastAsia" w:ascii="宋体" w:hAnsi="宋体" w:cs="宋体"/>
                      <w:szCs w:val="21"/>
                    </w:rPr>
                    <w:t>车间地面</w:t>
                  </w:r>
                </w:p>
              </w:tc>
              <w:tc>
                <w:tcPr>
                  <w:tcW w:w="1423" w:type="dxa"/>
                  <w:tcBorders>
                    <w:top w:val="single" w:color="000000" w:sz="6" w:space="0"/>
                    <w:left w:val="single" w:color="000000" w:sz="6" w:space="0"/>
                    <w:bottom w:val="single" w:color="000000" w:sz="6" w:space="0"/>
                    <w:right w:val="single" w:color="000000" w:sz="6" w:space="0"/>
                  </w:tcBorders>
                  <w:vAlign w:val="center"/>
                </w:tcPr>
                <w:p w14:paraId="71963928">
                  <w:pPr>
                    <w:snapToGrid w:val="0"/>
                    <w:jc w:val="center"/>
                    <w:rPr>
                      <w:rFonts w:ascii="宋体" w:cs="宋体"/>
                      <w:szCs w:val="21"/>
                    </w:rPr>
                  </w:pPr>
                  <w:r>
                    <w:rPr>
                      <w:rFonts w:hint="eastAsia" w:ascii="宋体" w:hAnsi="宋体" w:cs="宋体"/>
                      <w:szCs w:val="21"/>
                    </w:rPr>
                    <w:t>◎</w:t>
                  </w:r>
                </w:p>
              </w:tc>
              <w:tc>
                <w:tcPr>
                  <w:tcW w:w="1424" w:type="dxa"/>
                  <w:tcBorders>
                    <w:top w:val="single" w:color="000000" w:sz="6" w:space="0"/>
                    <w:left w:val="single" w:color="000000" w:sz="6" w:space="0"/>
                    <w:bottom w:val="single" w:color="000000" w:sz="6" w:space="0"/>
                    <w:right w:val="single" w:color="000000" w:sz="12" w:space="0"/>
                  </w:tcBorders>
                  <w:vAlign w:val="center"/>
                </w:tcPr>
                <w:p w14:paraId="2B1BBADA">
                  <w:pPr>
                    <w:snapToGrid w:val="0"/>
                    <w:jc w:val="center"/>
                    <w:rPr>
                      <w:rFonts w:ascii="宋体" w:cs="宋体"/>
                      <w:szCs w:val="21"/>
                    </w:rPr>
                  </w:pPr>
                  <w:r>
                    <w:rPr>
                      <w:rFonts w:ascii="宋体" w:hAnsi="宋体" w:cs="宋体"/>
                      <w:szCs w:val="21"/>
                    </w:rPr>
                    <w:t>/</w:t>
                  </w:r>
                </w:p>
              </w:tc>
            </w:tr>
            <w:tr w14:paraId="7611F45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1957" w:type="dxa"/>
                  <w:tcBorders>
                    <w:top w:val="single" w:color="000000" w:sz="6" w:space="0"/>
                    <w:left w:val="single" w:color="000000" w:sz="12" w:space="0"/>
                    <w:bottom w:val="single" w:color="000000" w:sz="6" w:space="0"/>
                    <w:right w:val="single" w:color="000000" w:sz="6" w:space="0"/>
                  </w:tcBorders>
                  <w:vAlign w:val="center"/>
                </w:tcPr>
                <w:p w14:paraId="4FF0EC58">
                  <w:pPr>
                    <w:snapToGrid w:val="0"/>
                    <w:jc w:val="center"/>
                    <w:rPr>
                      <w:rFonts w:ascii="宋体" w:cs="宋体"/>
                      <w:szCs w:val="21"/>
                    </w:rPr>
                  </w:pPr>
                  <w:r>
                    <w:rPr>
                      <w:rFonts w:hint="eastAsia" w:ascii="宋体" w:hAnsi="宋体" w:cs="宋体"/>
                      <w:szCs w:val="21"/>
                    </w:rPr>
                    <w:t>一般固废仓库</w:t>
                  </w:r>
                </w:p>
              </w:tc>
              <w:tc>
                <w:tcPr>
                  <w:tcW w:w="3699" w:type="dxa"/>
                  <w:tcBorders>
                    <w:top w:val="single" w:color="000000" w:sz="6" w:space="0"/>
                    <w:left w:val="single" w:color="000000" w:sz="6" w:space="0"/>
                    <w:bottom w:val="single" w:color="000000" w:sz="6" w:space="0"/>
                    <w:right w:val="single" w:color="000000" w:sz="6" w:space="0"/>
                  </w:tcBorders>
                  <w:vAlign w:val="center"/>
                </w:tcPr>
                <w:p w14:paraId="68A7D2FE">
                  <w:pPr>
                    <w:snapToGrid w:val="0"/>
                    <w:jc w:val="center"/>
                    <w:rPr>
                      <w:rFonts w:ascii="宋体" w:cs="宋体"/>
                      <w:szCs w:val="21"/>
                    </w:rPr>
                  </w:pPr>
                  <w:r>
                    <w:rPr>
                      <w:rFonts w:hint="eastAsia" w:ascii="宋体" w:hAnsi="宋体" w:cs="宋体"/>
                      <w:szCs w:val="21"/>
                    </w:rPr>
                    <w:t>地面</w:t>
                  </w:r>
                </w:p>
              </w:tc>
              <w:tc>
                <w:tcPr>
                  <w:tcW w:w="1423" w:type="dxa"/>
                  <w:tcBorders>
                    <w:top w:val="single" w:color="000000" w:sz="6" w:space="0"/>
                    <w:left w:val="single" w:color="000000" w:sz="6" w:space="0"/>
                    <w:bottom w:val="single" w:color="000000" w:sz="6" w:space="0"/>
                    <w:right w:val="single" w:color="000000" w:sz="6" w:space="0"/>
                  </w:tcBorders>
                  <w:vAlign w:val="center"/>
                </w:tcPr>
                <w:p w14:paraId="0956511D">
                  <w:pPr>
                    <w:snapToGrid w:val="0"/>
                    <w:jc w:val="center"/>
                    <w:rPr>
                      <w:rFonts w:ascii="宋体" w:cs="宋体"/>
                      <w:szCs w:val="21"/>
                    </w:rPr>
                  </w:pPr>
                  <w:r>
                    <w:rPr>
                      <w:rFonts w:hint="eastAsia" w:ascii="宋体" w:hAnsi="宋体" w:cs="宋体"/>
                      <w:szCs w:val="21"/>
                    </w:rPr>
                    <w:t>◎</w:t>
                  </w:r>
                </w:p>
              </w:tc>
              <w:tc>
                <w:tcPr>
                  <w:tcW w:w="1424" w:type="dxa"/>
                  <w:tcBorders>
                    <w:top w:val="single" w:color="000000" w:sz="6" w:space="0"/>
                    <w:left w:val="single" w:color="000000" w:sz="6" w:space="0"/>
                    <w:bottom w:val="single" w:color="000000" w:sz="6" w:space="0"/>
                    <w:right w:val="single" w:color="000000" w:sz="12" w:space="0"/>
                  </w:tcBorders>
                  <w:vAlign w:val="center"/>
                </w:tcPr>
                <w:p w14:paraId="4F727C28">
                  <w:pPr>
                    <w:snapToGrid w:val="0"/>
                    <w:jc w:val="center"/>
                    <w:rPr>
                      <w:rFonts w:ascii="宋体" w:cs="宋体"/>
                      <w:szCs w:val="21"/>
                    </w:rPr>
                  </w:pPr>
                  <w:r>
                    <w:rPr>
                      <w:rFonts w:ascii="宋体" w:hAnsi="宋体" w:cs="宋体"/>
                      <w:szCs w:val="21"/>
                    </w:rPr>
                    <w:t>/</w:t>
                  </w:r>
                </w:p>
              </w:tc>
            </w:tr>
          </w:tbl>
          <w:p w14:paraId="055F3DCC">
            <w:pPr>
              <w:rPr>
                <w:rFonts w:ascii="宋体" w:cs="宋体"/>
                <w:szCs w:val="21"/>
              </w:rPr>
            </w:pPr>
            <w:r>
              <w:rPr>
                <w:rFonts w:hint="eastAsia" w:ascii="宋体" w:hAnsi="宋体" w:cs="宋体"/>
                <w:szCs w:val="21"/>
              </w:rPr>
              <w:t>注：◎</w:t>
            </w:r>
            <w:r>
              <w:rPr>
                <w:rFonts w:hint="eastAsia" w:ascii="宋体" w:hAnsi="宋体" w:cs="宋体"/>
                <w:szCs w:val="21"/>
                <w:lang w:eastAsia="zh-CN"/>
              </w:rPr>
              <w:t>－</w:t>
            </w:r>
            <w:r>
              <w:rPr>
                <w:rFonts w:hint="eastAsia" w:ascii="宋体" w:hAnsi="宋体" w:cs="宋体"/>
                <w:szCs w:val="21"/>
              </w:rPr>
              <w:t>一般污染控制区；●</w:t>
            </w:r>
            <w:r>
              <w:rPr>
                <w:rFonts w:hint="eastAsia" w:ascii="宋体" w:hAnsi="宋体" w:cs="宋体"/>
                <w:szCs w:val="21"/>
                <w:lang w:eastAsia="zh-CN"/>
              </w:rPr>
              <w:t>－</w:t>
            </w:r>
            <w:r>
              <w:rPr>
                <w:rFonts w:hint="eastAsia" w:ascii="宋体" w:hAnsi="宋体" w:cs="宋体"/>
                <w:szCs w:val="21"/>
              </w:rPr>
              <w:t>重点污染控制区</w:t>
            </w:r>
          </w:p>
          <w:p w14:paraId="31D25DBA">
            <w:pPr>
              <w:snapToGrid w:val="0"/>
              <w:spacing w:line="360" w:lineRule="auto"/>
              <w:ind w:firstLine="480" w:firstLineChars="200"/>
              <w:rPr>
                <w:rFonts w:ascii="宋体"/>
                <w:sz w:val="24"/>
              </w:rPr>
            </w:pPr>
            <w:r>
              <w:rPr>
                <w:rFonts w:hint="eastAsia" w:ascii="宋体" w:hAnsi="宋体"/>
                <w:sz w:val="24"/>
                <w:lang w:eastAsia="zh-CN"/>
              </w:rPr>
              <w:t>（</w:t>
            </w:r>
            <w:r>
              <w:rPr>
                <w:rFonts w:ascii="宋体" w:hAnsi="宋体"/>
                <w:sz w:val="24"/>
              </w:rPr>
              <w:t>2</w:t>
            </w:r>
            <w:r>
              <w:rPr>
                <w:rFonts w:hint="eastAsia" w:ascii="宋体" w:hAnsi="宋体"/>
                <w:sz w:val="24"/>
                <w:lang w:eastAsia="zh-CN"/>
              </w:rPr>
              <w:t>）</w:t>
            </w:r>
            <w:r>
              <w:rPr>
                <w:rFonts w:hint="eastAsia" w:ascii="宋体" w:hAnsi="宋体"/>
                <w:sz w:val="24"/>
              </w:rPr>
              <w:t>防渗工程技术要求</w:t>
            </w:r>
          </w:p>
          <w:p w14:paraId="6E627F43">
            <w:pPr>
              <w:snapToGrid w:val="0"/>
              <w:spacing w:line="360" w:lineRule="auto"/>
              <w:ind w:firstLine="480" w:firstLineChars="200"/>
              <w:rPr>
                <w:rFonts w:ascii="宋体"/>
                <w:sz w:val="24"/>
              </w:rPr>
            </w:pPr>
            <w:r>
              <w:rPr>
                <w:rFonts w:hint="eastAsia" w:ascii="宋体" w:hAnsi="宋体"/>
                <w:sz w:val="24"/>
              </w:rPr>
              <w:t>防渗工程设计使用年限与生产装置使用年限相同。</w:t>
            </w:r>
          </w:p>
          <w:p w14:paraId="53B90D3F">
            <w:pPr>
              <w:snapToGrid w:val="0"/>
              <w:spacing w:line="360" w:lineRule="auto"/>
              <w:ind w:firstLine="480" w:firstLineChars="200"/>
              <w:rPr>
                <w:rFonts w:ascii="宋体"/>
                <w:sz w:val="24"/>
              </w:rPr>
            </w:pPr>
            <w:r>
              <w:rPr>
                <w:rFonts w:hint="eastAsia" w:ascii="宋体" w:hAnsi="宋体"/>
                <w:sz w:val="24"/>
              </w:rPr>
              <w:t>一般固废仓库防渗按照《一般工业固体废物贮存、处置场污染控制标准》Ⅱ类场要求设计。</w:t>
            </w:r>
          </w:p>
          <w:p w14:paraId="7D3E16E7">
            <w:pPr>
              <w:pStyle w:val="11"/>
              <w:spacing w:after="0" w:line="360" w:lineRule="auto"/>
              <w:ind w:left="0" w:leftChars="0" w:firstLine="480" w:firstLineChars="200"/>
              <w:jc w:val="left"/>
              <w:rPr>
                <w:b/>
                <w:bCs/>
                <w:sz w:val="24"/>
              </w:rPr>
            </w:pPr>
            <w:r>
              <w:rPr>
                <w:rFonts w:hint="eastAsia"/>
                <w:b/>
                <w:bCs/>
                <w:sz w:val="24"/>
              </w:rPr>
              <w:t>6、土壤环境影响分析</w:t>
            </w:r>
          </w:p>
          <w:p w14:paraId="10776653">
            <w:pPr>
              <w:adjustRightInd w:val="0"/>
              <w:snapToGrid w:val="0"/>
              <w:spacing w:line="480" w:lineRule="exact"/>
              <w:ind w:firstLine="480" w:firstLineChars="200"/>
              <w:jc w:val="left"/>
              <w:rPr>
                <w:sz w:val="24"/>
              </w:rPr>
            </w:pPr>
            <w:r>
              <w:rPr>
                <w:rFonts w:hint="eastAsia"/>
                <w:sz w:val="24"/>
              </w:rPr>
              <w:t>①</w:t>
            </w:r>
            <w:r>
              <w:rPr>
                <w:sz w:val="24"/>
              </w:rPr>
              <w:t>项目类型</w:t>
            </w:r>
          </w:p>
          <w:p w14:paraId="4F9D4555">
            <w:pPr>
              <w:adjustRightInd w:val="0"/>
              <w:snapToGrid w:val="0"/>
              <w:spacing w:line="480" w:lineRule="exact"/>
              <w:ind w:firstLine="480" w:firstLineChars="200"/>
              <w:jc w:val="left"/>
              <w:rPr>
                <w:sz w:val="24"/>
              </w:rPr>
            </w:pPr>
            <w:r>
              <w:rPr>
                <w:sz w:val="24"/>
              </w:rPr>
              <w:t>本项目查阅《环境影响评价技术导则土壤环境（试行）》（HJ964-2018）附录 A，项目属于</w:t>
            </w:r>
            <w:r>
              <w:rPr>
                <w:rFonts w:hint="eastAsia"/>
                <w:sz w:val="24"/>
              </w:rPr>
              <w:t>“</w:t>
            </w:r>
            <w:r>
              <w:rPr>
                <w:b/>
                <w:bCs/>
                <w:sz w:val="24"/>
              </w:rPr>
              <w:t>制造业</w:t>
            </w:r>
            <w:r>
              <w:rPr>
                <w:rFonts w:hint="eastAsia"/>
                <w:sz w:val="24"/>
              </w:rPr>
              <w:t>”</w:t>
            </w:r>
            <w:r>
              <w:rPr>
                <w:sz w:val="24"/>
              </w:rPr>
              <w:t>中</w:t>
            </w:r>
            <w:r>
              <w:rPr>
                <w:rFonts w:hint="eastAsia"/>
                <w:sz w:val="24"/>
              </w:rPr>
              <w:t>“</w:t>
            </w:r>
            <w:r>
              <w:rPr>
                <w:b/>
                <w:bCs/>
                <w:sz w:val="24"/>
              </w:rPr>
              <w:t>其他用品制造</w:t>
            </w:r>
            <w:r>
              <w:rPr>
                <w:rFonts w:hint="eastAsia"/>
                <w:sz w:val="24"/>
              </w:rPr>
              <w:t>”</w:t>
            </w:r>
            <w:r>
              <w:rPr>
                <w:sz w:val="24"/>
              </w:rPr>
              <w:t>，划分为</w:t>
            </w:r>
            <w:r>
              <w:rPr>
                <w:sz w:val="24"/>
              </w:rPr>
              <w:fldChar w:fldCharType="begin"/>
            </w:r>
            <w:r>
              <w:rPr>
                <w:sz w:val="24"/>
              </w:rPr>
              <w:instrText xml:space="preserve"> = 3 \* ROMAN </w:instrText>
            </w:r>
            <w:r>
              <w:rPr>
                <w:sz w:val="24"/>
              </w:rPr>
              <w:fldChar w:fldCharType="separate"/>
            </w:r>
            <w:r>
              <w:rPr>
                <w:rFonts w:hint="eastAsia"/>
                <w:sz w:val="24"/>
                <w:lang w:eastAsia="zh-CN"/>
              </w:rPr>
              <w:t>Ⅲ</w:t>
            </w:r>
            <w:r>
              <w:rPr>
                <w:sz w:val="24"/>
              </w:rPr>
              <w:fldChar w:fldCharType="end"/>
            </w:r>
            <w:r>
              <w:rPr>
                <w:sz w:val="24"/>
              </w:rPr>
              <w:t>类建设项目。</w:t>
            </w:r>
          </w:p>
          <w:p w14:paraId="5F79BD25">
            <w:pPr>
              <w:adjustRightInd w:val="0"/>
              <w:snapToGrid w:val="0"/>
              <w:spacing w:line="480" w:lineRule="exact"/>
              <w:ind w:firstLine="480" w:firstLineChars="200"/>
              <w:jc w:val="left"/>
              <w:rPr>
                <w:sz w:val="24"/>
              </w:rPr>
            </w:pPr>
            <w:r>
              <w:rPr>
                <w:rFonts w:hint="eastAsia"/>
                <w:sz w:val="24"/>
              </w:rPr>
              <w:t>②</w:t>
            </w:r>
            <w:r>
              <w:rPr>
                <w:sz w:val="24"/>
              </w:rPr>
              <w:t>占地规模确定</w:t>
            </w:r>
          </w:p>
          <w:p w14:paraId="5C5A2A87">
            <w:pPr>
              <w:adjustRightInd w:val="0"/>
              <w:snapToGrid w:val="0"/>
              <w:spacing w:line="480" w:lineRule="exact"/>
              <w:ind w:firstLine="480" w:firstLineChars="200"/>
              <w:rPr>
                <w:sz w:val="24"/>
              </w:rPr>
            </w:pPr>
            <w:r>
              <w:rPr>
                <w:sz w:val="24"/>
              </w:rPr>
              <w:t>将建设项目占地规模分为大型（≥50hm</w:t>
            </w:r>
            <w:r>
              <w:rPr>
                <w:sz w:val="24"/>
                <w:vertAlign w:val="superscript"/>
              </w:rPr>
              <w:t>2</w:t>
            </w:r>
            <w:r>
              <w:rPr>
                <w:sz w:val="24"/>
              </w:rPr>
              <w:t>）、中型（5~50hm</w:t>
            </w:r>
            <w:r>
              <w:rPr>
                <w:sz w:val="24"/>
                <w:vertAlign w:val="superscript"/>
              </w:rPr>
              <w:t>2</w:t>
            </w:r>
            <w:r>
              <w:rPr>
                <w:sz w:val="24"/>
              </w:rPr>
              <w:t>）、小型（≤5hm</w:t>
            </w:r>
            <w:r>
              <w:rPr>
                <w:sz w:val="24"/>
                <w:vertAlign w:val="superscript"/>
              </w:rPr>
              <w:t>2</w:t>
            </w:r>
            <w:r>
              <w:rPr>
                <w:sz w:val="24"/>
              </w:rPr>
              <w:t>）。本项目面积约0.6101hm</w:t>
            </w:r>
            <w:r>
              <w:rPr>
                <w:sz w:val="24"/>
                <w:vertAlign w:val="superscript"/>
              </w:rPr>
              <w:t>2</w:t>
            </w:r>
            <w:r>
              <w:rPr>
                <w:sz w:val="24"/>
              </w:rPr>
              <w:t>≤5hm</w:t>
            </w:r>
            <w:r>
              <w:rPr>
                <w:sz w:val="24"/>
                <w:vertAlign w:val="superscript"/>
              </w:rPr>
              <w:t>2</w:t>
            </w:r>
            <w:r>
              <w:rPr>
                <w:sz w:val="24"/>
              </w:rPr>
              <w:t>，属于小型占地规模。</w:t>
            </w:r>
          </w:p>
          <w:p w14:paraId="0A1E6113">
            <w:pPr>
              <w:adjustRightInd w:val="0"/>
              <w:snapToGrid w:val="0"/>
              <w:spacing w:line="480" w:lineRule="exact"/>
              <w:ind w:firstLine="480" w:firstLineChars="200"/>
              <w:jc w:val="left"/>
              <w:rPr>
                <w:sz w:val="24"/>
              </w:rPr>
            </w:pPr>
            <w:r>
              <w:rPr>
                <w:rFonts w:hint="eastAsia"/>
                <w:sz w:val="24"/>
              </w:rPr>
              <w:t>③</w:t>
            </w:r>
            <w:r>
              <w:rPr>
                <w:sz w:val="24"/>
              </w:rPr>
              <w:t>项目所在地周边土壤环境敏感程度</w:t>
            </w:r>
          </w:p>
          <w:p w14:paraId="4A7EDC2F">
            <w:pPr>
              <w:adjustRightInd w:val="0"/>
              <w:snapToGrid w:val="0"/>
              <w:spacing w:line="480" w:lineRule="exact"/>
              <w:ind w:firstLine="480" w:firstLineChars="200"/>
              <w:jc w:val="left"/>
              <w:rPr>
                <w:sz w:val="24"/>
              </w:rPr>
            </w:pPr>
            <w:r>
              <w:rPr>
                <w:sz w:val="24"/>
              </w:rPr>
              <w:t>项目用地属于</w:t>
            </w:r>
            <w:r>
              <w:rPr>
                <w:rFonts w:hint="eastAsia"/>
                <w:sz w:val="24"/>
              </w:rPr>
              <w:t>临时建设用地</w:t>
            </w:r>
            <w:r>
              <w:rPr>
                <w:sz w:val="24"/>
              </w:rPr>
              <w:t>，项目周边调查范围内土壤皆为</w:t>
            </w:r>
            <w:r>
              <w:rPr>
                <w:rFonts w:hint="eastAsia"/>
                <w:sz w:val="24"/>
              </w:rPr>
              <w:t>林地及其他临时建设用地</w:t>
            </w:r>
            <w:r>
              <w:rPr>
                <w:sz w:val="24"/>
              </w:rPr>
              <w:t>环境敏感程度为不敏感。</w:t>
            </w:r>
          </w:p>
          <w:p w14:paraId="7FD1DF72">
            <w:pPr>
              <w:adjustRightInd w:val="0"/>
              <w:snapToGrid w:val="0"/>
              <w:spacing w:line="480" w:lineRule="exact"/>
              <w:jc w:val="center"/>
              <w:rPr>
                <w:bCs/>
                <w:sz w:val="24"/>
              </w:rPr>
            </w:pPr>
            <w:r>
              <w:rPr>
                <w:bCs/>
                <w:sz w:val="24"/>
              </w:rPr>
              <w:t>表7-18  污染影响型敏感程度分级表</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4410"/>
              <w:gridCol w:w="2025"/>
            </w:tblGrid>
            <w:tr w14:paraId="6DD13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vAlign w:val="center"/>
                </w:tcPr>
                <w:p w14:paraId="31761997">
                  <w:pPr>
                    <w:jc w:val="center"/>
                    <w:rPr>
                      <w:szCs w:val="21"/>
                    </w:rPr>
                  </w:pPr>
                  <w:r>
                    <w:rPr>
                      <w:szCs w:val="21"/>
                    </w:rPr>
                    <w:t>敏感程度</w:t>
                  </w:r>
                </w:p>
              </w:tc>
              <w:tc>
                <w:tcPr>
                  <w:tcW w:w="2587" w:type="pct"/>
                  <w:vAlign w:val="center"/>
                </w:tcPr>
                <w:p w14:paraId="1AC09564">
                  <w:pPr>
                    <w:jc w:val="center"/>
                    <w:rPr>
                      <w:szCs w:val="21"/>
                    </w:rPr>
                  </w:pPr>
                  <w:r>
                    <w:rPr>
                      <w:szCs w:val="21"/>
                    </w:rPr>
                    <w:t>判别依据</w:t>
                  </w:r>
                </w:p>
              </w:tc>
              <w:tc>
                <w:tcPr>
                  <w:tcW w:w="1188" w:type="pct"/>
                  <w:vAlign w:val="center"/>
                </w:tcPr>
                <w:p w14:paraId="692FE781">
                  <w:pPr>
                    <w:jc w:val="center"/>
                    <w:rPr>
                      <w:szCs w:val="21"/>
                    </w:rPr>
                  </w:pPr>
                  <w:r>
                    <w:rPr>
                      <w:szCs w:val="21"/>
                    </w:rPr>
                    <w:t>本项目</w:t>
                  </w:r>
                </w:p>
              </w:tc>
            </w:tr>
            <w:tr w14:paraId="4704B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vAlign w:val="center"/>
                </w:tcPr>
                <w:p w14:paraId="0E90E97E">
                  <w:pPr>
                    <w:jc w:val="center"/>
                    <w:rPr>
                      <w:szCs w:val="21"/>
                    </w:rPr>
                  </w:pPr>
                  <w:r>
                    <w:rPr>
                      <w:szCs w:val="21"/>
                    </w:rPr>
                    <w:t>敏感</w:t>
                  </w:r>
                </w:p>
              </w:tc>
              <w:tc>
                <w:tcPr>
                  <w:tcW w:w="2587" w:type="pct"/>
                  <w:vAlign w:val="center"/>
                </w:tcPr>
                <w:p w14:paraId="685A2D0F">
                  <w:pPr>
                    <w:rPr>
                      <w:szCs w:val="21"/>
                    </w:rPr>
                  </w:pPr>
                  <w:r>
                    <w:rPr>
                      <w:szCs w:val="21"/>
                    </w:rPr>
                    <w:t>建设项目周边存在耕地、园地、牧草地、饮用水源地或居民区、学校、医院、疗养院、养老院等土壤环境敏感目标</w:t>
                  </w:r>
                </w:p>
              </w:tc>
              <w:tc>
                <w:tcPr>
                  <w:tcW w:w="1188" w:type="pct"/>
                  <w:vMerge w:val="restart"/>
                  <w:vAlign w:val="center"/>
                </w:tcPr>
                <w:p w14:paraId="667F91AE">
                  <w:pPr>
                    <w:rPr>
                      <w:szCs w:val="21"/>
                    </w:rPr>
                  </w:pPr>
                  <w:r>
                    <w:rPr>
                      <w:szCs w:val="21"/>
                    </w:rPr>
                    <w:t>根据现场调查，项目</w:t>
                  </w:r>
                  <w:r>
                    <w:rPr>
                      <w:rFonts w:hint="eastAsia"/>
                      <w:szCs w:val="21"/>
                    </w:rPr>
                    <w:t>周边0</w:t>
                  </w:r>
                  <w:r>
                    <w:rPr>
                      <w:szCs w:val="21"/>
                    </w:rPr>
                    <w:t>.05</w:t>
                  </w:r>
                  <w:r>
                    <w:rPr>
                      <w:rFonts w:hint="eastAsia"/>
                      <w:szCs w:val="21"/>
                    </w:rPr>
                    <w:t>km调查范围内为林地</w:t>
                  </w:r>
                  <w:r>
                    <w:rPr>
                      <w:szCs w:val="21"/>
                    </w:rPr>
                    <w:t>，</w:t>
                  </w:r>
                  <w:r>
                    <w:rPr>
                      <w:rFonts w:hint="eastAsia"/>
                      <w:szCs w:val="21"/>
                    </w:rPr>
                    <w:t>调查范围外为林地，</w:t>
                  </w:r>
                  <w:r>
                    <w:rPr>
                      <w:szCs w:val="21"/>
                    </w:rPr>
                    <w:t>因此本项目周边土壤环境敏感程度为</w:t>
                  </w:r>
                  <w:r>
                    <w:rPr>
                      <w:rFonts w:hint="eastAsia"/>
                      <w:b/>
                      <w:szCs w:val="21"/>
                    </w:rPr>
                    <w:t>不</w:t>
                  </w:r>
                  <w:r>
                    <w:rPr>
                      <w:b/>
                      <w:szCs w:val="21"/>
                    </w:rPr>
                    <w:t>敏感</w:t>
                  </w:r>
                  <w:r>
                    <w:rPr>
                      <w:rFonts w:hint="eastAsia"/>
                      <w:b/>
                      <w:szCs w:val="21"/>
                    </w:rPr>
                    <w:t>。</w:t>
                  </w:r>
                </w:p>
              </w:tc>
            </w:tr>
            <w:tr w14:paraId="50F29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vAlign w:val="center"/>
                </w:tcPr>
                <w:p w14:paraId="1BBB3B2A">
                  <w:pPr>
                    <w:jc w:val="center"/>
                    <w:rPr>
                      <w:szCs w:val="21"/>
                    </w:rPr>
                  </w:pPr>
                  <w:r>
                    <w:rPr>
                      <w:szCs w:val="21"/>
                    </w:rPr>
                    <w:t>较敏感</w:t>
                  </w:r>
                </w:p>
              </w:tc>
              <w:tc>
                <w:tcPr>
                  <w:tcW w:w="2587" w:type="pct"/>
                  <w:vAlign w:val="center"/>
                </w:tcPr>
                <w:p w14:paraId="78D98C00">
                  <w:pPr>
                    <w:rPr>
                      <w:szCs w:val="21"/>
                    </w:rPr>
                  </w:pPr>
                  <w:r>
                    <w:rPr>
                      <w:szCs w:val="21"/>
                    </w:rPr>
                    <w:t>建设项目周边存在其他土壤环境敏感目标</w:t>
                  </w:r>
                </w:p>
              </w:tc>
              <w:tc>
                <w:tcPr>
                  <w:tcW w:w="1188" w:type="pct"/>
                  <w:vMerge w:val="continue"/>
                  <w:vAlign w:val="center"/>
                </w:tcPr>
                <w:p w14:paraId="4CDCE2B8">
                  <w:pPr>
                    <w:rPr>
                      <w:szCs w:val="21"/>
                    </w:rPr>
                  </w:pPr>
                </w:p>
              </w:tc>
            </w:tr>
            <w:tr w14:paraId="3EE4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vAlign w:val="center"/>
                </w:tcPr>
                <w:p w14:paraId="068F91EF">
                  <w:pPr>
                    <w:jc w:val="center"/>
                    <w:rPr>
                      <w:szCs w:val="21"/>
                    </w:rPr>
                  </w:pPr>
                  <w:r>
                    <w:rPr>
                      <w:szCs w:val="21"/>
                    </w:rPr>
                    <w:t>不敏感</w:t>
                  </w:r>
                </w:p>
              </w:tc>
              <w:tc>
                <w:tcPr>
                  <w:tcW w:w="2587" w:type="pct"/>
                  <w:vAlign w:val="center"/>
                </w:tcPr>
                <w:p w14:paraId="4CDE3E0A">
                  <w:pPr>
                    <w:rPr>
                      <w:szCs w:val="21"/>
                    </w:rPr>
                  </w:pPr>
                  <w:r>
                    <w:rPr>
                      <w:szCs w:val="21"/>
                    </w:rPr>
                    <w:t>其他情况</w:t>
                  </w:r>
                </w:p>
              </w:tc>
              <w:tc>
                <w:tcPr>
                  <w:tcW w:w="1188" w:type="pct"/>
                  <w:vMerge w:val="continue"/>
                  <w:vAlign w:val="center"/>
                </w:tcPr>
                <w:p w14:paraId="04FED2AA">
                  <w:pPr>
                    <w:rPr>
                      <w:szCs w:val="21"/>
                    </w:rPr>
                  </w:pPr>
                </w:p>
              </w:tc>
            </w:tr>
          </w:tbl>
          <w:p w14:paraId="5C2C9C93">
            <w:pPr>
              <w:adjustRightInd w:val="0"/>
              <w:snapToGrid w:val="0"/>
              <w:spacing w:line="480" w:lineRule="exact"/>
              <w:ind w:firstLine="480" w:firstLineChars="200"/>
              <w:jc w:val="left"/>
              <w:rPr>
                <w:sz w:val="24"/>
              </w:rPr>
            </w:pPr>
            <w:r>
              <w:rPr>
                <w:rFonts w:hint="eastAsia"/>
                <w:sz w:val="24"/>
              </w:rPr>
              <w:t>④</w:t>
            </w:r>
            <w:r>
              <w:rPr>
                <w:sz w:val="24"/>
              </w:rPr>
              <w:t>评价等级确认</w:t>
            </w:r>
          </w:p>
          <w:p w14:paraId="367F8E4B">
            <w:pPr>
              <w:adjustRightInd w:val="0"/>
              <w:snapToGrid w:val="0"/>
              <w:spacing w:line="480" w:lineRule="exact"/>
              <w:ind w:firstLine="480" w:firstLineChars="200"/>
              <w:jc w:val="left"/>
              <w:rPr>
                <w:sz w:val="24"/>
              </w:rPr>
            </w:pPr>
            <w:r>
              <w:rPr>
                <w:sz w:val="24"/>
              </w:rPr>
              <w:t>根据《环境影响评价技术导则土壤环境（试行）》（HJ964-2018），根据土壤环境影响评价项目类别、占地规模与敏感程度划分评价工作等级，详见下表：</w:t>
            </w:r>
          </w:p>
          <w:p w14:paraId="56829362">
            <w:pPr>
              <w:adjustRightInd w:val="0"/>
              <w:snapToGrid w:val="0"/>
              <w:spacing w:line="480" w:lineRule="exact"/>
              <w:jc w:val="center"/>
              <w:rPr>
                <w:bCs/>
                <w:sz w:val="24"/>
              </w:rPr>
            </w:pPr>
            <w:r>
              <w:rPr>
                <w:bCs/>
                <w:sz w:val="24"/>
              </w:rPr>
              <w:t>表7-19  污染影响型评价工作等级划分表</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9"/>
              <w:gridCol w:w="711"/>
              <w:gridCol w:w="711"/>
              <w:gridCol w:w="711"/>
              <w:gridCol w:w="711"/>
              <w:gridCol w:w="849"/>
              <w:gridCol w:w="847"/>
              <w:gridCol w:w="849"/>
              <w:gridCol w:w="711"/>
              <w:gridCol w:w="784"/>
            </w:tblGrid>
            <w:tr w14:paraId="2562B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pct"/>
                  <w:vMerge w:val="restart"/>
                  <w:vAlign w:val="center"/>
                </w:tcPr>
                <w:p w14:paraId="6A5D0305">
                  <w:pPr>
                    <w:jc w:val="center"/>
                    <w:rPr>
                      <w:szCs w:val="21"/>
                    </w:rPr>
                  </w:pPr>
                  <w:r>
                    <w:rPr>
                      <w:szCs w:val="21"/>
                    </w:rPr>
                    <w:t>项目</w:t>
                  </w:r>
                </w:p>
              </w:tc>
              <w:tc>
                <w:tcPr>
                  <w:tcW w:w="1251" w:type="pct"/>
                  <w:gridSpan w:val="3"/>
                  <w:vAlign w:val="center"/>
                </w:tcPr>
                <w:p w14:paraId="0D49D0A7">
                  <w:pPr>
                    <w:jc w:val="center"/>
                    <w:rPr>
                      <w:szCs w:val="21"/>
                    </w:rPr>
                  </w:pPr>
                  <w:r>
                    <w:rPr>
                      <w:szCs w:val="21"/>
                    </w:rPr>
                    <w:t>Ⅰ</w:t>
                  </w:r>
                </w:p>
              </w:tc>
              <w:tc>
                <w:tcPr>
                  <w:tcW w:w="1412" w:type="pct"/>
                  <w:gridSpan w:val="3"/>
                  <w:vAlign w:val="center"/>
                </w:tcPr>
                <w:p w14:paraId="63D6577B">
                  <w:pPr>
                    <w:jc w:val="center"/>
                    <w:rPr>
                      <w:szCs w:val="21"/>
                    </w:rPr>
                  </w:pPr>
                  <w:r>
                    <w:rPr>
                      <w:szCs w:val="21"/>
                    </w:rPr>
                    <w:t>Ⅱ</w:t>
                  </w:r>
                </w:p>
              </w:tc>
              <w:tc>
                <w:tcPr>
                  <w:tcW w:w="1375" w:type="pct"/>
                  <w:gridSpan w:val="3"/>
                  <w:vAlign w:val="center"/>
                </w:tcPr>
                <w:p w14:paraId="30E6E818">
                  <w:pPr>
                    <w:jc w:val="center"/>
                    <w:rPr>
                      <w:szCs w:val="21"/>
                    </w:rPr>
                  </w:pPr>
                  <w:r>
                    <w:rPr>
                      <w:szCs w:val="21"/>
                    </w:rPr>
                    <w:t>Ⅲ</w:t>
                  </w:r>
                </w:p>
              </w:tc>
            </w:tr>
            <w:tr w14:paraId="15889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pct"/>
                  <w:vMerge w:val="continue"/>
                  <w:vAlign w:val="center"/>
                </w:tcPr>
                <w:p w14:paraId="56D85A6A">
                  <w:pPr>
                    <w:jc w:val="center"/>
                    <w:rPr>
                      <w:szCs w:val="21"/>
                    </w:rPr>
                  </w:pPr>
                </w:p>
              </w:tc>
              <w:tc>
                <w:tcPr>
                  <w:tcW w:w="417" w:type="pct"/>
                  <w:vAlign w:val="center"/>
                </w:tcPr>
                <w:p w14:paraId="45117996">
                  <w:pPr>
                    <w:jc w:val="center"/>
                    <w:rPr>
                      <w:szCs w:val="21"/>
                    </w:rPr>
                  </w:pPr>
                  <w:r>
                    <w:rPr>
                      <w:szCs w:val="21"/>
                    </w:rPr>
                    <w:t>大</w:t>
                  </w:r>
                </w:p>
              </w:tc>
              <w:tc>
                <w:tcPr>
                  <w:tcW w:w="417" w:type="pct"/>
                  <w:vAlign w:val="center"/>
                </w:tcPr>
                <w:p w14:paraId="4A724A9B">
                  <w:pPr>
                    <w:jc w:val="center"/>
                    <w:rPr>
                      <w:szCs w:val="21"/>
                    </w:rPr>
                  </w:pPr>
                  <w:r>
                    <w:rPr>
                      <w:szCs w:val="21"/>
                    </w:rPr>
                    <w:t>中</w:t>
                  </w:r>
                </w:p>
              </w:tc>
              <w:tc>
                <w:tcPr>
                  <w:tcW w:w="417" w:type="pct"/>
                  <w:vAlign w:val="center"/>
                </w:tcPr>
                <w:p w14:paraId="1DA4F15B">
                  <w:pPr>
                    <w:jc w:val="center"/>
                    <w:rPr>
                      <w:szCs w:val="21"/>
                    </w:rPr>
                  </w:pPr>
                  <w:r>
                    <w:rPr>
                      <w:szCs w:val="21"/>
                    </w:rPr>
                    <w:t>小</w:t>
                  </w:r>
                </w:p>
              </w:tc>
              <w:tc>
                <w:tcPr>
                  <w:tcW w:w="417" w:type="pct"/>
                  <w:vAlign w:val="center"/>
                </w:tcPr>
                <w:p w14:paraId="5BCBE9C1">
                  <w:pPr>
                    <w:jc w:val="center"/>
                    <w:rPr>
                      <w:szCs w:val="21"/>
                    </w:rPr>
                  </w:pPr>
                  <w:r>
                    <w:rPr>
                      <w:szCs w:val="21"/>
                    </w:rPr>
                    <w:t>大</w:t>
                  </w:r>
                </w:p>
              </w:tc>
              <w:tc>
                <w:tcPr>
                  <w:tcW w:w="498" w:type="pct"/>
                  <w:vAlign w:val="center"/>
                </w:tcPr>
                <w:p w14:paraId="38D365B5">
                  <w:pPr>
                    <w:jc w:val="center"/>
                    <w:rPr>
                      <w:szCs w:val="21"/>
                    </w:rPr>
                  </w:pPr>
                  <w:r>
                    <w:rPr>
                      <w:szCs w:val="21"/>
                    </w:rPr>
                    <w:t>中</w:t>
                  </w:r>
                </w:p>
              </w:tc>
              <w:tc>
                <w:tcPr>
                  <w:tcW w:w="497" w:type="pct"/>
                  <w:vAlign w:val="center"/>
                </w:tcPr>
                <w:p w14:paraId="20F1AD5E">
                  <w:pPr>
                    <w:jc w:val="center"/>
                    <w:rPr>
                      <w:szCs w:val="21"/>
                    </w:rPr>
                  </w:pPr>
                  <w:r>
                    <w:rPr>
                      <w:szCs w:val="21"/>
                    </w:rPr>
                    <w:t>小</w:t>
                  </w:r>
                </w:p>
              </w:tc>
              <w:tc>
                <w:tcPr>
                  <w:tcW w:w="498" w:type="pct"/>
                  <w:vAlign w:val="center"/>
                </w:tcPr>
                <w:p w14:paraId="7294B61A">
                  <w:pPr>
                    <w:jc w:val="center"/>
                    <w:rPr>
                      <w:szCs w:val="21"/>
                    </w:rPr>
                  </w:pPr>
                  <w:r>
                    <w:rPr>
                      <w:szCs w:val="21"/>
                    </w:rPr>
                    <w:t>大</w:t>
                  </w:r>
                </w:p>
              </w:tc>
              <w:tc>
                <w:tcPr>
                  <w:tcW w:w="417" w:type="pct"/>
                  <w:vAlign w:val="center"/>
                </w:tcPr>
                <w:p w14:paraId="4E1B042C">
                  <w:pPr>
                    <w:jc w:val="center"/>
                    <w:rPr>
                      <w:szCs w:val="21"/>
                    </w:rPr>
                  </w:pPr>
                  <w:r>
                    <w:rPr>
                      <w:szCs w:val="21"/>
                    </w:rPr>
                    <w:t>中</w:t>
                  </w:r>
                </w:p>
              </w:tc>
              <w:tc>
                <w:tcPr>
                  <w:tcW w:w="460" w:type="pct"/>
                  <w:vAlign w:val="center"/>
                </w:tcPr>
                <w:p w14:paraId="7D7BE838">
                  <w:pPr>
                    <w:jc w:val="center"/>
                    <w:rPr>
                      <w:szCs w:val="21"/>
                    </w:rPr>
                  </w:pPr>
                  <w:r>
                    <w:rPr>
                      <w:szCs w:val="21"/>
                    </w:rPr>
                    <w:t>小</w:t>
                  </w:r>
                </w:p>
              </w:tc>
            </w:tr>
            <w:tr w14:paraId="6892B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pct"/>
                  <w:vAlign w:val="center"/>
                </w:tcPr>
                <w:p w14:paraId="35030332">
                  <w:pPr>
                    <w:jc w:val="center"/>
                    <w:rPr>
                      <w:szCs w:val="21"/>
                    </w:rPr>
                  </w:pPr>
                  <w:r>
                    <w:rPr>
                      <w:szCs w:val="21"/>
                    </w:rPr>
                    <w:t>敏感</w:t>
                  </w:r>
                </w:p>
              </w:tc>
              <w:tc>
                <w:tcPr>
                  <w:tcW w:w="417" w:type="pct"/>
                  <w:vAlign w:val="center"/>
                </w:tcPr>
                <w:p w14:paraId="4F9E56F3">
                  <w:pPr>
                    <w:jc w:val="center"/>
                    <w:rPr>
                      <w:szCs w:val="21"/>
                    </w:rPr>
                  </w:pPr>
                  <w:r>
                    <w:rPr>
                      <w:szCs w:val="21"/>
                    </w:rPr>
                    <w:t>一级</w:t>
                  </w:r>
                </w:p>
              </w:tc>
              <w:tc>
                <w:tcPr>
                  <w:tcW w:w="417" w:type="pct"/>
                  <w:vAlign w:val="center"/>
                </w:tcPr>
                <w:p w14:paraId="087A948D">
                  <w:pPr>
                    <w:jc w:val="center"/>
                    <w:rPr>
                      <w:szCs w:val="21"/>
                    </w:rPr>
                  </w:pPr>
                  <w:r>
                    <w:rPr>
                      <w:szCs w:val="21"/>
                    </w:rPr>
                    <w:t>一级</w:t>
                  </w:r>
                </w:p>
              </w:tc>
              <w:tc>
                <w:tcPr>
                  <w:tcW w:w="417" w:type="pct"/>
                  <w:vAlign w:val="center"/>
                </w:tcPr>
                <w:p w14:paraId="61A1AAC1">
                  <w:pPr>
                    <w:jc w:val="center"/>
                    <w:rPr>
                      <w:szCs w:val="21"/>
                    </w:rPr>
                  </w:pPr>
                  <w:r>
                    <w:rPr>
                      <w:szCs w:val="21"/>
                    </w:rPr>
                    <w:t>一级</w:t>
                  </w:r>
                </w:p>
              </w:tc>
              <w:tc>
                <w:tcPr>
                  <w:tcW w:w="417" w:type="pct"/>
                  <w:vAlign w:val="center"/>
                </w:tcPr>
                <w:p w14:paraId="12209D89">
                  <w:pPr>
                    <w:jc w:val="center"/>
                    <w:rPr>
                      <w:szCs w:val="21"/>
                    </w:rPr>
                  </w:pPr>
                  <w:r>
                    <w:rPr>
                      <w:szCs w:val="21"/>
                    </w:rPr>
                    <w:t>二级</w:t>
                  </w:r>
                </w:p>
              </w:tc>
              <w:tc>
                <w:tcPr>
                  <w:tcW w:w="498" w:type="pct"/>
                  <w:vAlign w:val="center"/>
                </w:tcPr>
                <w:p w14:paraId="08484812">
                  <w:pPr>
                    <w:jc w:val="center"/>
                    <w:rPr>
                      <w:szCs w:val="21"/>
                    </w:rPr>
                  </w:pPr>
                  <w:r>
                    <w:rPr>
                      <w:szCs w:val="21"/>
                    </w:rPr>
                    <w:t>二级</w:t>
                  </w:r>
                </w:p>
              </w:tc>
              <w:tc>
                <w:tcPr>
                  <w:tcW w:w="497" w:type="pct"/>
                  <w:vAlign w:val="center"/>
                </w:tcPr>
                <w:p w14:paraId="58018FF6">
                  <w:pPr>
                    <w:jc w:val="center"/>
                    <w:rPr>
                      <w:szCs w:val="21"/>
                    </w:rPr>
                  </w:pPr>
                  <w:r>
                    <w:rPr>
                      <w:szCs w:val="21"/>
                    </w:rPr>
                    <w:t>二级</w:t>
                  </w:r>
                </w:p>
              </w:tc>
              <w:tc>
                <w:tcPr>
                  <w:tcW w:w="498" w:type="pct"/>
                  <w:vAlign w:val="center"/>
                </w:tcPr>
                <w:p w14:paraId="4EFCBDC3">
                  <w:pPr>
                    <w:jc w:val="center"/>
                    <w:rPr>
                      <w:szCs w:val="21"/>
                    </w:rPr>
                  </w:pPr>
                  <w:r>
                    <w:rPr>
                      <w:szCs w:val="21"/>
                    </w:rPr>
                    <w:t>三级</w:t>
                  </w:r>
                </w:p>
              </w:tc>
              <w:tc>
                <w:tcPr>
                  <w:tcW w:w="417" w:type="pct"/>
                  <w:shd w:val="clear" w:color="auto" w:fill="auto"/>
                  <w:vAlign w:val="center"/>
                </w:tcPr>
                <w:p w14:paraId="5108C32C">
                  <w:pPr>
                    <w:jc w:val="center"/>
                    <w:rPr>
                      <w:szCs w:val="21"/>
                    </w:rPr>
                  </w:pPr>
                  <w:r>
                    <w:rPr>
                      <w:szCs w:val="21"/>
                    </w:rPr>
                    <w:t>三级</w:t>
                  </w:r>
                </w:p>
              </w:tc>
              <w:tc>
                <w:tcPr>
                  <w:tcW w:w="460" w:type="pct"/>
                  <w:shd w:val="clear" w:color="auto" w:fill="FFFFFF"/>
                  <w:vAlign w:val="center"/>
                </w:tcPr>
                <w:p w14:paraId="583446F3">
                  <w:pPr>
                    <w:jc w:val="center"/>
                    <w:rPr>
                      <w:szCs w:val="21"/>
                    </w:rPr>
                  </w:pPr>
                  <w:r>
                    <w:rPr>
                      <w:szCs w:val="21"/>
                    </w:rPr>
                    <w:t>三级</w:t>
                  </w:r>
                </w:p>
              </w:tc>
            </w:tr>
            <w:tr w14:paraId="0438B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pct"/>
                  <w:shd w:val="clear" w:color="auto" w:fill="auto"/>
                  <w:vAlign w:val="center"/>
                </w:tcPr>
                <w:p w14:paraId="60322A46">
                  <w:pPr>
                    <w:jc w:val="center"/>
                    <w:rPr>
                      <w:szCs w:val="21"/>
                    </w:rPr>
                  </w:pPr>
                  <w:r>
                    <w:rPr>
                      <w:szCs w:val="21"/>
                    </w:rPr>
                    <w:t>较敏感</w:t>
                  </w:r>
                </w:p>
              </w:tc>
              <w:tc>
                <w:tcPr>
                  <w:tcW w:w="417" w:type="pct"/>
                  <w:shd w:val="clear" w:color="auto" w:fill="auto"/>
                  <w:vAlign w:val="center"/>
                </w:tcPr>
                <w:p w14:paraId="7F8CAAA6">
                  <w:pPr>
                    <w:jc w:val="center"/>
                    <w:rPr>
                      <w:szCs w:val="21"/>
                    </w:rPr>
                  </w:pPr>
                  <w:r>
                    <w:rPr>
                      <w:szCs w:val="21"/>
                    </w:rPr>
                    <w:t>一级</w:t>
                  </w:r>
                </w:p>
              </w:tc>
              <w:tc>
                <w:tcPr>
                  <w:tcW w:w="417" w:type="pct"/>
                  <w:shd w:val="clear" w:color="auto" w:fill="auto"/>
                  <w:vAlign w:val="center"/>
                </w:tcPr>
                <w:p w14:paraId="527B9FBC">
                  <w:pPr>
                    <w:jc w:val="center"/>
                    <w:rPr>
                      <w:szCs w:val="21"/>
                    </w:rPr>
                  </w:pPr>
                  <w:r>
                    <w:rPr>
                      <w:szCs w:val="21"/>
                    </w:rPr>
                    <w:t>一级</w:t>
                  </w:r>
                </w:p>
              </w:tc>
              <w:tc>
                <w:tcPr>
                  <w:tcW w:w="417" w:type="pct"/>
                  <w:shd w:val="clear" w:color="auto" w:fill="auto"/>
                  <w:vAlign w:val="center"/>
                </w:tcPr>
                <w:p w14:paraId="6BABCBD5">
                  <w:pPr>
                    <w:jc w:val="center"/>
                    <w:rPr>
                      <w:szCs w:val="21"/>
                    </w:rPr>
                  </w:pPr>
                  <w:r>
                    <w:rPr>
                      <w:szCs w:val="21"/>
                    </w:rPr>
                    <w:t>二级</w:t>
                  </w:r>
                </w:p>
              </w:tc>
              <w:tc>
                <w:tcPr>
                  <w:tcW w:w="417" w:type="pct"/>
                  <w:shd w:val="clear" w:color="auto" w:fill="auto"/>
                  <w:vAlign w:val="center"/>
                </w:tcPr>
                <w:p w14:paraId="38B790BB">
                  <w:pPr>
                    <w:jc w:val="center"/>
                    <w:rPr>
                      <w:szCs w:val="21"/>
                    </w:rPr>
                  </w:pPr>
                  <w:r>
                    <w:rPr>
                      <w:szCs w:val="21"/>
                    </w:rPr>
                    <w:t>二级</w:t>
                  </w:r>
                </w:p>
              </w:tc>
              <w:tc>
                <w:tcPr>
                  <w:tcW w:w="498" w:type="pct"/>
                  <w:shd w:val="clear" w:color="auto" w:fill="auto"/>
                  <w:vAlign w:val="center"/>
                </w:tcPr>
                <w:p w14:paraId="75383491">
                  <w:pPr>
                    <w:jc w:val="center"/>
                    <w:rPr>
                      <w:szCs w:val="21"/>
                    </w:rPr>
                  </w:pPr>
                  <w:r>
                    <w:rPr>
                      <w:szCs w:val="21"/>
                    </w:rPr>
                    <w:t>二级</w:t>
                  </w:r>
                </w:p>
              </w:tc>
              <w:tc>
                <w:tcPr>
                  <w:tcW w:w="497" w:type="pct"/>
                  <w:shd w:val="clear" w:color="auto" w:fill="auto"/>
                  <w:vAlign w:val="center"/>
                </w:tcPr>
                <w:p w14:paraId="08458854">
                  <w:pPr>
                    <w:jc w:val="center"/>
                    <w:rPr>
                      <w:szCs w:val="21"/>
                    </w:rPr>
                  </w:pPr>
                  <w:r>
                    <w:rPr>
                      <w:szCs w:val="21"/>
                    </w:rPr>
                    <w:t>三级</w:t>
                  </w:r>
                </w:p>
              </w:tc>
              <w:tc>
                <w:tcPr>
                  <w:tcW w:w="498" w:type="pct"/>
                  <w:shd w:val="clear" w:color="auto" w:fill="auto"/>
                  <w:vAlign w:val="center"/>
                </w:tcPr>
                <w:p w14:paraId="6E8BB67C">
                  <w:pPr>
                    <w:jc w:val="center"/>
                    <w:rPr>
                      <w:szCs w:val="21"/>
                    </w:rPr>
                  </w:pPr>
                  <w:r>
                    <w:rPr>
                      <w:szCs w:val="21"/>
                    </w:rPr>
                    <w:t>三级</w:t>
                  </w:r>
                </w:p>
              </w:tc>
              <w:tc>
                <w:tcPr>
                  <w:tcW w:w="417" w:type="pct"/>
                  <w:shd w:val="clear" w:color="auto" w:fill="auto"/>
                  <w:vAlign w:val="center"/>
                </w:tcPr>
                <w:p w14:paraId="00E4A731">
                  <w:pPr>
                    <w:jc w:val="center"/>
                    <w:rPr>
                      <w:szCs w:val="21"/>
                    </w:rPr>
                  </w:pPr>
                  <w:r>
                    <w:rPr>
                      <w:szCs w:val="21"/>
                    </w:rPr>
                    <w:t>三级</w:t>
                  </w:r>
                </w:p>
              </w:tc>
              <w:tc>
                <w:tcPr>
                  <w:tcW w:w="460" w:type="pct"/>
                  <w:shd w:val="clear" w:color="auto" w:fill="auto"/>
                  <w:vAlign w:val="center"/>
                </w:tcPr>
                <w:p w14:paraId="5EEEA4E4">
                  <w:pPr>
                    <w:jc w:val="center"/>
                    <w:rPr>
                      <w:szCs w:val="21"/>
                    </w:rPr>
                  </w:pPr>
                  <w:r>
                    <w:rPr>
                      <w:szCs w:val="21"/>
                    </w:rPr>
                    <w:t>-</w:t>
                  </w:r>
                </w:p>
              </w:tc>
            </w:tr>
            <w:tr w14:paraId="7CCD4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pct"/>
                  <w:vAlign w:val="center"/>
                </w:tcPr>
                <w:p w14:paraId="0DFD2A74">
                  <w:pPr>
                    <w:jc w:val="center"/>
                    <w:rPr>
                      <w:szCs w:val="21"/>
                    </w:rPr>
                  </w:pPr>
                  <w:r>
                    <w:rPr>
                      <w:szCs w:val="21"/>
                    </w:rPr>
                    <w:t>不敏感</w:t>
                  </w:r>
                </w:p>
              </w:tc>
              <w:tc>
                <w:tcPr>
                  <w:tcW w:w="417" w:type="pct"/>
                  <w:vAlign w:val="center"/>
                </w:tcPr>
                <w:p w14:paraId="44526029">
                  <w:pPr>
                    <w:jc w:val="center"/>
                    <w:rPr>
                      <w:szCs w:val="21"/>
                    </w:rPr>
                  </w:pPr>
                  <w:r>
                    <w:rPr>
                      <w:szCs w:val="21"/>
                    </w:rPr>
                    <w:t>一级</w:t>
                  </w:r>
                </w:p>
              </w:tc>
              <w:tc>
                <w:tcPr>
                  <w:tcW w:w="417" w:type="pct"/>
                  <w:vAlign w:val="center"/>
                </w:tcPr>
                <w:p w14:paraId="273FCB54">
                  <w:pPr>
                    <w:jc w:val="center"/>
                    <w:rPr>
                      <w:szCs w:val="21"/>
                    </w:rPr>
                  </w:pPr>
                  <w:r>
                    <w:rPr>
                      <w:szCs w:val="21"/>
                    </w:rPr>
                    <w:t>二级</w:t>
                  </w:r>
                </w:p>
              </w:tc>
              <w:tc>
                <w:tcPr>
                  <w:tcW w:w="417" w:type="pct"/>
                  <w:vAlign w:val="center"/>
                </w:tcPr>
                <w:p w14:paraId="55682577">
                  <w:pPr>
                    <w:jc w:val="center"/>
                    <w:rPr>
                      <w:szCs w:val="21"/>
                    </w:rPr>
                  </w:pPr>
                  <w:r>
                    <w:rPr>
                      <w:szCs w:val="21"/>
                    </w:rPr>
                    <w:t>二级</w:t>
                  </w:r>
                </w:p>
              </w:tc>
              <w:tc>
                <w:tcPr>
                  <w:tcW w:w="417" w:type="pct"/>
                  <w:vAlign w:val="center"/>
                </w:tcPr>
                <w:p w14:paraId="177218CE">
                  <w:pPr>
                    <w:jc w:val="center"/>
                    <w:rPr>
                      <w:szCs w:val="21"/>
                    </w:rPr>
                  </w:pPr>
                  <w:r>
                    <w:rPr>
                      <w:szCs w:val="21"/>
                    </w:rPr>
                    <w:t>二级</w:t>
                  </w:r>
                </w:p>
              </w:tc>
              <w:tc>
                <w:tcPr>
                  <w:tcW w:w="498" w:type="pct"/>
                  <w:vAlign w:val="center"/>
                </w:tcPr>
                <w:p w14:paraId="0F2E50C2">
                  <w:pPr>
                    <w:jc w:val="center"/>
                    <w:rPr>
                      <w:szCs w:val="21"/>
                    </w:rPr>
                  </w:pPr>
                  <w:r>
                    <w:rPr>
                      <w:szCs w:val="21"/>
                    </w:rPr>
                    <w:t>三级</w:t>
                  </w:r>
                </w:p>
              </w:tc>
              <w:tc>
                <w:tcPr>
                  <w:tcW w:w="497" w:type="pct"/>
                  <w:vAlign w:val="center"/>
                </w:tcPr>
                <w:p w14:paraId="7EDCE59C">
                  <w:pPr>
                    <w:jc w:val="center"/>
                    <w:rPr>
                      <w:szCs w:val="21"/>
                    </w:rPr>
                  </w:pPr>
                  <w:r>
                    <w:rPr>
                      <w:szCs w:val="21"/>
                    </w:rPr>
                    <w:t>三级</w:t>
                  </w:r>
                </w:p>
              </w:tc>
              <w:tc>
                <w:tcPr>
                  <w:tcW w:w="498" w:type="pct"/>
                  <w:vAlign w:val="center"/>
                </w:tcPr>
                <w:p w14:paraId="7B618848">
                  <w:pPr>
                    <w:jc w:val="center"/>
                    <w:rPr>
                      <w:szCs w:val="21"/>
                    </w:rPr>
                  </w:pPr>
                  <w:r>
                    <w:rPr>
                      <w:szCs w:val="21"/>
                    </w:rPr>
                    <w:t>三级</w:t>
                  </w:r>
                </w:p>
              </w:tc>
              <w:tc>
                <w:tcPr>
                  <w:tcW w:w="417" w:type="pct"/>
                  <w:shd w:val="clear" w:color="auto" w:fill="auto"/>
                  <w:vAlign w:val="center"/>
                </w:tcPr>
                <w:p w14:paraId="67B620AC">
                  <w:pPr>
                    <w:jc w:val="center"/>
                    <w:rPr>
                      <w:szCs w:val="21"/>
                    </w:rPr>
                  </w:pPr>
                  <w:r>
                    <w:rPr>
                      <w:szCs w:val="21"/>
                    </w:rPr>
                    <w:t>-</w:t>
                  </w:r>
                </w:p>
              </w:tc>
              <w:tc>
                <w:tcPr>
                  <w:tcW w:w="460" w:type="pct"/>
                  <w:shd w:val="clear" w:color="auto" w:fill="AEAAAA"/>
                  <w:vAlign w:val="center"/>
                </w:tcPr>
                <w:p w14:paraId="511063B0">
                  <w:pPr>
                    <w:jc w:val="center"/>
                    <w:rPr>
                      <w:szCs w:val="21"/>
                    </w:rPr>
                  </w:pPr>
                  <w:r>
                    <w:rPr>
                      <w:szCs w:val="21"/>
                    </w:rPr>
                    <w:t>-</w:t>
                  </w:r>
                </w:p>
              </w:tc>
            </w:tr>
            <w:tr w14:paraId="1ADC3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0"/>
                  <w:vAlign w:val="center"/>
                </w:tcPr>
                <w:p w14:paraId="69D4916F">
                  <w:pPr>
                    <w:jc w:val="left"/>
                    <w:rPr>
                      <w:szCs w:val="21"/>
                    </w:rPr>
                  </w:pPr>
                  <w:r>
                    <w:rPr>
                      <w:szCs w:val="21"/>
                    </w:rPr>
                    <w:t>注：“</w:t>
                  </w:r>
                  <w:r>
                    <w:rPr>
                      <w:rFonts w:hint="eastAsia"/>
                      <w:szCs w:val="21"/>
                      <w:lang w:eastAsia="zh-CN"/>
                    </w:rPr>
                    <w:t>－</w:t>
                  </w:r>
                  <w:r>
                    <w:rPr>
                      <w:szCs w:val="21"/>
                    </w:rPr>
                    <w:t>”表示可不开展土壤环境影响评价工作。</w:t>
                  </w:r>
                </w:p>
              </w:tc>
            </w:tr>
          </w:tbl>
          <w:p w14:paraId="0CEA2D80">
            <w:pPr>
              <w:spacing w:line="360" w:lineRule="auto"/>
              <w:ind w:left="420" w:leftChars="200"/>
              <w:rPr>
                <w:sz w:val="24"/>
              </w:rPr>
            </w:pPr>
            <w:r>
              <w:rPr>
                <w:sz w:val="24"/>
              </w:rPr>
              <w:t>经项目分析，本项目根据等级划分项目不开展土壤环境影响评价工作。</w:t>
            </w:r>
          </w:p>
          <w:p w14:paraId="57B618AB">
            <w:pPr>
              <w:spacing w:line="360" w:lineRule="auto"/>
              <w:rPr>
                <w:b/>
                <w:sz w:val="24"/>
              </w:rPr>
            </w:pPr>
            <w:r>
              <w:rPr>
                <w:rFonts w:hint="eastAsia"/>
                <w:b/>
                <w:sz w:val="24"/>
              </w:rPr>
              <w:t>三、环境风险分析</w:t>
            </w:r>
          </w:p>
          <w:p w14:paraId="1DF28CB7">
            <w:pPr>
              <w:spacing w:line="360" w:lineRule="auto"/>
              <w:ind w:firstLine="480" w:firstLineChars="200"/>
              <w:rPr>
                <w:sz w:val="24"/>
              </w:rPr>
            </w:pPr>
            <w:r>
              <w:rPr>
                <w:rFonts w:hint="eastAsia"/>
                <w:sz w:val="24"/>
              </w:rPr>
              <w:t>依据《建设项目环境风险评价技术导则》</w:t>
            </w:r>
            <w:r>
              <w:rPr>
                <w:sz w:val="24"/>
              </w:rPr>
              <w:t>(HJ169-2018</w:t>
            </w:r>
            <w:r>
              <w:rPr>
                <w:rFonts w:hint="eastAsia"/>
                <w:sz w:val="24"/>
                <w:lang w:eastAsia="zh-CN"/>
              </w:rPr>
              <w:t>）</w:t>
            </w:r>
            <w:r>
              <w:rPr>
                <w:rFonts w:hint="eastAsia"/>
                <w:sz w:val="24"/>
              </w:rPr>
              <w:t>对本项目进行风险评价。以突发性事故导致的危险物质环境急性损害防控为目标，对建设项目的环境风险进行分析、预测和评估，提出环境风险预防、控制、减缓措施，明确环境风险监控及应急建议要求，为建设项目环境风险防控提供科学依据。</w:t>
            </w:r>
          </w:p>
          <w:p w14:paraId="285494F5">
            <w:pPr>
              <w:pStyle w:val="6"/>
              <w:adjustRightInd w:val="0"/>
              <w:snapToGrid w:val="0"/>
              <w:spacing w:line="480" w:lineRule="exact"/>
              <w:ind w:firstLine="480" w:firstLineChars="200"/>
              <w:rPr>
                <w:kern w:val="0"/>
                <w:szCs w:val="24"/>
              </w:rPr>
            </w:pPr>
            <w:r>
              <w:rPr>
                <w:kern w:val="0"/>
                <w:szCs w:val="24"/>
              </w:rPr>
              <w:t>1、风险调查及评价等级</w:t>
            </w:r>
          </w:p>
          <w:p w14:paraId="4FE34029">
            <w:pPr>
              <w:pStyle w:val="6"/>
              <w:adjustRightInd w:val="0"/>
              <w:snapToGrid w:val="0"/>
              <w:spacing w:line="480" w:lineRule="exact"/>
              <w:ind w:firstLine="480" w:firstLineChars="200"/>
              <w:rPr>
                <w:kern w:val="0"/>
                <w:szCs w:val="24"/>
              </w:rPr>
            </w:pPr>
            <w:r>
              <w:rPr>
                <w:kern w:val="0"/>
                <w:szCs w:val="24"/>
              </w:rPr>
              <w:t>本项目使用的原辅材料主要有</w:t>
            </w:r>
            <w:r>
              <w:rPr>
                <w:rFonts w:hint="eastAsia"/>
                <w:kern w:val="0"/>
                <w:szCs w:val="24"/>
              </w:rPr>
              <w:t>木材、水</w:t>
            </w:r>
            <w:r>
              <w:rPr>
                <w:kern w:val="0"/>
                <w:szCs w:val="24"/>
              </w:rPr>
              <w:t>等，本项目</w:t>
            </w:r>
            <w:r>
              <w:rPr>
                <w:rFonts w:hint="eastAsia"/>
                <w:kern w:val="0"/>
                <w:szCs w:val="24"/>
              </w:rPr>
              <w:t>不</w:t>
            </w:r>
            <w:r>
              <w:rPr>
                <w:kern w:val="0"/>
                <w:szCs w:val="24"/>
              </w:rPr>
              <w:t>涉及《建设项目环境风险评价技术导则》（HJ169-2018）和《危险化学品重大危险源辨识》（GB18218-2018）中</w:t>
            </w:r>
            <w:r>
              <w:rPr>
                <w:rFonts w:hint="eastAsia"/>
                <w:kern w:val="0"/>
                <w:szCs w:val="24"/>
              </w:rPr>
              <w:t>的</w:t>
            </w:r>
            <w:r>
              <w:rPr>
                <w:kern w:val="0"/>
                <w:szCs w:val="24"/>
              </w:rPr>
              <w:t>危险物质。</w:t>
            </w:r>
          </w:p>
          <w:p w14:paraId="7D0CFC41">
            <w:pPr>
              <w:spacing w:line="360" w:lineRule="auto"/>
              <w:ind w:firstLine="480" w:firstLineChars="200"/>
              <w:rPr>
                <w:rFonts w:ascii="宋体" w:cs="宋体"/>
                <w:kern w:val="0"/>
                <w:sz w:val="24"/>
              </w:rPr>
            </w:pPr>
            <w:r>
              <w:rPr>
                <w:rFonts w:hint="eastAsia"/>
                <w:sz w:val="24"/>
              </w:rPr>
              <w:t>根据《危险化学品重大危险源识别》（</w:t>
            </w:r>
            <w:r>
              <w:rPr>
                <w:sz w:val="24"/>
              </w:rPr>
              <w:t>GB18218-2018</w:t>
            </w:r>
            <w:r>
              <w:rPr>
                <w:rFonts w:hint="eastAsia"/>
                <w:sz w:val="24"/>
              </w:rPr>
              <w:t>），项目不涉及有毒有害和易燃易爆物质的生产、使用和储运等，无重大危险源。本项目原料及成品为木料和加工后</w:t>
            </w:r>
            <w:r>
              <w:rPr>
                <w:rFonts w:hint="eastAsia" w:ascii="宋体" w:cs="宋体"/>
                <w:kern w:val="0"/>
                <w:sz w:val="24"/>
              </w:rPr>
              <w:t>的木片、木屑，属易燃品，项目运营期使用的机械设备都是利用电能，如果管理不善、操作不当等，可引发火灾、机械伤害等事故，造成人身伤害，</w:t>
            </w:r>
            <w:r>
              <w:rPr>
                <w:kern w:val="0"/>
                <w:sz w:val="24"/>
              </w:rPr>
              <w:t>该项目Q=0，</w:t>
            </w:r>
            <w:r>
              <w:rPr>
                <w:rFonts w:hint="eastAsia" w:ascii="宋体" w:cs="宋体"/>
                <w:kern w:val="0"/>
                <w:sz w:val="24"/>
              </w:rPr>
              <w:t>环境风险潜势为</w:t>
            </w:r>
            <w:r>
              <w:rPr>
                <w:rFonts w:hint="eastAsia" w:ascii="TimesNewRomanPSMT" w:eastAsia="TimesNewRomanPSMT" w:cs="TimesNewRomanPSMT"/>
                <w:kern w:val="0"/>
                <w:sz w:val="24"/>
              </w:rPr>
              <w:t>Ⅰ</w:t>
            </w:r>
            <w:r>
              <w:rPr>
                <w:rFonts w:hint="eastAsia" w:ascii="宋体" w:cs="宋体"/>
                <w:kern w:val="0"/>
                <w:sz w:val="24"/>
              </w:rPr>
              <w:t>。</w:t>
            </w:r>
          </w:p>
          <w:p w14:paraId="76363728">
            <w:pPr>
              <w:spacing w:line="360" w:lineRule="auto"/>
              <w:ind w:firstLine="480" w:firstLineChars="200"/>
              <w:rPr>
                <w:spacing w:val="-2"/>
                <w:sz w:val="24"/>
              </w:rPr>
            </w:pPr>
            <w:r>
              <w:rPr>
                <w:rFonts w:hint="eastAsia"/>
                <w:bCs/>
                <w:sz w:val="24"/>
              </w:rPr>
              <w:t>根据《建设项目环境风险评价技术导则》（HJ/T169-2018）规定，环境风险评价的工作等级根据建设项目涉及的物质及工艺系统危险性和所在地的环境敏感性确定环境风险潜势来确定，详见下表</w:t>
            </w:r>
            <w:r>
              <w:rPr>
                <w:sz w:val="24"/>
              </w:rPr>
              <w:t>7-20</w:t>
            </w:r>
            <w:r>
              <w:rPr>
                <w:rFonts w:hint="eastAsia"/>
                <w:spacing w:val="-2"/>
                <w:sz w:val="24"/>
                <w:szCs w:val="21"/>
              </w:rPr>
              <w:t>。</w:t>
            </w:r>
          </w:p>
          <w:p w14:paraId="18EEE8F4">
            <w:pPr>
              <w:snapToGrid w:val="0"/>
              <w:ind w:firstLine="472" w:firstLineChars="200"/>
              <w:jc w:val="center"/>
              <w:rPr>
                <w:rFonts w:ascii="黑体" w:hAnsi="黑体" w:eastAsia="黑体"/>
                <w:spacing w:val="-2"/>
                <w:sz w:val="24"/>
              </w:rPr>
            </w:pPr>
            <w:r>
              <w:rPr>
                <w:rFonts w:hint="eastAsia" w:ascii="黑体" w:hAnsi="黑体" w:eastAsia="黑体"/>
                <w:spacing w:val="-2"/>
                <w:sz w:val="24"/>
              </w:rPr>
              <w:t>表</w:t>
            </w:r>
            <w:r>
              <w:rPr>
                <w:rFonts w:ascii="黑体" w:hAnsi="黑体" w:eastAsia="黑体"/>
                <w:spacing w:val="-2"/>
                <w:sz w:val="24"/>
              </w:rPr>
              <w:t xml:space="preserve"> 7-20  </w:t>
            </w:r>
            <w:r>
              <w:rPr>
                <w:rFonts w:hint="eastAsia" w:ascii="黑体" w:hAnsi="黑体" w:eastAsia="黑体"/>
                <w:spacing w:val="-2"/>
                <w:sz w:val="24"/>
              </w:rPr>
              <w:t>评价工作等级划分</w:t>
            </w:r>
          </w:p>
          <w:tbl>
            <w:tblPr>
              <w:tblStyle w:val="25"/>
              <w:tblW w:w="8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722"/>
              <w:gridCol w:w="1700"/>
              <w:gridCol w:w="1700"/>
              <w:gridCol w:w="1700"/>
            </w:tblGrid>
            <w:tr w14:paraId="6AFC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701" w:type="dxa"/>
                  <w:tcBorders>
                    <w:top w:val="single" w:color="auto" w:sz="12" w:space="0"/>
                    <w:left w:val="single" w:color="auto" w:sz="12" w:space="0"/>
                    <w:bottom w:val="single" w:color="auto" w:sz="4" w:space="0"/>
                    <w:right w:val="single" w:color="auto" w:sz="4" w:space="0"/>
                  </w:tcBorders>
                  <w:vAlign w:val="center"/>
                </w:tcPr>
                <w:p w14:paraId="206B9004">
                  <w:pPr>
                    <w:adjustRightInd w:val="0"/>
                    <w:snapToGrid w:val="0"/>
                    <w:jc w:val="center"/>
                    <w:rPr>
                      <w:b/>
                      <w:spacing w:val="-2"/>
                      <w:szCs w:val="21"/>
                    </w:rPr>
                  </w:pPr>
                  <w:r>
                    <w:rPr>
                      <w:rFonts w:hint="eastAsia"/>
                      <w:b/>
                      <w:spacing w:val="-2"/>
                      <w:szCs w:val="21"/>
                    </w:rPr>
                    <w:t>环境风险潜势</w:t>
                  </w:r>
                </w:p>
              </w:tc>
              <w:tc>
                <w:tcPr>
                  <w:tcW w:w="1722" w:type="dxa"/>
                  <w:tcBorders>
                    <w:top w:val="single" w:color="auto" w:sz="12" w:space="0"/>
                    <w:left w:val="single" w:color="auto" w:sz="4" w:space="0"/>
                    <w:bottom w:val="single" w:color="auto" w:sz="4" w:space="0"/>
                    <w:right w:val="single" w:color="auto" w:sz="4" w:space="0"/>
                  </w:tcBorders>
                  <w:vAlign w:val="center"/>
                </w:tcPr>
                <w:p w14:paraId="5980A5D8">
                  <w:pPr>
                    <w:adjustRightInd w:val="0"/>
                    <w:snapToGrid w:val="0"/>
                    <w:jc w:val="center"/>
                    <w:rPr>
                      <w:bCs/>
                      <w:spacing w:val="-2"/>
                      <w:szCs w:val="21"/>
                    </w:rPr>
                  </w:pPr>
                  <w:r>
                    <w:rPr>
                      <w:rFonts w:hint="eastAsia" w:ascii="宋体" w:hAnsi="宋体" w:cs="宋体"/>
                      <w:bCs/>
                      <w:spacing w:val="-2"/>
                      <w:szCs w:val="21"/>
                    </w:rPr>
                    <w:t>Ⅳ</w:t>
                  </w:r>
                  <w:r>
                    <w:rPr>
                      <w:rFonts w:hint="eastAsia"/>
                      <w:bCs/>
                      <w:spacing w:val="-2"/>
                      <w:szCs w:val="21"/>
                    </w:rPr>
                    <w:t>、</w:t>
                  </w:r>
                  <w:r>
                    <w:rPr>
                      <w:rFonts w:hint="eastAsia" w:ascii="宋体" w:hAnsi="宋体" w:cs="宋体"/>
                      <w:bCs/>
                      <w:spacing w:val="-2"/>
                      <w:szCs w:val="21"/>
                    </w:rPr>
                    <w:t>Ⅳ</w:t>
                  </w:r>
                  <w:r>
                    <w:rPr>
                      <w:bCs/>
                      <w:spacing w:val="-2"/>
                      <w:szCs w:val="21"/>
                      <w:vertAlign w:val="superscript"/>
                    </w:rPr>
                    <w:t>+</w:t>
                  </w:r>
                </w:p>
              </w:tc>
              <w:tc>
                <w:tcPr>
                  <w:tcW w:w="1700" w:type="dxa"/>
                  <w:tcBorders>
                    <w:top w:val="single" w:color="auto" w:sz="12" w:space="0"/>
                    <w:left w:val="single" w:color="auto" w:sz="4" w:space="0"/>
                    <w:bottom w:val="single" w:color="auto" w:sz="4" w:space="0"/>
                    <w:right w:val="single" w:color="auto" w:sz="4" w:space="0"/>
                  </w:tcBorders>
                  <w:vAlign w:val="center"/>
                </w:tcPr>
                <w:p w14:paraId="376738BE">
                  <w:pPr>
                    <w:adjustRightInd w:val="0"/>
                    <w:snapToGrid w:val="0"/>
                    <w:jc w:val="center"/>
                    <w:rPr>
                      <w:bCs/>
                      <w:spacing w:val="-2"/>
                      <w:szCs w:val="21"/>
                    </w:rPr>
                  </w:pPr>
                  <w:r>
                    <w:rPr>
                      <w:rFonts w:hint="eastAsia" w:ascii="宋体" w:hAnsi="宋体" w:cs="宋体"/>
                      <w:bCs/>
                      <w:spacing w:val="-2"/>
                      <w:szCs w:val="21"/>
                    </w:rPr>
                    <w:t>Ⅲ</w:t>
                  </w:r>
                </w:p>
              </w:tc>
              <w:tc>
                <w:tcPr>
                  <w:tcW w:w="1700" w:type="dxa"/>
                  <w:tcBorders>
                    <w:top w:val="single" w:color="auto" w:sz="12" w:space="0"/>
                    <w:left w:val="single" w:color="auto" w:sz="4" w:space="0"/>
                    <w:bottom w:val="single" w:color="auto" w:sz="4" w:space="0"/>
                    <w:right w:val="single" w:color="auto" w:sz="4" w:space="0"/>
                  </w:tcBorders>
                  <w:vAlign w:val="center"/>
                </w:tcPr>
                <w:p w14:paraId="0DF8B2BC">
                  <w:pPr>
                    <w:adjustRightInd w:val="0"/>
                    <w:snapToGrid w:val="0"/>
                    <w:jc w:val="center"/>
                    <w:rPr>
                      <w:bCs/>
                      <w:spacing w:val="-2"/>
                      <w:szCs w:val="21"/>
                    </w:rPr>
                  </w:pPr>
                  <w:r>
                    <w:rPr>
                      <w:rFonts w:hint="eastAsia" w:ascii="宋体" w:hAnsi="宋体" w:cs="宋体"/>
                      <w:bCs/>
                      <w:spacing w:val="-2"/>
                      <w:szCs w:val="21"/>
                    </w:rPr>
                    <w:t>Ⅱ</w:t>
                  </w:r>
                </w:p>
              </w:tc>
              <w:tc>
                <w:tcPr>
                  <w:tcW w:w="1700" w:type="dxa"/>
                  <w:tcBorders>
                    <w:top w:val="single" w:color="auto" w:sz="12" w:space="0"/>
                    <w:left w:val="single" w:color="auto" w:sz="4" w:space="0"/>
                    <w:bottom w:val="single" w:color="auto" w:sz="4" w:space="0"/>
                    <w:right w:val="single" w:color="auto" w:sz="12" w:space="0"/>
                  </w:tcBorders>
                  <w:shd w:val="clear" w:color="auto" w:fill="BEBEBE"/>
                  <w:vAlign w:val="center"/>
                </w:tcPr>
                <w:p w14:paraId="18ED8461">
                  <w:pPr>
                    <w:adjustRightInd w:val="0"/>
                    <w:snapToGrid w:val="0"/>
                    <w:jc w:val="center"/>
                    <w:rPr>
                      <w:bCs/>
                      <w:spacing w:val="-2"/>
                      <w:szCs w:val="21"/>
                    </w:rPr>
                  </w:pPr>
                  <w:r>
                    <w:rPr>
                      <w:rFonts w:hint="eastAsia" w:ascii="宋体" w:hAnsi="宋体" w:cs="宋体"/>
                      <w:bCs/>
                      <w:spacing w:val="-2"/>
                      <w:szCs w:val="21"/>
                    </w:rPr>
                    <w:t>Ⅰ</w:t>
                  </w:r>
                </w:p>
              </w:tc>
            </w:tr>
            <w:tr w14:paraId="39751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701" w:type="dxa"/>
                  <w:tcBorders>
                    <w:top w:val="single" w:color="auto" w:sz="4" w:space="0"/>
                    <w:left w:val="single" w:color="auto" w:sz="12" w:space="0"/>
                    <w:bottom w:val="single" w:color="auto" w:sz="4" w:space="0"/>
                    <w:right w:val="single" w:color="auto" w:sz="4" w:space="0"/>
                  </w:tcBorders>
                  <w:vAlign w:val="center"/>
                </w:tcPr>
                <w:p w14:paraId="6BF91F34">
                  <w:pPr>
                    <w:adjustRightInd w:val="0"/>
                    <w:snapToGrid w:val="0"/>
                    <w:jc w:val="center"/>
                    <w:rPr>
                      <w:b/>
                      <w:spacing w:val="-2"/>
                      <w:szCs w:val="21"/>
                    </w:rPr>
                  </w:pPr>
                  <w:r>
                    <w:rPr>
                      <w:rFonts w:hint="eastAsia"/>
                      <w:b/>
                      <w:spacing w:val="-2"/>
                      <w:szCs w:val="21"/>
                    </w:rPr>
                    <w:t>评价工作等级</w:t>
                  </w:r>
                </w:p>
              </w:tc>
              <w:tc>
                <w:tcPr>
                  <w:tcW w:w="1722" w:type="dxa"/>
                  <w:tcBorders>
                    <w:top w:val="single" w:color="auto" w:sz="4" w:space="0"/>
                    <w:left w:val="single" w:color="auto" w:sz="4" w:space="0"/>
                    <w:bottom w:val="single" w:color="auto" w:sz="4" w:space="0"/>
                    <w:right w:val="single" w:color="auto" w:sz="4" w:space="0"/>
                  </w:tcBorders>
                  <w:vAlign w:val="center"/>
                </w:tcPr>
                <w:p w14:paraId="4F2F0DF1">
                  <w:pPr>
                    <w:adjustRightInd w:val="0"/>
                    <w:snapToGrid w:val="0"/>
                    <w:jc w:val="center"/>
                    <w:rPr>
                      <w:bCs/>
                      <w:spacing w:val="-2"/>
                      <w:szCs w:val="21"/>
                    </w:rPr>
                  </w:pPr>
                  <w:r>
                    <w:rPr>
                      <w:rFonts w:hint="eastAsia"/>
                      <w:bCs/>
                      <w:spacing w:val="-2"/>
                      <w:szCs w:val="21"/>
                    </w:rPr>
                    <w:t>一</w:t>
                  </w:r>
                </w:p>
              </w:tc>
              <w:tc>
                <w:tcPr>
                  <w:tcW w:w="1700" w:type="dxa"/>
                  <w:tcBorders>
                    <w:top w:val="single" w:color="auto" w:sz="4" w:space="0"/>
                    <w:left w:val="single" w:color="auto" w:sz="4" w:space="0"/>
                    <w:bottom w:val="single" w:color="auto" w:sz="4" w:space="0"/>
                    <w:right w:val="single" w:color="auto" w:sz="4" w:space="0"/>
                  </w:tcBorders>
                  <w:vAlign w:val="center"/>
                </w:tcPr>
                <w:p w14:paraId="5B36C0B9">
                  <w:pPr>
                    <w:adjustRightInd w:val="0"/>
                    <w:snapToGrid w:val="0"/>
                    <w:jc w:val="center"/>
                    <w:rPr>
                      <w:bCs/>
                      <w:spacing w:val="-2"/>
                      <w:szCs w:val="21"/>
                    </w:rPr>
                  </w:pPr>
                  <w:r>
                    <w:rPr>
                      <w:rFonts w:hint="eastAsia"/>
                      <w:bCs/>
                      <w:spacing w:val="-2"/>
                      <w:szCs w:val="21"/>
                    </w:rPr>
                    <w:t>二</w:t>
                  </w:r>
                </w:p>
              </w:tc>
              <w:tc>
                <w:tcPr>
                  <w:tcW w:w="1700" w:type="dxa"/>
                  <w:tcBorders>
                    <w:top w:val="single" w:color="auto" w:sz="4" w:space="0"/>
                    <w:left w:val="single" w:color="auto" w:sz="4" w:space="0"/>
                    <w:bottom w:val="single" w:color="auto" w:sz="4" w:space="0"/>
                    <w:right w:val="single" w:color="auto" w:sz="4" w:space="0"/>
                  </w:tcBorders>
                  <w:vAlign w:val="center"/>
                </w:tcPr>
                <w:p w14:paraId="5E8C61CE">
                  <w:pPr>
                    <w:adjustRightInd w:val="0"/>
                    <w:snapToGrid w:val="0"/>
                    <w:jc w:val="center"/>
                    <w:rPr>
                      <w:bCs/>
                      <w:spacing w:val="-2"/>
                      <w:szCs w:val="21"/>
                    </w:rPr>
                  </w:pPr>
                  <w:r>
                    <w:rPr>
                      <w:rFonts w:hint="eastAsia"/>
                      <w:bCs/>
                      <w:spacing w:val="-2"/>
                      <w:szCs w:val="21"/>
                    </w:rPr>
                    <w:t>三</w:t>
                  </w:r>
                </w:p>
              </w:tc>
              <w:tc>
                <w:tcPr>
                  <w:tcW w:w="1700" w:type="dxa"/>
                  <w:tcBorders>
                    <w:top w:val="single" w:color="auto" w:sz="4" w:space="0"/>
                    <w:left w:val="single" w:color="auto" w:sz="4" w:space="0"/>
                    <w:bottom w:val="single" w:color="auto" w:sz="4" w:space="0"/>
                    <w:right w:val="single" w:color="auto" w:sz="12" w:space="0"/>
                  </w:tcBorders>
                  <w:shd w:val="clear" w:color="auto" w:fill="BEBEBE"/>
                  <w:vAlign w:val="center"/>
                </w:tcPr>
                <w:p w14:paraId="4A910B8E">
                  <w:pPr>
                    <w:adjustRightInd w:val="0"/>
                    <w:snapToGrid w:val="0"/>
                    <w:jc w:val="center"/>
                    <w:rPr>
                      <w:bCs/>
                      <w:spacing w:val="-2"/>
                      <w:szCs w:val="21"/>
                    </w:rPr>
                  </w:pPr>
                  <w:r>
                    <w:rPr>
                      <w:rFonts w:hint="eastAsia"/>
                      <w:bCs/>
                      <w:spacing w:val="-2"/>
                      <w:szCs w:val="21"/>
                    </w:rPr>
                    <w:t>简单分析</w:t>
                  </w:r>
                  <w:r>
                    <w:rPr>
                      <w:bCs/>
                      <w:spacing w:val="-2"/>
                      <w:szCs w:val="21"/>
                      <w:vertAlign w:val="superscript"/>
                    </w:rPr>
                    <w:t>a</w:t>
                  </w:r>
                </w:p>
              </w:tc>
            </w:tr>
            <w:tr w14:paraId="6793A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8523" w:type="dxa"/>
                  <w:gridSpan w:val="5"/>
                  <w:tcBorders>
                    <w:top w:val="single" w:color="auto" w:sz="4" w:space="0"/>
                    <w:left w:val="single" w:color="auto" w:sz="12" w:space="0"/>
                    <w:bottom w:val="single" w:color="auto" w:sz="12" w:space="0"/>
                    <w:right w:val="single" w:color="auto" w:sz="12" w:space="0"/>
                  </w:tcBorders>
                  <w:vAlign w:val="center"/>
                </w:tcPr>
                <w:p w14:paraId="5C69F2C7">
                  <w:pPr>
                    <w:adjustRightInd w:val="0"/>
                    <w:snapToGrid w:val="0"/>
                    <w:jc w:val="left"/>
                    <w:rPr>
                      <w:b/>
                      <w:spacing w:val="-2"/>
                      <w:szCs w:val="21"/>
                    </w:rPr>
                  </w:pPr>
                  <w:r>
                    <w:rPr>
                      <w:bCs/>
                      <w:spacing w:val="-2"/>
                      <w:szCs w:val="21"/>
                      <w:vertAlign w:val="superscript"/>
                    </w:rPr>
                    <w:t xml:space="preserve">a </w:t>
                  </w:r>
                  <w:r>
                    <w:rPr>
                      <w:rFonts w:hint="eastAsia"/>
                      <w:bCs/>
                      <w:spacing w:val="-2"/>
                      <w:szCs w:val="21"/>
                    </w:rPr>
                    <w:t>是相对于详细评价工作内容而言，在描述危险物质、换金影响途径、环境危害后果、风险防范措施等方面给出定性的说明。</w:t>
                  </w:r>
                </w:p>
              </w:tc>
            </w:tr>
          </w:tbl>
          <w:p w14:paraId="271B23AF">
            <w:pPr>
              <w:wordWrap w:val="0"/>
              <w:adjustRightInd w:val="0"/>
              <w:snapToGrid w:val="0"/>
              <w:spacing w:before="156" w:beforeLines="50" w:line="360" w:lineRule="auto"/>
              <w:ind w:firstLine="480" w:firstLineChars="200"/>
              <w:rPr>
                <w:snapToGrid w:val="0"/>
                <w:sz w:val="24"/>
              </w:rPr>
            </w:pPr>
            <w:r>
              <w:rPr>
                <w:rFonts w:hint="eastAsia"/>
                <w:snapToGrid w:val="0"/>
                <w:sz w:val="24"/>
              </w:rPr>
              <w:t>确定本项目环境风险等级为简单评价。</w:t>
            </w:r>
          </w:p>
          <w:p w14:paraId="06D2AEE4">
            <w:pPr>
              <w:pStyle w:val="6"/>
              <w:adjustRightInd w:val="0"/>
              <w:snapToGrid w:val="0"/>
              <w:spacing w:line="480" w:lineRule="exact"/>
              <w:ind w:firstLine="480" w:firstLineChars="200"/>
              <w:rPr>
                <w:kern w:val="0"/>
                <w:szCs w:val="24"/>
              </w:rPr>
            </w:pPr>
            <w:r>
              <w:rPr>
                <w:kern w:val="0"/>
                <w:szCs w:val="24"/>
              </w:rPr>
              <w:t>2、环境敏感目标概况</w:t>
            </w:r>
          </w:p>
          <w:p w14:paraId="5B8C0398">
            <w:pPr>
              <w:pStyle w:val="6"/>
              <w:adjustRightInd w:val="0"/>
              <w:snapToGrid w:val="0"/>
              <w:spacing w:line="480" w:lineRule="exact"/>
              <w:ind w:firstLine="480" w:firstLineChars="200"/>
              <w:rPr>
                <w:kern w:val="0"/>
                <w:szCs w:val="24"/>
              </w:rPr>
            </w:pPr>
            <w:r>
              <w:rPr>
                <w:kern w:val="0"/>
                <w:szCs w:val="24"/>
              </w:rPr>
              <w:t>项目用地为</w:t>
            </w:r>
            <w:r>
              <w:rPr>
                <w:rFonts w:hint="eastAsia"/>
                <w:kern w:val="0"/>
                <w:szCs w:val="24"/>
              </w:rPr>
              <w:t>自有木材配套建设用地</w:t>
            </w:r>
            <w:r>
              <w:rPr>
                <w:kern w:val="0"/>
                <w:szCs w:val="24"/>
              </w:rPr>
              <w:t>，周边</w:t>
            </w:r>
            <w:r>
              <w:rPr>
                <w:rFonts w:hint="eastAsia"/>
                <w:kern w:val="0"/>
                <w:szCs w:val="24"/>
              </w:rPr>
              <w:t>为林地</w:t>
            </w:r>
            <w:r>
              <w:rPr>
                <w:kern w:val="0"/>
                <w:szCs w:val="24"/>
              </w:rPr>
              <w:t>和少量散居居民</w:t>
            </w:r>
            <w:r>
              <w:rPr>
                <w:rFonts w:hint="eastAsia"/>
                <w:kern w:val="0"/>
                <w:szCs w:val="24"/>
              </w:rPr>
              <w:t>，</w:t>
            </w:r>
            <w:r>
              <w:rPr>
                <w:kern w:val="0"/>
                <w:szCs w:val="24"/>
              </w:rPr>
              <w:t>其中有</w:t>
            </w:r>
            <w:r>
              <w:rPr>
                <w:rFonts w:hint="eastAsia"/>
                <w:kern w:val="0"/>
                <w:szCs w:val="24"/>
              </w:rPr>
              <w:t>车间及</w:t>
            </w:r>
            <w:r>
              <w:rPr>
                <w:kern w:val="0"/>
                <w:szCs w:val="24"/>
              </w:rPr>
              <w:t>厂房</w:t>
            </w:r>
            <w:r>
              <w:rPr>
                <w:rFonts w:hint="eastAsia"/>
                <w:kern w:val="0"/>
                <w:szCs w:val="24"/>
              </w:rPr>
              <w:t>墙体及林地</w:t>
            </w:r>
            <w:r>
              <w:rPr>
                <w:kern w:val="0"/>
                <w:szCs w:val="24"/>
              </w:rPr>
              <w:t>间隔。</w:t>
            </w:r>
          </w:p>
          <w:p w14:paraId="2572C2D9">
            <w:pPr>
              <w:pStyle w:val="6"/>
              <w:adjustRightInd w:val="0"/>
              <w:snapToGrid w:val="0"/>
              <w:spacing w:line="480" w:lineRule="exact"/>
              <w:ind w:firstLine="480" w:firstLineChars="200"/>
              <w:rPr>
                <w:kern w:val="0"/>
                <w:szCs w:val="24"/>
              </w:rPr>
            </w:pPr>
            <w:r>
              <w:rPr>
                <w:kern w:val="0"/>
                <w:szCs w:val="24"/>
              </w:rPr>
              <w:t>3、环境风险识别</w:t>
            </w:r>
          </w:p>
          <w:p w14:paraId="3EA9D680">
            <w:pPr>
              <w:pStyle w:val="6"/>
              <w:adjustRightInd w:val="0"/>
              <w:snapToGrid w:val="0"/>
              <w:spacing w:line="480" w:lineRule="exact"/>
              <w:ind w:firstLine="480" w:firstLineChars="200"/>
              <w:rPr>
                <w:kern w:val="0"/>
                <w:szCs w:val="24"/>
              </w:rPr>
            </w:pPr>
            <w:r>
              <w:rPr>
                <w:kern w:val="0"/>
                <w:szCs w:val="24"/>
              </w:rPr>
              <w:t>项目主要危险物质为生活污水，主要存在于</w:t>
            </w:r>
            <w:r>
              <w:rPr>
                <w:rFonts w:hint="eastAsia"/>
                <w:kern w:val="0"/>
                <w:szCs w:val="24"/>
              </w:rPr>
              <w:t>污水预处理设施</w:t>
            </w:r>
            <w:r>
              <w:rPr>
                <w:kern w:val="0"/>
                <w:szCs w:val="24"/>
              </w:rPr>
              <w:t>，可能产生的环境污染为泄漏及事故废水等。</w:t>
            </w:r>
          </w:p>
          <w:p w14:paraId="1496B3E9">
            <w:pPr>
              <w:pStyle w:val="6"/>
              <w:adjustRightInd w:val="0"/>
              <w:snapToGrid w:val="0"/>
              <w:spacing w:line="480" w:lineRule="exact"/>
              <w:ind w:firstLine="480" w:firstLineChars="200"/>
              <w:rPr>
                <w:kern w:val="0"/>
                <w:szCs w:val="24"/>
              </w:rPr>
            </w:pPr>
            <w:r>
              <w:rPr>
                <w:kern w:val="0"/>
                <w:szCs w:val="24"/>
              </w:rPr>
              <w:t>4、环境风险分析</w:t>
            </w:r>
          </w:p>
          <w:p w14:paraId="7480A917">
            <w:pPr>
              <w:pStyle w:val="6"/>
              <w:adjustRightInd w:val="0"/>
              <w:snapToGrid w:val="0"/>
              <w:spacing w:line="480" w:lineRule="exact"/>
              <w:ind w:firstLine="480" w:firstLineChars="200"/>
              <w:rPr>
                <w:kern w:val="0"/>
                <w:szCs w:val="24"/>
              </w:rPr>
            </w:pPr>
            <w:r>
              <w:rPr>
                <w:rFonts w:hint="eastAsia" w:ascii="宋体" w:hAnsi="宋体" w:cs="宋体"/>
                <w:kern w:val="0"/>
                <w:szCs w:val="24"/>
              </w:rPr>
              <w:t>①</w:t>
            </w:r>
            <w:r>
              <w:rPr>
                <w:kern w:val="0"/>
                <w:szCs w:val="24"/>
              </w:rPr>
              <w:t>因环保设施失灵，废水泄漏进入土壤、水体，导致外环境污染物质超标。</w:t>
            </w:r>
          </w:p>
          <w:p w14:paraId="06E3C115">
            <w:pPr>
              <w:pStyle w:val="6"/>
              <w:adjustRightInd w:val="0"/>
              <w:snapToGrid w:val="0"/>
              <w:spacing w:line="480" w:lineRule="exact"/>
              <w:ind w:firstLine="480" w:firstLineChars="200"/>
              <w:rPr>
                <w:rFonts w:ascii="宋体" w:hAnsi="宋体" w:cs="宋体"/>
                <w:kern w:val="0"/>
                <w:szCs w:val="24"/>
              </w:rPr>
            </w:pPr>
            <w:r>
              <w:rPr>
                <w:rFonts w:hint="eastAsia" w:ascii="宋体" w:hAnsi="宋体" w:cs="宋体"/>
                <w:kern w:val="0"/>
                <w:szCs w:val="24"/>
              </w:rPr>
              <w:t>②</w:t>
            </w:r>
            <w:r>
              <w:rPr>
                <w:kern w:val="0"/>
                <w:szCs w:val="24"/>
              </w:rPr>
              <w:t>火灾事故导致大气污染，火灾产生的消防水进入水体、土壤导致污染。</w:t>
            </w:r>
          </w:p>
          <w:p w14:paraId="6A73017E">
            <w:pPr>
              <w:pStyle w:val="6"/>
              <w:adjustRightInd w:val="0"/>
              <w:snapToGrid w:val="0"/>
              <w:spacing w:line="480" w:lineRule="exact"/>
              <w:ind w:firstLine="480" w:firstLineChars="200"/>
              <w:rPr>
                <w:kern w:val="0"/>
                <w:szCs w:val="24"/>
              </w:rPr>
            </w:pPr>
            <w:r>
              <w:rPr>
                <w:rFonts w:hint="eastAsia" w:ascii="宋体" w:hAnsi="宋体" w:cs="宋体"/>
                <w:kern w:val="0"/>
                <w:szCs w:val="24"/>
              </w:rPr>
              <w:t>③</w:t>
            </w:r>
            <w:r>
              <w:rPr>
                <w:kern w:val="0"/>
                <w:szCs w:val="24"/>
              </w:rPr>
              <w:t>原料堆放过高导致坍塌、滑坡，在暴雨灾害天气下事故造成泥沙随地表径流进入水体。</w:t>
            </w:r>
          </w:p>
          <w:p w14:paraId="590D27D2">
            <w:pPr>
              <w:pStyle w:val="6"/>
              <w:adjustRightInd w:val="0"/>
              <w:snapToGrid w:val="0"/>
              <w:spacing w:line="480" w:lineRule="exact"/>
              <w:ind w:firstLine="480" w:firstLineChars="200"/>
              <w:rPr>
                <w:kern w:val="0"/>
                <w:szCs w:val="24"/>
              </w:rPr>
            </w:pPr>
            <w:r>
              <w:rPr>
                <w:kern w:val="0"/>
                <w:szCs w:val="24"/>
              </w:rPr>
              <w:t>5、环境风险防范措施及应急要求</w:t>
            </w:r>
          </w:p>
          <w:p w14:paraId="5734C2D8">
            <w:pPr>
              <w:spacing w:line="360" w:lineRule="auto"/>
              <w:ind w:firstLine="480" w:firstLineChars="200"/>
              <w:rPr>
                <w:bCs/>
                <w:sz w:val="24"/>
              </w:rPr>
            </w:pPr>
            <w:r>
              <w:rPr>
                <w:rFonts w:hint="eastAsia"/>
                <w:bCs/>
                <w:sz w:val="24"/>
              </w:rPr>
              <w:t>1）火灾的防范措施</w:t>
            </w:r>
          </w:p>
          <w:p w14:paraId="1E23C33E">
            <w:pPr>
              <w:spacing w:line="360" w:lineRule="auto"/>
              <w:ind w:firstLine="480" w:firstLineChars="200"/>
              <w:rPr>
                <w:bCs/>
                <w:sz w:val="24"/>
              </w:rPr>
            </w:pPr>
            <w:r>
              <w:rPr>
                <w:rFonts w:hint="eastAsia"/>
                <w:bCs/>
                <w:sz w:val="24"/>
              </w:rPr>
              <w:t>根据项目特点，项目原料及成品为木料和加工后的木片、木屑属于易燃物质，本次评价对项目提出以下防火要求：</w:t>
            </w:r>
          </w:p>
          <w:p w14:paraId="5D05F524">
            <w:pPr>
              <w:spacing w:line="360" w:lineRule="auto"/>
              <w:ind w:firstLine="480" w:firstLineChars="200"/>
              <w:rPr>
                <w:bCs/>
                <w:sz w:val="24"/>
              </w:rPr>
            </w:pPr>
            <w:r>
              <w:rPr>
                <w:rFonts w:hint="eastAsia"/>
                <w:bCs/>
                <w:sz w:val="24"/>
              </w:rPr>
              <w:t>①生产人员上岗前要进行三级安全培训，并会熟练使用岗位配置的灭火设施；</w:t>
            </w:r>
          </w:p>
          <w:p w14:paraId="489A5B31">
            <w:pPr>
              <w:spacing w:line="360" w:lineRule="auto"/>
              <w:ind w:firstLine="480" w:firstLineChars="200"/>
              <w:rPr>
                <w:bCs/>
                <w:sz w:val="24"/>
              </w:rPr>
            </w:pPr>
            <w:r>
              <w:rPr>
                <w:rFonts w:hint="eastAsia"/>
                <w:bCs/>
                <w:sz w:val="24"/>
              </w:rPr>
              <w:t>②所有进入车间、库房的人员，不得携带火种进入，库区内严禁吸烟、用火。</w:t>
            </w:r>
          </w:p>
          <w:p w14:paraId="64A93CF7">
            <w:pPr>
              <w:spacing w:line="360" w:lineRule="auto"/>
              <w:ind w:firstLine="480" w:firstLineChars="200"/>
              <w:rPr>
                <w:bCs/>
                <w:sz w:val="24"/>
              </w:rPr>
            </w:pPr>
            <w:r>
              <w:rPr>
                <w:rFonts w:hint="eastAsia"/>
                <w:bCs/>
                <w:sz w:val="24"/>
              </w:rPr>
              <w:t>③项目使用电气设备经常检查，发现可能引起打火、短路、发热和绝缘不良等情况时，必须立即修理。</w:t>
            </w:r>
          </w:p>
          <w:p w14:paraId="4B94CB96">
            <w:pPr>
              <w:spacing w:line="360" w:lineRule="auto"/>
              <w:ind w:firstLine="480" w:firstLineChars="200"/>
              <w:rPr>
                <w:bCs/>
                <w:sz w:val="24"/>
              </w:rPr>
            </w:pPr>
            <w:r>
              <w:rPr>
                <w:rFonts w:hint="eastAsia"/>
                <w:bCs/>
                <w:sz w:val="24"/>
              </w:rPr>
              <w:t>④车间、仓库内配置的灭火器、消防设施周围严禁对方其它物品，消防器材设备派专人负责管理，定期检查维修，保证完整好用。</w:t>
            </w:r>
          </w:p>
          <w:p w14:paraId="26531D00">
            <w:pPr>
              <w:spacing w:line="360" w:lineRule="auto"/>
              <w:ind w:firstLine="480" w:firstLineChars="200"/>
              <w:rPr>
                <w:bCs/>
                <w:sz w:val="24"/>
              </w:rPr>
            </w:pPr>
            <w:r>
              <w:rPr>
                <w:rFonts w:hint="eastAsia"/>
                <w:bCs/>
                <w:sz w:val="24"/>
              </w:rPr>
              <w:t>⑤每日应对车间及仓库内物资进行巡视检查，发现火种、火源、电源及库内环境存在与防火安全相抵触的问题要及时发现，及时消除。</w:t>
            </w:r>
          </w:p>
          <w:p w14:paraId="5D8C44DE">
            <w:pPr>
              <w:spacing w:line="360" w:lineRule="auto"/>
              <w:ind w:firstLine="480" w:firstLineChars="200"/>
              <w:rPr>
                <w:bCs/>
                <w:sz w:val="24"/>
              </w:rPr>
            </w:pPr>
            <w:r>
              <w:rPr>
                <w:rFonts w:hint="eastAsia"/>
                <w:bCs/>
                <w:sz w:val="24"/>
              </w:rPr>
              <w:t>⑥保持设备的清洁卫生，坚持每月的系统的维护，确保机器设备的正常运作。</w:t>
            </w:r>
          </w:p>
          <w:p w14:paraId="693AD781">
            <w:pPr>
              <w:spacing w:line="360" w:lineRule="auto"/>
              <w:ind w:firstLine="480" w:firstLineChars="200"/>
              <w:rPr>
                <w:bCs/>
                <w:sz w:val="24"/>
              </w:rPr>
            </w:pPr>
            <w:r>
              <w:rPr>
                <w:rFonts w:hint="eastAsia"/>
                <w:bCs/>
                <w:sz w:val="24"/>
              </w:rPr>
              <w:t>2）建立健全安全环境管理制度</w:t>
            </w:r>
          </w:p>
          <w:p w14:paraId="116A6E6C">
            <w:pPr>
              <w:spacing w:line="360" w:lineRule="auto"/>
              <w:ind w:firstLine="480" w:firstLineChars="200"/>
              <w:rPr>
                <w:bCs/>
                <w:sz w:val="24"/>
              </w:rPr>
            </w:pPr>
            <w:r>
              <w:rPr>
                <w:rFonts w:hint="eastAsia"/>
                <w:bCs/>
                <w:sz w:val="24"/>
              </w:rPr>
              <w:t>①火灾：本项目生产中操作不当、管理不善发生电线短路等现象，可引发火灾，导致人员伤害。</w:t>
            </w:r>
          </w:p>
          <w:p w14:paraId="3B1AD0B2">
            <w:pPr>
              <w:spacing w:line="360" w:lineRule="auto"/>
              <w:ind w:firstLine="480" w:firstLineChars="200"/>
              <w:rPr>
                <w:bCs/>
                <w:sz w:val="24"/>
              </w:rPr>
            </w:pPr>
            <w:r>
              <w:rPr>
                <w:rFonts w:hint="eastAsia"/>
                <w:bCs/>
                <w:sz w:val="24"/>
              </w:rPr>
              <w:t>②机械伤害：生产装置中有电动传输设备，因此存有机械伤害危险。生产过程中，设备安全操作规程不完善或设备操作人员没有严格按照操作规程进行操作，则有可能发生安全事故，对操作人员或车间其他人员造成人身伤害。</w:t>
            </w:r>
          </w:p>
          <w:p w14:paraId="0EC4FDA1">
            <w:pPr>
              <w:spacing w:line="360" w:lineRule="auto"/>
              <w:ind w:firstLine="480" w:firstLineChars="200"/>
              <w:rPr>
                <w:bCs/>
                <w:sz w:val="24"/>
              </w:rPr>
            </w:pPr>
            <w:r>
              <w:rPr>
                <w:rFonts w:hint="eastAsia"/>
                <w:bCs/>
                <w:sz w:val="24"/>
              </w:rPr>
              <w:t>针对上述风险，应采取以下劳动安全卫生措施：</w:t>
            </w:r>
          </w:p>
          <w:p w14:paraId="3642CF79">
            <w:pPr>
              <w:spacing w:line="360" w:lineRule="auto"/>
              <w:ind w:firstLine="480" w:firstLineChars="200"/>
              <w:rPr>
                <w:bCs/>
                <w:sz w:val="24"/>
              </w:rPr>
            </w:pPr>
            <w:r>
              <w:rPr>
                <w:rFonts w:hint="eastAsia"/>
                <w:bCs/>
                <w:sz w:val="24"/>
              </w:rPr>
              <w:t>① 制定切实可行的安全操作规程和工艺规程，按照《中华人民共和国劳动法》的有关规定，制定切实可行的劳动保护措施。</w:t>
            </w:r>
          </w:p>
          <w:p w14:paraId="3C1E2176">
            <w:pPr>
              <w:spacing w:line="360" w:lineRule="auto"/>
              <w:ind w:firstLine="480" w:firstLineChars="200"/>
              <w:rPr>
                <w:bCs/>
                <w:sz w:val="24"/>
              </w:rPr>
            </w:pPr>
            <w:r>
              <w:rPr>
                <w:rFonts w:hint="eastAsia"/>
                <w:bCs/>
                <w:sz w:val="24"/>
              </w:rPr>
              <w:t>② 严格规范设备的操作过程，定期检修。</w:t>
            </w:r>
          </w:p>
          <w:p w14:paraId="6AF670CD">
            <w:pPr>
              <w:spacing w:line="360" w:lineRule="auto"/>
              <w:ind w:firstLine="480" w:firstLineChars="200"/>
              <w:rPr>
                <w:bCs/>
                <w:sz w:val="24"/>
              </w:rPr>
            </w:pPr>
            <w:r>
              <w:rPr>
                <w:rFonts w:hint="eastAsia"/>
                <w:bCs/>
                <w:sz w:val="24"/>
              </w:rPr>
              <w:t>③ 车间应设置强制排风设备，改善车间空气环境。</w:t>
            </w:r>
          </w:p>
          <w:p w14:paraId="0B524683">
            <w:pPr>
              <w:spacing w:line="360" w:lineRule="auto"/>
              <w:ind w:firstLine="480" w:firstLineChars="200"/>
              <w:rPr>
                <w:bCs/>
                <w:sz w:val="24"/>
              </w:rPr>
            </w:pPr>
            <w:r>
              <w:rPr>
                <w:rFonts w:hint="eastAsia"/>
                <w:bCs/>
                <w:sz w:val="24"/>
              </w:rPr>
              <w:t>④ 为了防范雷电和暴雨，要求厂区按规定设防雷接地装置，同时厂房内的地面高出室外地面。防止暴雨造成的积水进入。</w:t>
            </w:r>
          </w:p>
          <w:p w14:paraId="6E67C191">
            <w:pPr>
              <w:spacing w:line="360" w:lineRule="auto"/>
              <w:ind w:firstLine="480" w:firstLineChars="200"/>
              <w:rPr>
                <w:bCs/>
                <w:sz w:val="24"/>
              </w:rPr>
            </w:pPr>
            <w:r>
              <w:rPr>
                <w:rFonts w:hint="eastAsia"/>
                <w:bCs/>
                <w:sz w:val="24"/>
              </w:rPr>
              <w:t>⑤ 对有危险的机械设备加装防护装置，所有电气设备的安全距离、漏电保护设施拘设计均应符合有关标准、规范的要求。</w:t>
            </w:r>
          </w:p>
          <w:p w14:paraId="1D79B770">
            <w:pPr>
              <w:spacing w:line="360" w:lineRule="auto"/>
              <w:ind w:firstLine="480" w:firstLineChars="200"/>
              <w:rPr>
                <w:bCs/>
                <w:sz w:val="24"/>
              </w:rPr>
            </w:pPr>
            <w:r>
              <w:rPr>
                <w:rFonts w:hint="eastAsia"/>
                <w:bCs/>
                <w:sz w:val="24"/>
              </w:rPr>
              <w:t>⑥ 建立健全安全技术规程、工艺操作规程，并上墙明示。</w:t>
            </w:r>
          </w:p>
          <w:p w14:paraId="617EFC8E">
            <w:pPr>
              <w:spacing w:line="360" w:lineRule="auto"/>
              <w:ind w:firstLine="480" w:firstLineChars="200"/>
              <w:rPr>
                <w:bCs/>
                <w:sz w:val="24"/>
              </w:rPr>
            </w:pPr>
            <w:r>
              <w:rPr>
                <w:rFonts w:hint="eastAsia"/>
                <w:bCs/>
                <w:sz w:val="24"/>
              </w:rPr>
              <w:t>⑦ 按工作岗位的性质，配备劳保用品和各种防护器材。</w:t>
            </w:r>
          </w:p>
          <w:p w14:paraId="5FABCE9E">
            <w:pPr>
              <w:spacing w:line="360" w:lineRule="auto"/>
              <w:ind w:firstLine="480" w:firstLineChars="200"/>
              <w:rPr>
                <w:bCs/>
                <w:sz w:val="24"/>
              </w:rPr>
            </w:pPr>
            <w:r>
              <w:rPr>
                <w:rFonts w:hint="eastAsia"/>
                <w:bCs/>
                <w:sz w:val="24"/>
              </w:rPr>
              <w:t>⑧ 厂门前设置入场须知和安全警示牌。</w:t>
            </w:r>
          </w:p>
          <w:p w14:paraId="5D2266FA">
            <w:pPr>
              <w:spacing w:line="360" w:lineRule="auto"/>
              <w:ind w:firstLine="480" w:firstLineChars="200"/>
              <w:rPr>
                <w:bCs/>
                <w:sz w:val="24"/>
              </w:rPr>
            </w:pPr>
            <w:r>
              <w:rPr>
                <w:rFonts w:hint="eastAsia"/>
                <w:bCs/>
                <w:sz w:val="24"/>
              </w:rPr>
              <w:t>⑨ 加强安全管理、安全教育工作，经常对全厂职工进行安全教育和职业卫生教育，增强职工的安全意识和自我保护意识。</w:t>
            </w:r>
          </w:p>
          <w:p w14:paraId="0BD56E06">
            <w:pPr>
              <w:spacing w:line="360" w:lineRule="auto"/>
              <w:ind w:firstLine="482"/>
              <w:rPr>
                <w:b/>
                <w:sz w:val="24"/>
              </w:rPr>
            </w:pPr>
            <w:r>
              <w:rPr>
                <w:rFonts w:hint="eastAsia"/>
                <w:b/>
                <w:sz w:val="24"/>
              </w:rPr>
              <w:t>环境风险事故应急预案</w:t>
            </w:r>
          </w:p>
          <w:p w14:paraId="15EA908F">
            <w:pPr>
              <w:spacing w:line="360" w:lineRule="auto"/>
              <w:ind w:firstLine="480" w:firstLineChars="200"/>
              <w:contextualSpacing/>
              <w:rPr>
                <w:kern w:val="0"/>
                <w:sz w:val="24"/>
              </w:rPr>
            </w:pPr>
            <w:r>
              <w:rPr>
                <w:rFonts w:hint="eastAsia"/>
                <w:kern w:val="0"/>
                <w:sz w:val="24"/>
              </w:rPr>
              <w:t>（</w:t>
            </w:r>
            <w:r>
              <w:rPr>
                <w:kern w:val="0"/>
                <w:sz w:val="24"/>
              </w:rPr>
              <w:t>1</w:t>
            </w:r>
            <w:r>
              <w:rPr>
                <w:rFonts w:hint="eastAsia"/>
                <w:kern w:val="0"/>
                <w:sz w:val="24"/>
              </w:rPr>
              <w:t>）</w:t>
            </w:r>
            <w:r>
              <w:rPr>
                <w:rFonts w:hint="eastAsia"/>
                <w:bCs/>
                <w:sz w:val="24"/>
              </w:rPr>
              <w:t>制定风险事故应急预案的目的</w:t>
            </w:r>
          </w:p>
          <w:p w14:paraId="62B87026">
            <w:pPr>
              <w:spacing w:line="360" w:lineRule="auto"/>
              <w:ind w:firstLine="480" w:firstLineChars="200"/>
              <w:contextualSpacing/>
              <w:rPr>
                <w:kern w:val="28"/>
                <w:sz w:val="24"/>
              </w:rPr>
            </w:pPr>
            <w:r>
              <w:rPr>
                <w:rFonts w:hint="eastAsia"/>
                <w:kern w:val="28"/>
                <w:sz w:val="24"/>
              </w:rPr>
              <w:t>认真贯彻落实党中央、国务院领导的指示精神，高度重视污染事故的防范和处理，消除污染事故隐患，加强环境监管，保障环境安全，维护群众环境权益。</w:t>
            </w:r>
          </w:p>
          <w:p w14:paraId="58B35678">
            <w:pPr>
              <w:spacing w:line="360" w:lineRule="auto"/>
              <w:ind w:firstLine="480" w:firstLineChars="200"/>
              <w:contextualSpacing/>
              <w:rPr>
                <w:bCs/>
                <w:kern w:val="28"/>
                <w:sz w:val="24"/>
              </w:rPr>
            </w:pPr>
            <w:r>
              <w:rPr>
                <w:rFonts w:hint="eastAsia"/>
                <w:bCs/>
                <w:sz w:val="24"/>
              </w:rPr>
              <w:t>（</w:t>
            </w:r>
            <w:r>
              <w:rPr>
                <w:bCs/>
                <w:sz w:val="24"/>
              </w:rPr>
              <w:t>2</w:t>
            </w:r>
            <w:r>
              <w:rPr>
                <w:rFonts w:hint="eastAsia"/>
                <w:bCs/>
                <w:sz w:val="24"/>
              </w:rPr>
              <w:t>）应急预案内容</w:t>
            </w:r>
          </w:p>
          <w:p w14:paraId="73090C50">
            <w:pPr>
              <w:spacing w:line="360" w:lineRule="auto"/>
              <w:ind w:firstLine="480" w:firstLineChars="200"/>
              <w:contextualSpacing/>
              <w:rPr>
                <w:kern w:val="28"/>
                <w:sz w:val="24"/>
                <w:u w:val="single"/>
              </w:rPr>
            </w:pPr>
            <w:r>
              <w:rPr>
                <w:rFonts w:hint="eastAsia"/>
                <w:kern w:val="28"/>
                <w:sz w:val="24"/>
              </w:rPr>
              <w:t>根据</w:t>
            </w:r>
            <w:r>
              <w:rPr>
                <w:rFonts w:hint="eastAsia"/>
                <w:sz w:val="24"/>
                <w:szCs w:val="21"/>
              </w:rPr>
              <w:t>《建设项目环境风险评价技术导则》（</w:t>
            </w:r>
            <w:r>
              <w:rPr>
                <w:sz w:val="24"/>
                <w:szCs w:val="21"/>
              </w:rPr>
              <w:t>HJ169-2018</w:t>
            </w:r>
            <w:r>
              <w:rPr>
                <w:rFonts w:hint="eastAsia"/>
                <w:sz w:val="24"/>
                <w:szCs w:val="21"/>
              </w:rPr>
              <w:t>）</w:t>
            </w:r>
            <w:r>
              <w:rPr>
                <w:rFonts w:hint="eastAsia"/>
                <w:kern w:val="28"/>
                <w:sz w:val="24"/>
              </w:rPr>
              <w:t>要求，参照《危险废物经营单位编制应急预案指南》，制定企业环境风险应急预案，并向有关部门备案，其主要内容如表</w:t>
            </w:r>
            <w:r>
              <w:rPr>
                <w:kern w:val="28"/>
                <w:sz w:val="24"/>
              </w:rPr>
              <w:t>7-20</w:t>
            </w:r>
            <w:r>
              <w:rPr>
                <w:rFonts w:hint="eastAsia"/>
                <w:kern w:val="28"/>
                <w:sz w:val="24"/>
              </w:rPr>
              <w:t>。建设单位应在生产前自行编制或委托有资质的单位编制项目突发环境事件应急预案与风险评估报告，并进行评估，报有关部门备案，一旦发生风险事故，应立即启动预案计划。</w:t>
            </w:r>
          </w:p>
          <w:p w14:paraId="3D2A4748">
            <w:pPr>
              <w:spacing w:line="360" w:lineRule="auto"/>
              <w:contextualSpacing/>
              <w:jc w:val="center"/>
              <w:rPr>
                <w:rFonts w:ascii="黑体" w:hAnsi="黑体" w:eastAsia="黑体"/>
                <w:kern w:val="28"/>
                <w:sz w:val="24"/>
              </w:rPr>
            </w:pPr>
            <w:r>
              <w:rPr>
                <w:rFonts w:hint="eastAsia" w:ascii="黑体" w:hAnsi="黑体" w:eastAsia="黑体"/>
                <w:b/>
                <w:sz w:val="24"/>
              </w:rPr>
              <w:t>表</w:t>
            </w:r>
            <w:r>
              <w:rPr>
                <w:rFonts w:ascii="黑体" w:hAnsi="黑体" w:eastAsia="黑体"/>
                <w:b/>
                <w:sz w:val="24"/>
              </w:rPr>
              <w:t xml:space="preserve">7-21 </w:t>
            </w:r>
            <w:r>
              <w:rPr>
                <w:rFonts w:hint="eastAsia" w:ascii="黑体" w:hAnsi="黑体" w:eastAsia="黑体"/>
                <w:b/>
                <w:sz w:val="24"/>
              </w:rPr>
              <w:t>项目环境风险应急预案内容表</w:t>
            </w:r>
          </w:p>
          <w:tbl>
            <w:tblPr>
              <w:tblStyle w:val="25"/>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2084"/>
              <w:gridCol w:w="5718"/>
            </w:tblGrid>
            <w:tr w14:paraId="10D3F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blHeader/>
                <w:jc w:val="center"/>
              </w:trPr>
              <w:tc>
                <w:tcPr>
                  <w:tcW w:w="721" w:type="dxa"/>
                  <w:tcBorders>
                    <w:top w:val="single" w:color="auto" w:sz="12" w:space="0"/>
                    <w:left w:val="single" w:color="auto" w:sz="12" w:space="0"/>
                    <w:bottom w:val="single" w:color="auto" w:sz="4" w:space="0"/>
                    <w:right w:val="single" w:color="auto" w:sz="4" w:space="0"/>
                  </w:tcBorders>
                  <w:vAlign w:val="center"/>
                </w:tcPr>
                <w:p w14:paraId="19FD767E">
                  <w:pPr>
                    <w:jc w:val="center"/>
                    <w:rPr>
                      <w:b/>
                      <w:kern w:val="28"/>
                      <w:szCs w:val="21"/>
                    </w:rPr>
                  </w:pPr>
                  <w:r>
                    <w:rPr>
                      <w:rFonts w:hint="eastAsia"/>
                      <w:b/>
                      <w:kern w:val="28"/>
                      <w:szCs w:val="21"/>
                    </w:rPr>
                    <w:t>序号</w:t>
                  </w:r>
                </w:p>
              </w:tc>
              <w:tc>
                <w:tcPr>
                  <w:tcW w:w="2084" w:type="dxa"/>
                  <w:tcBorders>
                    <w:top w:val="single" w:color="auto" w:sz="12" w:space="0"/>
                    <w:left w:val="single" w:color="auto" w:sz="4" w:space="0"/>
                    <w:bottom w:val="single" w:color="auto" w:sz="4" w:space="0"/>
                    <w:right w:val="single" w:color="auto" w:sz="4" w:space="0"/>
                  </w:tcBorders>
                  <w:vAlign w:val="center"/>
                </w:tcPr>
                <w:p w14:paraId="2BB77161">
                  <w:pPr>
                    <w:jc w:val="center"/>
                    <w:rPr>
                      <w:b/>
                      <w:kern w:val="28"/>
                      <w:szCs w:val="21"/>
                    </w:rPr>
                  </w:pPr>
                  <w:r>
                    <w:rPr>
                      <w:rFonts w:hint="eastAsia"/>
                      <w:b/>
                      <w:kern w:val="28"/>
                      <w:szCs w:val="21"/>
                    </w:rPr>
                    <w:t>项目</w:t>
                  </w:r>
                </w:p>
              </w:tc>
              <w:tc>
                <w:tcPr>
                  <w:tcW w:w="5718" w:type="dxa"/>
                  <w:tcBorders>
                    <w:top w:val="single" w:color="auto" w:sz="12" w:space="0"/>
                    <w:left w:val="single" w:color="auto" w:sz="4" w:space="0"/>
                    <w:bottom w:val="single" w:color="auto" w:sz="4" w:space="0"/>
                    <w:right w:val="single" w:color="auto" w:sz="12" w:space="0"/>
                  </w:tcBorders>
                  <w:vAlign w:val="center"/>
                </w:tcPr>
                <w:p w14:paraId="37855328">
                  <w:pPr>
                    <w:jc w:val="center"/>
                    <w:rPr>
                      <w:b/>
                      <w:kern w:val="28"/>
                      <w:szCs w:val="21"/>
                    </w:rPr>
                  </w:pPr>
                  <w:r>
                    <w:rPr>
                      <w:rFonts w:hint="eastAsia"/>
                      <w:b/>
                      <w:kern w:val="28"/>
                      <w:szCs w:val="21"/>
                    </w:rPr>
                    <w:t>内容及要求</w:t>
                  </w:r>
                </w:p>
              </w:tc>
            </w:tr>
            <w:tr w14:paraId="599A8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1" w:type="dxa"/>
                  <w:tcBorders>
                    <w:top w:val="single" w:color="auto" w:sz="4" w:space="0"/>
                    <w:left w:val="single" w:color="auto" w:sz="12" w:space="0"/>
                    <w:bottom w:val="single" w:color="auto" w:sz="4" w:space="0"/>
                    <w:right w:val="single" w:color="auto" w:sz="4" w:space="0"/>
                  </w:tcBorders>
                  <w:vAlign w:val="center"/>
                </w:tcPr>
                <w:p w14:paraId="2E18A6C8">
                  <w:pPr>
                    <w:jc w:val="center"/>
                    <w:rPr>
                      <w:kern w:val="28"/>
                      <w:szCs w:val="21"/>
                    </w:rPr>
                  </w:pPr>
                  <w:r>
                    <w:rPr>
                      <w:kern w:val="28"/>
                      <w:szCs w:val="21"/>
                    </w:rPr>
                    <w:t>1</w:t>
                  </w:r>
                </w:p>
              </w:tc>
              <w:tc>
                <w:tcPr>
                  <w:tcW w:w="2084" w:type="dxa"/>
                  <w:tcBorders>
                    <w:top w:val="single" w:color="auto" w:sz="4" w:space="0"/>
                    <w:left w:val="single" w:color="auto" w:sz="4" w:space="0"/>
                    <w:bottom w:val="single" w:color="auto" w:sz="4" w:space="0"/>
                    <w:right w:val="single" w:color="auto" w:sz="4" w:space="0"/>
                  </w:tcBorders>
                  <w:vAlign w:val="center"/>
                </w:tcPr>
                <w:p w14:paraId="02C31DBA">
                  <w:pPr>
                    <w:jc w:val="center"/>
                    <w:rPr>
                      <w:kern w:val="28"/>
                      <w:szCs w:val="21"/>
                    </w:rPr>
                  </w:pPr>
                  <w:r>
                    <w:rPr>
                      <w:rFonts w:hint="eastAsia"/>
                      <w:kern w:val="28"/>
                      <w:szCs w:val="21"/>
                    </w:rPr>
                    <w:t>应急组织机构、人员</w:t>
                  </w:r>
                </w:p>
              </w:tc>
              <w:tc>
                <w:tcPr>
                  <w:tcW w:w="5718" w:type="dxa"/>
                  <w:tcBorders>
                    <w:top w:val="single" w:color="auto" w:sz="4" w:space="0"/>
                    <w:left w:val="single" w:color="auto" w:sz="4" w:space="0"/>
                    <w:bottom w:val="single" w:color="auto" w:sz="4" w:space="0"/>
                    <w:right w:val="single" w:color="auto" w:sz="12" w:space="0"/>
                  </w:tcBorders>
                  <w:vAlign w:val="center"/>
                </w:tcPr>
                <w:p w14:paraId="12581E99">
                  <w:pPr>
                    <w:rPr>
                      <w:kern w:val="28"/>
                      <w:szCs w:val="21"/>
                    </w:rPr>
                  </w:pPr>
                  <w:r>
                    <w:rPr>
                      <w:rFonts w:hint="eastAsia"/>
                      <w:kern w:val="28"/>
                      <w:szCs w:val="21"/>
                    </w:rPr>
                    <w:t>设立事故应急机构，人员由企业主要领导、安全负责人、环保负责人等主要人员组成</w:t>
                  </w:r>
                </w:p>
              </w:tc>
            </w:tr>
            <w:tr w14:paraId="3BC7C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1" w:type="dxa"/>
                  <w:tcBorders>
                    <w:top w:val="single" w:color="auto" w:sz="4" w:space="0"/>
                    <w:left w:val="single" w:color="auto" w:sz="12" w:space="0"/>
                    <w:bottom w:val="single" w:color="auto" w:sz="4" w:space="0"/>
                    <w:right w:val="single" w:color="auto" w:sz="4" w:space="0"/>
                  </w:tcBorders>
                  <w:vAlign w:val="center"/>
                </w:tcPr>
                <w:p w14:paraId="18059596">
                  <w:pPr>
                    <w:jc w:val="center"/>
                    <w:rPr>
                      <w:kern w:val="28"/>
                      <w:szCs w:val="21"/>
                    </w:rPr>
                  </w:pPr>
                  <w:r>
                    <w:rPr>
                      <w:kern w:val="28"/>
                      <w:szCs w:val="21"/>
                    </w:rPr>
                    <w:t>2</w:t>
                  </w:r>
                </w:p>
              </w:tc>
              <w:tc>
                <w:tcPr>
                  <w:tcW w:w="2084" w:type="dxa"/>
                  <w:tcBorders>
                    <w:top w:val="single" w:color="auto" w:sz="4" w:space="0"/>
                    <w:left w:val="single" w:color="auto" w:sz="4" w:space="0"/>
                    <w:bottom w:val="single" w:color="auto" w:sz="4" w:space="0"/>
                    <w:right w:val="single" w:color="auto" w:sz="4" w:space="0"/>
                  </w:tcBorders>
                  <w:vAlign w:val="center"/>
                </w:tcPr>
                <w:p w14:paraId="29484707">
                  <w:pPr>
                    <w:jc w:val="center"/>
                    <w:rPr>
                      <w:kern w:val="28"/>
                      <w:szCs w:val="21"/>
                    </w:rPr>
                  </w:pPr>
                  <w:r>
                    <w:rPr>
                      <w:rFonts w:hint="eastAsia"/>
                      <w:kern w:val="28"/>
                      <w:szCs w:val="21"/>
                    </w:rPr>
                    <w:t>应急救援保障</w:t>
                  </w:r>
                </w:p>
              </w:tc>
              <w:tc>
                <w:tcPr>
                  <w:tcW w:w="5718" w:type="dxa"/>
                  <w:tcBorders>
                    <w:top w:val="single" w:color="auto" w:sz="4" w:space="0"/>
                    <w:left w:val="single" w:color="auto" w:sz="4" w:space="0"/>
                    <w:bottom w:val="single" w:color="auto" w:sz="4" w:space="0"/>
                    <w:right w:val="single" w:color="auto" w:sz="12" w:space="0"/>
                  </w:tcBorders>
                  <w:vAlign w:val="center"/>
                </w:tcPr>
                <w:p w14:paraId="54D99F79">
                  <w:pPr>
                    <w:rPr>
                      <w:kern w:val="28"/>
                      <w:szCs w:val="21"/>
                    </w:rPr>
                  </w:pPr>
                  <w:r>
                    <w:rPr>
                      <w:rFonts w:hint="eastAsia"/>
                      <w:kern w:val="28"/>
                      <w:szCs w:val="21"/>
                    </w:rPr>
                    <w:t>企业应配备必要的应急设施及设备和器材；事故易发的工作岗位配备必需的防护用品等。</w:t>
                  </w:r>
                </w:p>
              </w:tc>
            </w:tr>
            <w:tr w14:paraId="244F8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1" w:type="dxa"/>
                  <w:tcBorders>
                    <w:top w:val="single" w:color="auto" w:sz="4" w:space="0"/>
                    <w:left w:val="single" w:color="auto" w:sz="12" w:space="0"/>
                    <w:bottom w:val="single" w:color="auto" w:sz="4" w:space="0"/>
                    <w:right w:val="single" w:color="auto" w:sz="4" w:space="0"/>
                  </w:tcBorders>
                  <w:vAlign w:val="center"/>
                </w:tcPr>
                <w:p w14:paraId="7B1750F3">
                  <w:pPr>
                    <w:jc w:val="center"/>
                    <w:rPr>
                      <w:kern w:val="28"/>
                      <w:szCs w:val="21"/>
                    </w:rPr>
                  </w:pPr>
                  <w:r>
                    <w:rPr>
                      <w:kern w:val="28"/>
                      <w:szCs w:val="21"/>
                    </w:rPr>
                    <w:t>3</w:t>
                  </w:r>
                </w:p>
              </w:tc>
              <w:tc>
                <w:tcPr>
                  <w:tcW w:w="2084" w:type="dxa"/>
                  <w:tcBorders>
                    <w:top w:val="single" w:color="auto" w:sz="4" w:space="0"/>
                    <w:left w:val="single" w:color="auto" w:sz="4" w:space="0"/>
                    <w:bottom w:val="single" w:color="auto" w:sz="4" w:space="0"/>
                    <w:right w:val="single" w:color="auto" w:sz="4" w:space="0"/>
                  </w:tcBorders>
                  <w:vAlign w:val="center"/>
                </w:tcPr>
                <w:p w14:paraId="4889620E">
                  <w:pPr>
                    <w:jc w:val="center"/>
                    <w:rPr>
                      <w:kern w:val="28"/>
                      <w:szCs w:val="21"/>
                    </w:rPr>
                  </w:pPr>
                  <w:r>
                    <w:rPr>
                      <w:rFonts w:hint="eastAsia"/>
                      <w:kern w:val="28"/>
                      <w:szCs w:val="21"/>
                    </w:rPr>
                    <w:t>报警、通讯联络方式</w:t>
                  </w:r>
                </w:p>
              </w:tc>
              <w:tc>
                <w:tcPr>
                  <w:tcW w:w="5718" w:type="dxa"/>
                  <w:tcBorders>
                    <w:top w:val="single" w:color="auto" w:sz="4" w:space="0"/>
                    <w:left w:val="single" w:color="auto" w:sz="4" w:space="0"/>
                    <w:bottom w:val="single" w:color="auto" w:sz="4" w:space="0"/>
                    <w:right w:val="single" w:color="auto" w:sz="12" w:space="0"/>
                  </w:tcBorders>
                  <w:vAlign w:val="center"/>
                </w:tcPr>
                <w:p w14:paraId="59837C97">
                  <w:pPr>
                    <w:rPr>
                      <w:kern w:val="28"/>
                      <w:szCs w:val="21"/>
                    </w:rPr>
                  </w:pPr>
                  <w:r>
                    <w:rPr>
                      <w:rFonts w:hint="eastAsia"/>
                      <w:kern w:val="28"/>
                      <w:szCs w:val="21"/>
                    </w:rPr>
                    <w:t>建立专用的报警和通讯线路，并保持其畅通。</w:t>
                  </w:r>
                </w:p>
              </w:tc>
            </w:tr>
            <w:tr w14:paraId="26A47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1" w:type="dxa"/>
                  <w:tcBorders>
                    <w:top w:val="single" w:color="auto" w:sz="4" w:space="0"/>
                    <w:left w:val="single" w:color="auto" w:sz="12" w:space="0"/>
                    <w:bottom w:val="single" w:color="auto" w:sz="4" w:space="0"/>
                    <w:right w:val="single" w:color="auto" w:sz="4" w:space="0"/>
                  </w:tcBorders>
                  <w:vAlign w:val="center"/>
                </w:tcPr>
                <w:p w14:paraId="1B05FFCB">
                  <w:pPr>
                    <w:jc w:val="center"/>
                    <w:rPr>
                      <w:kern w:val="28"/>
                      <w:szCs w:val="21"/>
                    </w:rPr>
                  </w:pPr>
                  <w:r>
                    <w:rPr>
                      <w:kern w:val="28"/>
                      <w:szCs w:val="21"/>
                    </w:rPr>
                    <w:t>4</w:t>
                  </w:r>
                </w:p>
              </w:tc>
              <w:tc>
                <w:tcPr>
                  <w:tcW w:w="2084" w:type="dxa"/>
                  <w:tcBorders>
                    <w:top w:val="single" w:color="auto" w:sz="4" w:space="0"/>
                    <w:left w:val="single" w:color="auto" w:sz="4" w:space="0"/>
                    <w:bottom w:val="single" w:color="auto" w:sz="4" w:space="0"/>
                    <w:right w:val="single" w:color="auto" w:sz="4" w:space="0"/>
                  </w:tcBorders>
                  <w:vAlign w:val="center"/>
                </w:tcPr>
                <w:p w14:paraId="5032D806">
                  <w:pPr>
                    <w:jc w:val="center"/>
                    <w:rPr>
                      <w:kern w:val="28"/>
                      <w:szCs w:val="21"/>
                    </w:rPr>
                  </w:pPr>
                  <w:r>
                    <w:rPr>
                      <w:rFonts w:hint="eastAsia"/>
                      <w:kern w:val="28"/>
                      <w:szCs w:val="21"/>
                    </w:rPr>
                    <w:t>应急环境监测、抢救、救援及控制措施</w:t>
                  </w:r>
                </w:p>
              </w:tc>
              <w:tc>
                <w:tcPr>
                  <w:tcW w:w="5718" w:type="dxa"/>
                  <w:tcBorders>
                    <w:top w:val="single" w:color="auto" w:sz="4" w:space="0"/>
                    <w:left w:val="single" w:color="auto" w:sz="4" w:space="0"/>
                    <w:bottom w:val="single" w:color="auto" w:sz="4" w:space="0"/>
                    <w:right w:val="single" w:color="auto" w:sz="12" w:space="0"/>
                  </w:tcBorders>
                  <w:vAlign w:val="center"/>
                </w:tcPr>
                <w:p w14:paraId="499650BF">
                  <w:pPr>
                    <w:rPr>
                      <w:kern w:val="28"/>
                      <w:szCs w:val="21"/>
                    </w:rPr>
                  </w:pPr>
                  <w:r>
                    <w:rPr>
                      <w:rFonts w:hint="eastAsia"/>
                      <w:kern w:val="28"/>
                      <w:szCs w:val="21"/>
                    </w:rPr>
                    <w:t>发生事故时，要保证现场的事故处理设施和全厂的应急处理系统能够紧急启动，并对事故产生的污染物进行有效的控制，同时启动当地的环境应急监测系统。</w:t>
                  </w:r>
                </w:p>
              </w:tc>
            </w:tr>
            <w:tr w14:paraId="7AC9B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1" w:type="dxa"/>
                  <w:tcBorders>
                    <w:top w:val="single" w:color="auto" w:sz="4" w:space="0"/>
                    <w:left w:val="single" w:color="auto" w:sz="12" w:space="0"/>
                    <w:bottom w:val="single" w:color="auto" w:sz="4" w:space="0"/>
                    <w:right w:val="single" w:color="auto" w:sz="4" w:space="0"/>
                  </w:tcBorders>
                  <w:vAlign w:val="center"/>
                </w:tcPr>
                <w:p w14:paraId="0FA1B9B9">
                  <w:pPr>
                    <w:jc w:val="center"/>
                    <w:rPr>
                      <w:kern w:val="28"/>
                      <w:szCs w:val="21"/>
                    </w:rPr>
                  </w:pPr>
                  <w:r>
                    <w:rPr>
                      <w:kern w:val="28"/>
                      <w:szCs w:val="21"/>
                    </w:rPr>
                    <w:t>5</w:t>
                  </w:r>
                </w:p>
              </w:tc>
              <w:tc>
                <w:tcPr>
                  <w:tcW w:w="2084" w:type="dxa"/>
                  <w:tcBorders>
                    <w:top w:val="single" w:color="auto" w:sz="4" w:space="0"/>
                    <w:left w:val="single" w:color="auto" w:sz="4" w:space="0"/>
                    <w:bottom w:val="single" w:color="auto" w:sz="4" w:space="0"/>
                    <w:right w:val="single" w:color="auto" w:sz="4" w:space="0"/>
                  </w:tcBorders>
                  <w:vAlign w:val="center"/>
                </w:tcPr>
                <w:p w14:paraId="4A5E9E9C">
                  <w:pPr>
                    <w:jc w:val="center"/>
                    <w:rPr>
                      <w:kern w:val="28"/>
                      <w:szCs w:val="21"/>
                    </w:rPr>
                  </w:pPr>
                  <w:r>
                    <w:rPr>
                      <w:rFonts w:hint="eastAsia"/>
                      <w:kern w:val="28"/>
                      <w:szCs w:val="21"/>
                    </w:rPr>
                    <w:t>应急监测、防护措施、清除泄漏措施和器材</w:t>
                  </w:r>
                </w:p>
              </w:tc>
              <w:tc>
                <w:tcPr>
                  <w:tcW w:w="5718" w:type="dxa"/>
                  <w:tcBorders>
                    <w:top w:val="single" w:color="auto" w:sz="4" w:space="0"/>
                    <w:left w:val="single" w:color="auto" w:sz="4" w:space="0"/>
                    <w:bottom w:val="single" w:color="auto" w:sz="4" w:space="0"/>
                    <w:right w:val="single" w:color="auto" w:sz="12" w:space="0"/>
                  </w:tcBorders>
                  <w:vAlign w:val="center"/>
                </w:tcPr>
                <w:p w14:paraId="2AF7AD8D">
                  <w:pPr>
                    <w:rPr>
                      <w:kern w:val="28"/>
                      <w:szCs w:val="21"/>
                    </w:rPr>
                  </w:pPr>
                  <w:r>
                    <w:rPr>
                      <w:rFonts w:hint="eastAsia"/>
                      <w:kern w:val="28"/>
                      <w:szCs w:val="21"/>
                    </w:rPr>
                    <w:t>设立必要地控制和清除污染的相应措施。事故发生时，要及时发现事故发生地点和环节，并利用已有的防护措施减少污染物的排放。</w:t>
                  </w:r>
                </w:p>
              </w:tc>
            </w:tr>
            <w:tr w14:paraId="7E4DA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1" w:type="dxa"/>
                  <w:tcBorders>
                    <w:top w:val="single" w:color="auto" w:sz="4" w:space="0"/>
                    <w:left w:val="single" w:color="auto" w:sz="12" w:space="0"/>
                    <w:bottom w:val="single" w:color="auto" w:sz="12" w:space="0"/>
                    <w:right w:val="single" w:color="auto" w:sz="4" w:space="0"/>
                  </w:tcBorders>
                  <w:vAlign w:val="center"/>
                </w:tcPr>
                <w:p w14:paraId="285B43B5">
                  <w:pPr>
                    <w:jc w:val="center"/>
                    <w:rPr>
                      <w:kern w:val="28"/>
                      <w:szCs w:val="21"/>
                    </w:rPr>
                  </w:pPr>
                  <w:r>
                    <w:rPr>
                      <w:kern w:val="28"/>
                      <w:szCs w:val="21"/>
                    </w:rPr>
                    <w:t>6</w:t>
                  </w:r>
                </w:p>
              </w:tc>
              <w:tc>
                <w:tcPr>
                  <w:tcW w:w="2084" w:type="dxa"/>
                  <w:tcBorders>
                    <w:top w:val="single" w:color="auto" w:sz="4" w:space="0"/>
                    <w:left w:val="single" w:color="auto" w:sz="4" w:space="0"/>
                    <w:bottom w:val="single" w:color="auto" w:sz="12" w:space="0"/>
                    <w:right w:val="single" w:color="auto" w:sz="4" w:space="0"/>
                  </w:tcBorders>
                  <w:vAlign w:val="center"/>
                </w:tcPr>
                <w:p w14:paraId="50413984">
                  <w:pPr>
                    <w:jc w:val="center"/>
                    <w:rPr>
                      <w:kern w:val="28"/>
                      <w:szCs w:val="21"/>
                    </w:rPr>
                  </w:pPr>
                  <w:r>
                    <w:rPr>
                      <w:rFonts w:hint="eastAsia"/>
                      <w:kern w:val="28"/>
                      <w:szCs w:val="21"/>
                    </w:rPr>
                    <w:t>应急培训计划</w:t>
                  </w:r>
                </w:p>
              </w:tc>
              <w:tc>
                <w:tcPr>
                  <w:tcW w:w="5718" w:type="dxa"/>
                  <w:tcBorders>
                    <w:top w:val="single" w:color="auto" w:sz="4" w:space="0"/>
                    <w:left w:val="single" w:color="auto" w:sz="4" w:space="0"/>
                    <w:bottom w:val="single" w:color="auto" w:sz="12" w:space="0"/>
                    <w:right w:val="single" w:color="auto" w:sz="12" w:space="0"/>
                  </w:tcBorders>
                  <w:vAlign w:val="center"/>
                </w:tcPr>
                <w:p w14:paraId="714850B8">
                  <w:pPr>
                    <w:rPr>
                      <w:kern w:val="28"/>
                      <w:szCs w:val="21"/>
                    </w:rPr>
                  </w:pPr>
                  <w:r>
                    <w:rPr>
                      <w:rFonts w:hint="eastAsia"/>
                      <w:kern w:val="28"/>
                      <w:szCs w:val="21"/>
                    </w:rPr>
                    <w:t>企业要注意日常工作中对事故应急处理的培训，以提高职工的安全防范意识。</w:t>
                  </w:r>
                </w:p>
              </w:tc>
            </w:tr>
          </w:tbl>
          <w:p w14:paraId="6427ADC9">
            <w:pPr>
              <w:spacing w:line="480" w:lineRule="exact"/>
              <w:ind w:firstLine="480" w:firstLineChars="200"/>
              <w:jc w:val="left"/>
              <w:rPr>
                <w:kern w:val="28"/>
                <w:sz w:val="24"/>
              </w:rPr>
            </w:pPr>
            <w:r>
              <w:rPr>
                <w:rFonts w:hint="eastAsia"/>
                <w:kern w:val="28"/>
                <w:sz w:val="24"/>
              </w:rPr>
              <w:t>综上所述，在严格落实本报告提出的各项事故防范和应急措施、加强管理的前提下，可最大限度地减少可能发生的环境风险，并在风险事故发生后，及时采取风险防范措施及应急预案，可以使风险事故对环境的危害得到有效控制，将事故风险控制在可以接受的范围内。</w:t>
            </w:r>
          </w:p>
          <w:p w14:paraId="1C5881E7">
            <w:pPr>
              <w:spacing w:line="480" w:lineRule="exact"/>
              <w:jc w:val="center"/>
              <w:rPr>
                <w:rFonts w:ascii="黑体" w:hAnsi="黑体" w:eastAsia="黑体"/>
                <w:bCs/>
                <w:sz w:val="24"/>
              </w:rPr>
            </w:pPr>
            <w:r>
              <w:rPr>
                <w:rFonts w:ascii="黑体" w:hAnsi="黑体" w:eastAsia="黑体"/>
                <w:bCs/>
                <w:sz w:val="24"/>
              </w:rPr>
              <w:t>表7-22  建设项目环境风险简单分析内容表</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1491"/>
              <w:gridCol w:w="1417"/>
              <w:gridCol w:w="1456"/>
              <w:gridCol w:w="1018"/>
              <w:gridCol w:w="1546"/>
            </w:tblGrid>
            <w:tr w14:paraId="0701B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936" w:type="pct"/>
                  <w:tcBorders>
                    <w:top w:val="single" w:color="auto" w:sz="12" w:space="0"/>
                    <w:left w:val="single" w:color="auto" w:sz="12" w:space="0"/>
                  </w:tcBorders>
                  <w:vAlign w:val="center"/>
                </w:tcPr>
                <w:p w14:paraId="0A7C34F4">
                  <w:pPr>
                    <w:autoSpaceDE w:val="0"/>
                    <w:autoSpaceDN w:val="0"/>
                    <w:adjustRightInd w:val="0"/>
                    <w:jc w:val="center"/>
                    <w:rPr>
                      <w:kern w:val="0"/>
                      <w:szCs w:val="21"/>
                    </w:rPr>
                  </w:pPr>
                  <w:r>
                    <w:rPr>
                      <w:kern w:val="0"/>
                      <w:szCs w:val="21"/>
                    </w:rPr>
                    <w:t>建设项目名称</w:t>
                  </w:r>
                </w:p>
              </w:tc>
              <w:tc>
                <w:tcPr>
                  <w:tcW w:w="4064" w:type="pct"/>
                  <w:gridSpan w:val="5"/>
                  <w:tcBorders>
                    <w:top w:val="single" w:color="auto" w:sz="12" w:space="0"/>
                    <w:right w:val="single" w:color="auto" w:sz="12" w:space="0"/>
                  </w:tcBorders>
                  <w:vAlign w:val="center"/>
                </w:tcPr>
                <w:p w14:paraId="5A082F0C">
                  <w:pPr>
                    <w:autoSpaceDE w:val="0"/>
                    <w:autoSpaceDN w:val="0"/>
                    <w:adjustRightInd w:val="0"/>
                    <w:jc w:val="center"/>
                    <w:rPr>
                      <w:kern w:val="0"/>
                      <w:szCs w:val="21"/>
                    </w:rPr>
                  </w:pPr>
                  <w:r>
                    <w:rPr>
                      <w:rFonts w:hint="eastAsia"/>
                      <w:bCs/>
                    </w:rPr>
                    <w:t>峨边永亮木材加工厂新建</w:t>
                  </w:r>
                </w:p>
              </w:tc>
            </w:tr>
            <w:tr w14:paraId="0E8EC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36" w:type="pct"/>
                  <w:tcBorders>
                    <w:left w:val="single" w:color="auto" w:sz="12" w:space="0"/>
                  </w:tcBorders>
                  <w:vAlign w:val="center"/>
                </w:tcPr>
                <w:p w14:paraId="68AD755A">
                  <w:pPr>
                    <w:autoSpaceDE w:val="0"/>
                    <w:autoSpaceDN w:val="0"/>
                    <w:adjustRightInd w:val="0"/>
                    <w:jc w:val="center"/>
                    <w:rPr>
                      <w:kern w:val="0"/>
                      <w:szCs w:val="21"/>
                    </w:rPr>
                  </w:pPr>
                  <w:r>
                    <w:rPr>
                      <w:kern w:val="0"/>
                      <w:szCs w:val="21"/>
                    </w:rPr>
                    <w:t>建设地点</w:t>
                  </w:r>
                </w:p>
              </w:tc>
              <w:tc>
                <w:tcPr>
                  <w:tcW w:w="875" w:type="pct"/>
                  <w:vAlign w:val="center"/>
                </w:tcPr>
                <w:p w14:paraId="617BDEE0">
                  <w:pPr>
                    <w:autoSpaceDE w:val="0"/>
                    <w:autoSpaceDN w:val="0"/>
                    <w:adjustRightInd w:val="0"/>
                    <w:jc w:val="center"/>
                    <w:rPr>
                      <w:kern w:val="0"/>
                      <w:szCs w:val="21"/>
                    </w:rPr>
                  </w:pPr>
                  <w:r>
                    <w:rPr>
                      <w:kern w:val="0"/>
                      <w:szCs w:val="21"/>
                    </w:rPr>
                    <w:t>四川省</w:t>
                  </w:r>
                </w:p>
              </w:tc>
              <w:tc>
                <w:tcPr>
                  <w:tcW w:w="831" w:type="pct"/>
                  <w:vAlign w:val="center"/>
                </w:tcPr>
                <w:p w14:paraId="682227C4">
                  <w:pPr>
                    <w:autoSpaceDE w:val="0"/>
                    <w:autoSpaceDN w:val="0"/>
                    <w:adjustRightInd w:val="0"/>
                    <w:jc w:val="center"/>
                    <w:rPr>
                      <w:kern w:val="0"/>
                      <w:szCs w:val="21"/>
                    </w:rPr>
                  </w:pPr>
                  <w:r>
                    <w:rPr>
                      <w:kern w:val="0"/>
                      <w:szCs w:val="21"/>
                    </w:rPr>
                    <w:t>乐山市</w:t>
                  </w:r>
                </w:p>
              </w:tc>
              <w:tc>
                <w:tcPr>
                  <w:tcW w:w="854" w:type="pct"/>
                  <w:vAlign w:val="center"/>
                </w:tcPr>
                <w:p w14:paraId="015C75BB">
                  <w:pPr>
                    <w:autoSpaceDE w:val="0"/>
                    <w:autoSpaceDN w:val="0"/>
                    <w:adjustRightInd w:val="0"/>
                    <w:jc w:val="center"/>
                    <w:rPr>
                      <w:kern w:val="0"/>
                      <w:szCs w:val="21"/>
                    </w:rPr>
                  </w:pPr>
                  <w:r>
                    <w:rPr>
                      <w:rFonts w:hint="eastAsia"/>
                    </w:rPr>
                    <w:t>峨边彝族自治县</w:t>
                  </w:r>
                </w:p>
              </w:tc>
              <w:tc>
                <w:tcPr>
                  <w:tcW w:w="597" w:type="pct"/>
                  <w:vAlign w:val="center"/>
                </w:tcPr>
                <w:p w14:paraId="531D2D25">
                  <w:pPr>
                    <w:autoSpaceDE w:val="0"/>
                    <w:autoSpaceDN w:val="0"/>
                    <w:adjustRightInd w:val="0"/>
                    <w:jc w:val="center"/>
                    <w:rPr>
                      <w:kern w:val="0"/>
                      <w:szCs w:val="21"/>
                    </w:rPr>
                  </w:pPr>
                  <w:r>
                    <w:rPr>
                      <w:rFonts w:hint="eastAsia"/>
                    </w:rPr>
                    <w:t>平等乡</w:t>
                  </w:r>
                </w:p>
              </w:tc>
              <w:tc>
                <w:tcPr>
                  <w:tcW w:w="906" w:type="pct"/>
                  <w:tcBorders>
                    <w:right w:val="single" w:color="auto" w:sz="12" w:space="0"/>
                  </w:tcBorders>
                  <w:vAlign w:val="center"/>
                </w:tcPr>
                <w:p w14:paraId="2159D6B6">
                  <w:pPr>
                    <w:autoSpaceDE w:val="0"/>
                    <w:autoSpaceDN w:val="0"/>
                    <w:adjustRightInd w:val="0"/>
                    <w:jc w:val="center"/>
                    <w:rPr>
                      <w:kern w:val="0"/>
                      <w:szCs w:val="21"/>
                    </w:rPr>
                  </w:pPr>
                  <w:r>
                    <w:rPr>
                      <w:rFonts w:hint="eastAsia"/>
                    </w:rPr>
                    <w:t>观慈村三组</w:t>
                  </w:r>
                </w:p>
              </w:tc>
            </w:tr>
            <w:tr w14:paraId="19620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36" w:type="pct"/>
                  <w:tcBorders>
                    <w:left w:val="single" w:color="auto" w:sz="12" w:space="0"/>
                  </w:tcBorders>
                  <w:vAlign w:val="center"/>
                </w:tcPr>
                <w:p w14:paraId="15E0BFFA">
                  <w:pPr>
                    <w:autoSpaceDE w:val="0"/>
                    <w:autoSpaceDN w:val="0"/>
                    <w:adjustRightInd w:val="0"/>
                    <w:jc w:val="center"/>
                    <w:rPr>
                      <w:kern w:val="0"/>
                      <w:szCs w:val="21"/>
                    </w:rPr>
                  </w:pPr>
                  <w:r>
                    <w:rPr>
                      <w:kern w:val="0"/>
                      <w:szCs w:val="21"/>
                    </w:rPr>
                    <w:t>地理坐标</w:t>
                  </w:r>
                </w:p>
              </w:tc>
              <w:tc>
                <w:tcPr>
                  <w:tcW w:w="875" w:type="pct"/>
                  <w:vAlign w:val="center"/>
                </w:tcPr>
                <w:p w14:paraId="6A319E61">
                  <w:pPr>
                    <w:autoSpaceDE w:val="0"/>
                    <w:autoSpaceDN w:val="0"/>
                    <w:adjustRightInd w:val="0"/>
                    <w:jc w:val="center"/>
                    <w:rPr>
                      <w:kern w:val="0"/>
                      <w:szCs w:val="21"/>
                    </w:rPr>
                  </w:pPr>
                  <w:r>
                    <w:rPr>
                      <w:kern w:val="0"/>
                      <w:szCs w:val="21"/>
                    </w:rPr>
                    <w:t>经度</w:t>
                  </w:r>
                </w:p>
              </w:tc>
              <w:tc>
                <w:tcPr>
                  <w:tcW w:w="831" w:type="pct"/>
                  <w:vAlign w:val="center"/>
                </w:tcPr>
                <w:p w14:paraId="0C95D0CC">
                  <w:pPr>
                    <w:autoSpaceDE w:val="0"/>
                    <w:autoSpaceDN w:val="0"/>
                    <w:adjustRightInd w:val="0"/>
                    <w:jc w:val="center"/>
                    <w:rPr>
                      <w:kern w:val="0"/>
                      <w:szCs w:val="21"/>
                    </w:rPr>
                  </w:pPr>
                  <w:r>
                    <w:t>103.5304</w:t>
                  </w:r>
                  <w:r>
                    <w:rPr>
                      <w:kern w:val="0"/>
                      <w:szCs w:val="21"/>
                    </w:rPr>
                    <w:t>°</w:t>
                  </w:r>
                </w:p>
              </w:tc>
              <w:tc>
                <w:tcPr>
                  <w:tcW w:w="854" w:type="pct"/>
                  <w:vAlign w:val="center"/>
                </w:tcPr>
                <w:p w14:paraId="6A77E89D">
                  <w:pPr>
                    <w:autoSpaceDE w:val="0"/>
                    <w:autoSpaceDN w:val="0"/>
                    <w:adjustRightInd w:val="0"/>
                    <w:jc w:val="center"/>
                    <w:rPr>
                      <w:kern w:val="0"/>
                      <w:szCs w:val="21"/>
                    </w:rPr>
                  </w:pPr>
                  <w:r>
                    <w:rPr>
                      <w:kern w:val="0"/>
                      <w:szCs w:val="21"/>
                    </w:rPr>
                    <w:t>纬度</w:t>
                  </w:r>
                </w:p>
              </w:tc>
              <w:tc>
                <w:tcPr>
                  <w:tcW w:w="1503" w:type="pct"/>
                  <w:gridSpan w:val="2"/>
                  <w:tcBorders>
                    <w:right w:val="single" w:color="auto" w:sz="12" w:space="0"/>
                  </w:tcBorders>
                  <w:vAlign w:val="center"/>
                </w:tcPr>
                <w:p w14:paraId="1523CC51">
                  <w:pPr>
                    <w:autoSpaceDE w:val="0"/>
                    <w:autoSpaceDN w:val="0"/>
                    <w:adjustRightInd w:val="0"/>
                    <w:jc w:val="center"/>
                    <w:rPr>
                      <w:kern w:val="0"/>
                      <w:szCs w:val="21"/>
                    </w:rPr>
                  </w:pPr>
                  <w:r>
                    <w:t>29.1505°</w:t>
                  </w:r>
                </w:p>
              </w:tc>
            </w:tr>
            <w:tr w14:paraId="06913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36" w:type="pct"/>
                  <w:tcBorders>
                    <w:left w:val="single" w:color="auto" w:sz="12" w:space="0"/>
                  </w:tcBorders>
                  <w:vAlign w:val="center"/>
                </w:tcPr>
                <w:p w14:paraId="61BB2B08">
                  <w:pPr>
                    <w:autoSpaceDE w:val="0"/>
                    <w:autoSpaceDN w:val="0"/>
                    <w:adjustRightInd w:val="0"/>
                    <w:jc w:val="center"/>
                    <w:rPr>
                      <w:kern w:val="0"/>
                      <w:szCs w:val="21"/>
                    </w:rPr>
                  </w:pPr>
                  <w:r>
                    <w:rPr>
                      <w:kern w:val="0"/>
                      <w:szCs w:val="21"/>
                    </w:rPr>
                    <w:t>主要危险物质及分布</w:t>
                  </w:r>
                </w:p>
              </w:tc>
              <w:tc>
                <w:tcPr>
                  <w:tcW w:w="4064" w:type="pct"/>
                  <w:gridSpan w:val="5"/>
                  <w:tcBorders>
                    <w:right w:val="single" w:color="auto" w:sz="12" w:space="0"/>
                  </w:tcBorders>
                  <w:vAlign w:val="center"/>
                </w:tcPr>
                <w:p w14:paraId="646EB7E2">
                  <w:pPr>
                    <w:autoSpaceDE w:val="0"/>
                    <w:autoSpaceDN w:val="0"/>
                    <w:adjustRightInd w:val="0"/>
                    <w:jc w:val="center"/>
                    <w:rPr>
                      <w:kern w:val="0"/>
                      <w:szCs w:val="21"/>
                    </w:rPr>
                  </w:pPr>
                  <w:r>
                    <w:rPr>
                      <w:kern w:val="0"/>
                      <w:szCs w:val="21"/>
                    </w:rPr>
                    <w:t>火灾</w:t>
                  </w:r>
                  <w:r>
                    <w:rPr>
                      <w:rFonts w:hint="eastAsia"/>
                      <w:kern w:val="0"/>
                      <w:szCs w:val="21"/>
                    </w:rPr>
                    <w:t>；设备故障</w:t>
                  </w:r>
                </w:p>
              </w:tc>
            </w:tr>
            <w:tr w14:paraId="16F0A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36" w:type="pct"/>
                  <w:tcBorders>
                    <w:left w:val="single" w:color="auto" w:sz="12" w:space="0"/>
                  </w:tcBorders>
                  <w:vAlign w:val="center"/>
                </w:tcPr>
                <w:p w14:paraId="0C956B21">
                  <w:pPr>
                    <w:autoSpaceDE w:val="0"/>
                    <w:autoSpaceDN w:val="0"/>
                    <w:adjustRightInd w:val="0"/>
                    <w:jc w:val="center"/>
                    <w:rPr>
                      <w:kern w:val="0"/>
                      <w:szCs w:val="21"/>
                    </w:rPr>
                  </w:pPr>
                  <w:r>
                    <w:rPr>
                      <w:kern w:val="0"/>
                      <w:szCs w:val="21"/>
                    </w:rPr>
                    <w:t>环境影响途径及危害后果</w:t>
                  </w:r>
                </w:p>
              </w:tc>
              <w:tc>
                <w:tcPr>
                  <w:tcW w:w="4064" w:type="pct"/>
                  <w:gridSpan w:val="5"/>
                  <w:tcBorders>
                    <w:right w:val="single" w:color="auto" w:sz="12" w:space="0"/>
                  </w:tcBorders>
                  <w:vAlign w:val="center"/>
                </w:tcPr>
                <w:p w14:paraId="5B3B8F2D">
                  <w:pPr>
                    <w:adjustRightInd w:val="0"/>
                    <w:snapToGrid w:val="0"/>
                    <w:spacing w:line="320" w:lineRule="exact"/>
                    <w:jc w:val="left"/>
                    <w:rPr>
                      <w:szCs w:val="21"/>
                    </w:rPr>
                  </w:pPr>
                  <w:r>
                    <w:rPr>
                      <w:szCs w:val="21"/>
                    </w:rPr>
                    <w:fldChar w:fldCharType="begin"/>
                  </w:r>
                  <w:r>
                    <w:rPr>
                      <w:szCs w:val="21"/>
                    </w:rPr>
                    <w:instrText xml:space="preserve">= 1 \* GB3</w:instrText>
                  </w:r>
                  <w:r>
                    <w:rPr>
                      <w:szCs w:val="21"/>
                    </w:rPr>
                    <w:fldChar w:fldCharType="separate"/>
                  </w:r>
                  <w:r>
                    <w:rPr>
                      <w:rFonts w:hint="eastAsia" w:ascii="宋体" w:hAnsi="宋体" w:cs="宋体"/>
                      <w:szCs w:val="21"/>
                    </w:rPr>
                    <w:t>①</w:t>
                  </w:r>
                  <w:r>
                    <w:rPr>
                      <w:szCs w:val="21"/>
                    </w:rPr>
                    <w:fldChar w:fldCharType="end"/>
                  </w:r>
                  <w:r>
                    <w:rPr>
                      <w:szCs w:val="21"/>
                    </w:rPr>
                    <w:t>大气：火灾对大气污染。</w:t>
                  </w:r>
                  <w:r>
                    <w:rPr>
                      <w:szCs w:val="21"/>
                    </w:rPr>
                    <w:fldChar w:fldCharType="begin"/>
                  </w:r>
                  <w:r>
                    <w:rPr>
                      <w:szCs w:val="21"/>
                    </w:rPr>
                    <w:instrText xml:space="preserve">= 2 \* GB3</w:instrText>
                  </w:r>
                  <w:r>
                    <w:rPr>
                      <w:szCs w:val="21"/>
                    </w:rPr>
                    <w:fldChar w:fldCharType="separate"/>
                  </w:r>
                  <w:r>
                    <w:rPr>
                      <w:rFonts w:hint="eastAsia" w:ascii="宋体" w:hAnsi="宋体" w:cs="宋体"/>
                      <w:szCs w:val="21"/>
                    </w:rPr>
                    <w:t>②</w:t>
                  </w:r>
                  <w:r>
                    <w:rPr>
                      <w:szCs w:val="21"/>
                    </w:rPr>
                    <w:fldChar w:fldCharType="end"/>
                  </w:r>
                  <w:r>
                    <w:rPr>
                      <w:szCs w:val="21"/>
                    </w:rPr>
                    <w:t>地表水、地下水：</w:t>
                  </w:r>
                  <w:r>
                    <w:rPr>
                      <w:rFonts w:hint="eastAsia"/>
                      <w:szCs w:val="21"/>
                    </w:rPr>
                    <w:t>消防废水渗漏</w:t>
                  </w:r>
                </w:p>
              </w:tc>
            </w:tr>
            <w:tr w14:paraId="56ADF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36" w:type="pct"/>
                  <w:tcBorders>
                    <w:left w:val="single" w:color="auto" w:sz="12" w:space="0"/>
                  </w:tcBorders>
                  <w:vAlign w:val="center"/>
                </w:tcPr>
                <w:p w14:paraId="29798FAD">
                  <w:pPr>
                    <w:autoSpaceDE w:val="0"/>
                    <w:autoSpaceDN w:val="0"/>
                    <w:adjustRightInd w:val="0"/>
                    <w:jc w:val="center"/>
                    <w:rPr>
                      <w:kern w:val="0"/>
                      <w:szCs w:val="21"/>
                    </w:rPr>
                  </w:pPr>
                  <w:r>
                    <w:rPr>
                      <w:kern w:val="0"/>
                      <w:szCs w:val="21"/>
                    </w:rPr>
                    <w:t>风险防范措施要求</w:t>
                  </w:r>
                </w:p>
              </w:tc>
              <w:tc>
                <w:tcPr>
                  <w:tcW w:w="4064" w:type="pct"/>
                  <w:gridSpan w:val="5"/>
                  <w:tcBorders>
                    <w:right w:val="single" w:color="auto" w:sz="12" w:space="0"/>
                  </w:tcBorders>
                  <w:vAlign w:val="center"/>
                </w:tcPr>
                <w:p w14:paraId="378996EC">
                  <w:pPr>
                    <w:autoSpaceDE w:val="0"/>
                    <w:autoSpaceDN w:val="0"/>
                    <w:adjustRightInd w:val="0"/>
                    <w:rPr>
                      <w:kern w:val="0"/>
                      <w:szCs w:val="21"/>
                    </w:rPr>
                  </w:pPr>
                  <w:r>
                    <w:rPr>
                      <w:kern w:val="0"/>
                      <w:szCs w:val="21"/>
                    </w:rPr>
                    <w:t>贮运工程风险防范措施</w:t>
                  </w:r>
                </w:p>
                <w:p w14:paraId="05DA8010">
                  <w:pPr>
                    <w:autoSpaceDE w:val="0"/>
                    <w:autoSpaceDN w:val="0"/>
                    <w:adjustRightInd w:val="0"/>
                    <w:rPr>
                      <w:kern w:val="0"/>
                      <w:szCs w:val="21"/>
                    </w:rPr>
                  </w:pPr>
                  <w:r>
                    <w:rPr>
                      <w:rFonts w:hint="eastAsia"/>
                      <w:kern w:val="0"/>
                      <w:szCs w:val="21"/>
                    </w:rPr>
                    <w:t>①生产人员上岗前要进行三级安全培训，并会熟练使用岗位配置的灭火设施；</w:t>
                  </w:r>
                </w:p>
                <w:p w14:paraId="2A6FA2CE">
                  <w:pPr>
                    <w:autoSpaceDE w:val="0"/>
                    <w:autoSpaceDN w:val="0"/>
                    <w:adjustRightInd w:val="0"/>
                    <w:rPr>
                      <w:kern w:val="0"/>
                      <w:szCs w:val="21"/>
                    </w:rPr>
                  </w:pPr>
                  <w:r>
                    <w:rPr>
                      <w:rFonts w:hint="eastAsia"/>
                      <w:kern w:val="0"/>
                      <w:szCs w:val="21"/>
                    </w:rPr>
                    <w:t>②所有进入车间、库房的人员，不得携带火种进入，库区内严禁吸烟、用火。</w:t>
                  </w:r>
                </w:p>
                <w:p w14:paraId="17C58D22">
                  <w:pPr>
                    <w:autoSpaceDE w:val="0"/>
                    <w:autoSpaceDN w:val="0"/>
                    <w:adjustRightInd w:val="0"/>
                    <w:rPr>
                      <w:kern w:val="0"/>
                      <w:szCs w:val="21"/>
                    </w:rPr>
                  </w:pPr>
                  <w:r>
                    <w:rPr>
                      <w:rFonts w:hint="eastAsia"/>
                      <w:kern w:val="0"/>
                      <w:szCs w:val="21"/>
                    </w:rPr>
                    <w:t>③项目使用电气设备经常检查，发现可能引起打火、短路、发热和绝缘不良等情况时，必须立即修理。</w:t>
                  </w:r>
                </w:p>
                <w:p w14:paraId="10C41218">
                  <w:pPr>
                    <w:autoSpaceDE w:val="0"/>
                    <w:autoSpaceDN w:val="0"/>
                    <w:adjustRightInd w:val="0"/>
                    <w:rPr>
                      <w:kern w:val="0"/>
                      <w:szCs w:val="21"/>
                    </w:rPr>
                  </w:pPr>
                  <w:r>
                    <w:rPr>
                      <w:rFonts w:hint="eastAsia"/>
                      <w:kern w:val="0"/>
                      <w:szCs w:val="21"/>
                    </w:rPr>
                    <w:t>④车间、仓库内配置的灭火器、消防设施周围严禁对方其它物品，消防器材设备派专人负责管理，定期检查维修，保证完整好用。</w:t>
                  </w:r>
                </w:p>
                <w:p w14:paraId="4CF6D3CC">
                  <w:pPr>
                    <w:autoSpaceDE w:val="0"/>
                    <w:autoSpaceDN w:val="0"/>
                    <w:adjustRightInd w:val="0"/>
                    <w:rPr>
                      <w:kern w:val="0"/>
                      <w:szCs w:val="21"/>
                    </w:rPr>
                  </w:pPr>
                  <w:r>
                    <w:rPr>
                      <w:rFonts w:hint="eastAsia"/>
                      <w:kern w:val="0"/>
                      <w:szCs w:val="21"/>
                    </w:rPr>
                    <w:t>⑤每日应对车间及仓库内物资进行巡视检查，发现火种、火源、电源及库内环境存在与防火安全相抵触的问题要及时发现，及时消除。</w:t>
                  </w:r>
                </w:p>
                <w:p w14:paraId="39BE5ACB">
                  <w:pPr>
                    <w:autoSpaceDE w:val="0"/>
                    <w:autoSpaceDN w:val="0"/>
                    <w:adjustRightInd w:val="0"/>
                    <w:rPr>
                      <w:kern w:val="0"/>
                      <w:szCs w:val="21"/>
                    </w:rPr>
                  </w:pPr>
                  <w:r>
                    <w:rPr>
                      <w:rFonts w:hint="eastAsia"/>
                      <w:kern w:val="0"/>
                      <w:szCs w:val="21"/>
                    </w:rPr>
                    <w:t>⑥保持设备的清洁卫生，坚持每月的系统的维护，确保机器设备的正常运作。</w:t>
                  </w:r>
                </w:p>
              </w:tc>
            </w:tr>
            <w:tr w14:paraId="6426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7" w:hRule="atLeast"/>
              </w:trPr>
              <w:tc>
                <w:tcPr>
                  <w:tcW w:w="5000" w:type="pct"/>
                  <w:gridSpan w:val="6"/>
                  <w:tcBorders>
                    <w:left w:val="single" w:color="auto" w:sz="12" w:space="0"/>
                    <w:bottom w:val="single" w:color="auto" w:sz="12" w:space="0"/>
                    <w:right w:val="single" w:color="auto" w:sz="12" w:space="0"/>
                  </w:tcBorders>
                </w:tcPr>
                <w:p w14:paraId="6BF45C2B">
                  <w:pPr>
                    <w:autoSpaceDE w:val="0"/>
                    <w:autoSpaceDN w:val="0"/>
                    <w:adjustRightInd w:val="0"/>
                    <w:rPr>
                      <w:kern w:val="0"/>
                      <w:szCs w:val="21"/>
                    </w:rPr>
                  </w:pPr>
                  <w:r>
                    <w:rPr>
                      <w:kern w:val="0"/>
                      <w:szCs w:val="21"/>
                    </w:rPr>
                    <w:t>填表说明（列出项目相关信息及评价说明）：</w:t>
                  </w:r>
                </w:p>
                <w:p w14:paraId="0EFC6BE9">
                  <w:pPr>
                    <w:autoSpaceDE w:val="0"/>
                    <w:autoSpaceDN w:val="0"/>
                    <w:adjustRightInd w:val="0"/>
                    <w:ind w:firstLine="420" w:firstLineChars="200"/>
                    <w:rPr>
                      <w:kern w:val="0"/>
                      <w:szCs w:val="21"/>
                    </w:rPr>
                  </w:pPr>
                  <w:r>
                    <w:rPr>
                      <w:rFonts w:hint="eastAsia"/>
                      <w:bCs/>
                    </w:rPr>
                    <w:t>峨边永亮木材加工厂新建</w:t>
                  </w:r>
                  <w:r>
                    <w:rPr>
                      <w:bCs/>
                    </w:rPr>
                    <w:t>项目</w:t>
                  </w:r>
                  <w:r>
                    <w:rPr>
                      <w:kern w:val="0"/>
                      <w:szCs w:val="21"/>
                    </w:rPr>
                    <w:t>，</w:t>
                  </w:r>
                  <w:r>
                    <w:rPr>
                      <w:rFonts w:hint="eastAsia"/>
                      <w:kern w:val="0"/>
                      <w:szCs w:val="21"/>
                    </w:rPr>
                    <w:t>利用自有建设用地6101.1m</w:t>
                  </w:r>
                  <w:r>
                    <w:rPr>
                      <w:rFonts w:hint="eastAsia"/>
                      <w:kern w:val="0"/>
                      <w:szCs w:val="21"/>
                      <w:vertAlign w:val="superscript"/>
                    </w:rPr>
                    <w:t>2</w:t>
                  </w:r>
                  <w:r>
                    <w:rPr>
                      <w:rFonts w:hint="eastAsia"/>
                      <w:kern w:val="0"/>
                      <w:szCs w:val="21"/>
                    </w:rPr>
                    <w:t>，新建木材粗加工项目，配套建设抓木机、圆木机、边皮锯、多片锯、带锯、修边锯、削片机、圆盘锯、叉车等生产设备及配套附属设备，形成年产粗加工木材15000立方米的产能。</w:t>
                  </w:r>
                </w:p>
                <w:p w14:paraId="21F8E2EB">
                  <w:pPr>
                    <w:autoSpaceDE w:val="0"/>
                    <w:autoSpaceDN w:val="0"/>
                    <w:adjustRightInd w:val="0"/>
                    <w:ind w:firstLine="412" w:firstLineChars="200"/>
                    <w:rPr>
                      <w:spacing w:val="-2"/>
                      <w:szCs w:val="21"/>
                    </w:rPr>
                  </w:pPr>
                  <w:r>
                    <w:rPr>
                      <w:spacing w:val="-2"/>
                      <w:szCs w:val="21"/>
                    </w:rPr>
                    <w:t>项目环境风险潜势为</w:t>
                  </w:r>
                  <w:r>
                    <w:rPr>
                      <w:rFonts w:hint="eastAsia" w:ascii="宋体" w:hAnsi="宋体" w:cs="宋体"/>
                      <w:spacing w:val="-2"/>
                      <w:szCs w:val="21"/>
                    </w:rPr>
                    <w:t>Ⅰ</w:t>
                  </w:r>
                  <w:r>
                    <w:rPr>
                      <w:spacing w:val="-2"/>
                      <w:szCs w:val="21"/>
                    </w:rPr>
                    <w:t>，评价等级为简单评价。项目生产过程中存在火灾</w:t>
                  </w:r>
                  <w:r>
                    <w:rPr>
                      <w:rFonts w:hint="eastAsia"/>
                      <w:spacing w:val="-2"/>
                      <w:szCs w:val="21"/>
                    </w:rPr>
                    <w:t>、设备故障</w:t>
                  </w:r>
                  <w:r>
                    <w:rPr>
                      <w:spacing w:val="-2"/>
                      <w:szCs w:val="21"/>
                    </w:rPr>
                    <w:t>等风险。</w:t>
                  </w:r>
                  <w:r>
                    <w:rPr>
                      <w:kern w:val="28"/>
                      <w:szCs w:val="21"/>
                    </w:rPr>
                    <w:t>建设单位严格实施本报告中各项防范措施和应急措施，防范风险事故发生，风险水平属于可以接受的范畴。</w:t>
                  </w:r>
                </w:p>
              </w:tc>
            </w:tr>
          </w:tbl>
          <w:p w14:paraId="26EADAE0">
            <w:pPr>
              <w:spacing w:line="360" w:lineRule="auto"/>
              <w:rPr>
                <w:b/>
                <w:sz w:val="24"/>
              </w:rPr>
            </w:pPr>
            <w:r>
              <w:rPr>
                <w:rFonts w:hint="eastAsia"/>
                <w:b/>
                <w:sz w:val="24"/>
              </w:rPr>
              <w:t>四、环保竣工验收内容</w:t>
            </w:r>
          </w:p>
          <w:p w14:paraId="1ADB9AF8">
            <w:pPr>
              <w:adjustRightInd w:val="0"/>
              <w:snapToGrid w:val="0"/>
              <w:spacing w:line="360" w:lineRule="auto"/>
              <w:ind w:right="42" w:rightChars="20" w:firstLine="480" w:firstLineChars="200"/>
              <w:rPr>
                <w:kern w:val="0"/>
                <w:sz w:val="24"/>
              </w:rPr>
            </w:pPr>
            <w:r>
              <w:rPr>
                <w:rFonts w:hint="eastAsia"/>
                <w:kern w:val="0"/>
                <w:sz w:val="24"/>
              </w:rPr>
              <w:t>根据工程及环保设施特点，报告列出的环保设施竣工验收详见表</w:t>
            </w:r>
            <w:r>
              <w:rPr>
                <w:kern w:val="0"/>
                <w:sz w:val="24"/>
              </w:rPr>
              <w:t>7-23</w:t>
            </w:r>
            <w:r>
              <w:rPr>
                <w:rFonts w:hint="eastAsia"/>
                <w:kern w:val="0"/>
                <w:sz w:val="24"/>
              </w:rPr>
              <w:t>。</w:t>
            </w:r>
          </w:p>
          <w:p w14:paraId="75D4DC87">
            <w:pPr>
              <w:adjustRightInd w:val="0"/>
              <w:snapToGrid w:val="0"/>
              <w:spacing w:line="360" w:lineRule="auto"/>
              <w:ind w:right="42" w:rightChars="20" w:firstLine="480" w:firstLineChars="200"/>
              <w:jc w:val="center"/>
              <w:rPr>
                <w:rFonts w:ascii="黑体" w:hAnsi="黑体" w:eastAsia="黑体"/>
                <w:kern w:val="0"/>
                <w:sz w:val="24"/>
              </w:rPr>
            </w:pPr>
            <w:r>
              <w:rPr>
                <w:rFonts w:hint="eastAsia" w:ascii="黑体" w:hAnsi="黑体" w:eastAsia="黑体"/>
                <w:kern w:val="0"/>
                <w:sz w:val="24"/>
              </w:rPr>
              <w:t>表</w:t>
            </w:r>
            <w:r>
              <w:rPr>
                <w:rFonts w:ascii="黑体" w:hAnsi="黑体" w:eastAsia="黑体"/>
                <w:kern w:val="0"/>
                <w:sz w:val="24"/>
              </w:rPr>
              <w:t xml:space="preserve">7-23 </w:t>
            </w:r>
            <w:r>
              <w:rPr>
                <w:rFonts w:hint="eastAsia" w:ascii="黑体" w:hAnsi="黑体" w:eastAsia="黑体"/>
                <w:kern w:val="0"/>
                <w:sz w:val="24"/>
              </w:rPr>
              <w:t>项目环保竣工验收一览表</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
              <w:gridCol w:w="626"/>
              <w:gridCol w:w="695"/>
              <w:gridCol w:w="706"/>
              <w:gridCol w:w="936"/>
              <w:gridCol w:w="1768"/>
              <w:gridCol w:w="2250"/>
              <w:gridCol w:w="1060"/>
            </w:tblGrid>
            <w:tr w14:paraId="5484D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pct"/>
                  <w:gridSpan w:val="2"/>
                  <w:tcBorders>
                    <w:top w:val="single" w:color="auto" w:sz="12" w:space="0"/>
                    <w:left w:val="single" w:color="auto" w:sz="12" w:space="0"/>
                    <w:bottom w:val="single" w:color="auto" w:sz="12" w:space="0"/>
                    <w:right w:val="single" w:color="auto" w:sz="4" w:space="0"/>
                  </w:tcBorders>
                  <w:vAlign w:val="center"/>
                </w:tcPr>
                <w:p w14:paraId="021D2F57">
                  <w:pPr>
                    <w:adjustRightInd w:val="0"/>
                    <w:snapToGrid w:val="0"/>
                    <w:ind w:right="42" w:rightChars="20"/>
                    <w:jc w:val="center"/>
                    <w:rPr>
                      <w:kern w:val="0"/>
                      <w:szCs w:val="21"/>
                    </w:rPr>
                  </w:pPr>
                  <w:r>
                    <w:rPr>
                      <w:rFonts w:hint="eastAsia"/>
                      <w:kern w:val="0"/>
                      <w:szCs w:val="21"/>
                    </w:rPr>
                    <w:t>验收项目</w:t>
                  </w:r>
                </w:p>
              </w:tc>
              <w:tc>
                <w:tcPr>
                  <w:tcW w:w="408" w:type="pct"/>
                  <w:tcBorders>
                    <w:top w:val="single" w:color="auto" w:sz="12" w:space="0"/>
                    <w:left w:val="single" w:color="auto" w:sz="4" w:space="0"/>
                    <w:bottom w:val="single" w:color="auto" w:sz="12" w:space="0"/>
                    <w:right w:val="single" w:color="auto" w:sz="4" w:space="0"/>
                  </w:tcBorders>
                  <w:vAlign w:val="center"/>
                </w:tcPr>
                <w:p w14:paraId="34ADDFAB">
                  <w:pPr>
                    <w:adjustRightInd w:val="0"/>
                    <w:snapToGrid w:val="0"/>
                    <w:ind w:right="42" w:rightChars="20"/>
                    <w:jc w:val="center"/>
                    <w:rPr>
                      <w:kern w:val="0"/>
                      <w:szCs w:val="21"/>
                    </w:rPr>
                  </w:pPr>
                  <w:r>
                    <w:rPr>
                      <w:rFonts w:hint="eastAsia"/>
                      <w:kern w:val="0"/>
                      <w:szCs w:val="21"/>
                    </w:rPr>
                    <w:t>污染源</w:t>
                  </w:r>
                </w:p>
              </w:tc>
              <w:tc>
                <w:tcPr>
                  <w:tcW w:w="414" w:type="pct"/>
                  <w:tcBorders>
                    <w:top w:val="single" w:color="auto" w:sz="12" w:space="0"/>
                    <w:left w:val="single" w:color="auto" w:sz="4" w:space="0"/>
                    <w:bottom w:val="single" w:color="auto" w:sz="12" w:space="0"/>
                    <w:right w:val="single" w:color="auto" w:sz="4" w:space="0"/>
                  </w:tcBorders>
                  <w:vAlign w:val="center"/>
                </w:tcPr>
                <w:p w14:paraId="0D6A6C68">
                  <w:pPr>
                    <w:adjustRightInd w:val="0"/>
                    <w:snapToGrid w:val="0"/>
                    <w:ind w:right="42" w:rightChars="20"/>
                    <w:jc w:val="center"/>
                    <w:rPr>
                      <w:kern w:val="0"/>
                      <w:szCs w:val="21"/>
                    </w:rPr>
                  </w:pPr>
                  <w:r>
                    <w:rPr>
                      <w:rFonts w:hint="eastAsia"/>
                      <w:kern w:val="0"/>
                      <w:szCs w:val="21"/>
                    </w:rPr>
                    <w:t>验收点位</w:t>
                  </w:r>
                </w:p>
              </w:tc>
              <w:tc>
                <w:tcPr>
                  <w:tcW w:w="549" w:type="pct"/>
                  <w:tcBorders>
                    <w:top w:val="single" w:color="auto" w:sz="12" w:space="0"/>
                    <w:left w:val="single" w:color="auto" w:sz="4" w:space="0"/>
                    <w:bottom w:val="single" w:color="auto" w:sz="12" w:space="0"/>
                    <w:right w:val="single" w:color="auto" w:sz="4" w:space="0"/>
                  </w:tcBorders>
                  <w:vAlign w:val="center"/>
                </w:tcPr>
                <w:p w14:paraId="46CD8E9F">
                  <w:pPr>
                    <w:adjustRightInd w:val="0"/>
                    <w:snapToGrid w:val="0"/>
                    <w:ind w:right="42" w:rightChars="20"/>
                    <w:jc w:val="center"/>
                    <w:rPr>
                      <w:kern w:val="0"/>
                      <w:szCs w:val="21"/>
                    </w:rPr>
                  </w:pPr>
                  <w:r>
                    <w:rPr>
                      <w:rFonts w:hint="eastAsia"/>
                      <w:kern w:val="0"/>
                      <w:szCs w:val="21"/>
                    </w:rPr>
                    <w:t>验收因子</w:t>
                  </w:r>
                </w:p>
              </w:tc>
              <w:tc>
                <w:tcPr>
                  <w:tcW w:w="1037" w:type="pct"/>
                  <w:tcBorders>
                    <w:top w:val="single" w:color="auto" w:sz="12" w:space="0"/>
                    <w:left w:val="single" w:color="auto" w:sz="4" w:space="0"/>
                    <w:bottom w:val="single" w:color="auto" w:sz="12" w:space="0"/>
                    <w:right w:val="single" w:color="auto" w:sz="4" w:space="0"/>
                  </w:tcBorders>
                  <w:vAlign w:val="center"/>
                </w:tcPr>
                <w:p w14:paraId="56E5567B">
                  <w:pPr>
                    <w:adjustRightInd w:val="0"/>
                    <w:snapToGrid w:val="0"/>
                    <w:ind w:right="42" w:rightChars="20"/>
                    <w:jc w:val="center"/>
                    <w:rPr>
                      <w:kern w:val="0"/>
                      <w:szCs w:val="21"/>
                    </w:rPr>
                  </w:pPr>
                  <w:r>
                    <w:rPr>
                      <w:rFonts w:hint="eastAsia"/>
                      <w:kern w:val="0"/>
                      <w:szCs w:val="21"/>
                    </w:rPr>
                    <w:t>环保设施及措施</w:t>
                  </w:r>
                </w:p>
              </w:tc>
              <w:tc>
                <w:tcPr>
                  <w:tcW w:w="1320" w:type="pct"/>
                  <w:tcBorders>
                    <w:top w:val="single" w:color="auto" w:sz="12" w:space="0"/>
                    <w:left w:val="single" w:color="auto" w:sz="4" w:space="0"/>
                    <w:bottom w:val="single" w:color="auto" w:sz="12" w:space="0"/>
                    <w:right w:val="single" w:color="auto" w:sz="4" w:space="0"/>
                  </w:tcBorders>
                  <w:vAlign w:val="center"/>
                </w:tcPr>
                <w:p w14:paraId="37339C07">
                  <w:pPr>
                    <w:adjustRightInd w:val="0"/>
                    <w:snapToGrid w:val="0"/>
                    <w:ind w:right="42" w:rightChars="20"/>
                    <w:jc w:val="center"/>
                    <w:rPr>
                      <w:kern w:val="0"/>
                      <w:szCs w:val="21"/>
                    </w:rPr>
                  </w:pPr>
                  <w:r>
                    <w:rPr>
                      <w:rFonts w:hint="eastAsia"/>
                      <w:kern w:val="0"/>
                      <w:szCs w:val="21"/>
                    </w:rPr>
                    <w:t>执行标准</w:t>
                  </w:r>
                </w:p>
              </w:tc>
              <w:tc>
                <w:tcPr>
                  <w:tcW w:w="622" w:type="pct"/>
                  <w:tcBorders>
                    <w:top w:val="single" w:color="auto" w:sz="12" w:space="0"/>
                    <w:left w:val="single" w:color="auto" w:sz="4" w:space="0"/>
                    <w:bottom w:val="single" w:color="auto" w:sz="12" w:space="0"/>
                    <w:right w:val="single" w:color="auto" w:sz="12" w:space="0"/>
                  </w:tcBorders>
                  <w:vAlign w:val="center"/>
                </w:tcPr>
                <w:p w14:paraId="51F58F3C">
                  <w:pPr>
                    <w:adjustRightInd w:val="0"/>
                    <w:snapToGrid w:val="0"/>
                    <w:ind w:right="42" w:rightChars="20"/>
                    <w:jc w:val="center"/>
                    <w:rPr>
                      <w:kern w:val="0"/>
                      <w:szCs w:val="21"/>
                    </w:rPr>
                  </w:pPr>
                  <w:r>
                    <w:rPr>
                      <w:rFonts w:hint="eastAsia"/>
                      <w:kern w:val="0"/>
                      <w:szCs w:val="21"/>
                    </w:rPr>
                    <w:t>验收要求及总量指标</w:t>
                  </w:r>
                </w:p>
              </w:tc>
            </w:tr>
            <w:tr w14:paraId="6D19D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 w:type="pct"/>
                  <w:vMerge w:val="restart"/>
                  <w:tcBorders>
                    <w:top w:val="single" w:color="auto" w:sz="4" w:space="0"/>
                    <w:left w:val="single" w:color="auto" w:sz="12" w:space="0"/>
                    <w:bottom w:val="single" w:color="auto" w:sz="4" w:space="0"/>
                    <w:right w:val="single" w:color="auto" w:sz="4" w:space="0"/>
                  </w:tcBorders>
                  <w:vAlign w:val="center"/>
                </w:tcPr>
                <w:p w14:paraId="0647766A">
                  <w:pPr>
                    <w:adjustRightInd w:val="0"/>
                    <w:snapToGrid w:val="0"/>
                    <w:ind w:right="42" w:rightChars="20"/>
                    <w:jc w:val="center"/>
                    <w:rPr>
                      <w:kern w:val="0"/>
                      <w:szCs w:val="21"/>
                    </w:rPr>
                  </w:pPr>
                  <w:r>
                    <w:rPr>
                      <w:rFonts w:hint="eastAsia"/>
                      <w:kern w:val="0"/>
                      <w:szCs w:val="21"/>
                    </w:rPr>
                    <w:t>运营期</w:t>
                  </w:r>
                </w:p>
              </w:tc>
              <w:tc>
                <w:tcPr>
                  <w:tcW w:w="367" w:type="pct"/>
                  <w:vMerge w:val="restart"/>
                  <w:tcBorders>
                    <w:top w:val="single" w:color="auto" w:sz="4" w:space="0"/>
                    <w:left w:val="single" w:color="auto" w:sz="4" w:space="0"/>
                    <w:right w:val="single" w:color="auto" w:sz="4" w:space="0"/>
                  </w:tcBorders>
                  <w:vAlign w:val="center"/>
                </w:tcPr>
                <w:p w14:paraId="7E967EFF">
                  <w:pPr>
                    <w:adjustRightInd w:val="0"/>
                    <w:snapToGrid w:val="0"/>
                    <w:ind w:right="42" w:rightChars="20"/>
                    <w:jc w:val="center"/>
                    <w:rPr>
                      <w:kern w:val="0"/>
                      <w:szCs w:val="21"/>
                    </w:rPr>
                  </w:pPr>
                  <w:r>
                    <w:rPr>
                      <w:rFonts w:hint="eastAsia"/>
                      <w:kern w:val="0"/>
                      <w:szCs w:val="21"/>
                    </w:rPr>
                    <w:t>废气</w:t>
                  </w:r>
                </w:p>
              </w:tc>
              <w:tc>
                <w:tcPr>
                  <w:tcW w:w="408" w:type="pct"/>
                  <w:tcBorders>
                    <w:top w:val="single" w:color="auto" w:sz="4" w:space="0"/>
                    <w:left w:val="single" w:color="auto" w:sz="4" w:space="0"/>
                    <w:bottom w:val="single" w:color="auto" w:sz="4" w:space="0"/>
                    <w:right w:val="single" w:color="auto" w:sz="4" w:space="0"/>
                  </w:tcBorders>
                  <w:vAlign w:val="center"/>
                </w:tcPr>
                <w:p w14:paraId="6E92E935">
                  <w:pPr>
                    <w:adjustRightInd w:val="0"/>
                    <w:snapToGrid w:val="0"/>
                    <w:ind w:right="42" w:rightChars="20"/>
                    <w:jc w:val="center"/>
                    <w:rPr>
                      <w:kern w:val="0"/>
                      <w:szCs w:val="21"/>
                    </w:rPr>
                  </w:pPr>
                  <w:r>
                    <w:rPr>
                      <w:rFonts w:hint="eastAsia"/>
                      <w:kern w:val="0"/>
                      <w:szCs w:val="21"/>
                    </w:rPr>
                    <w:t>生产车间</w:t>
                  </w:r>
                </w:p>
              </w:tc>
              <w:tc>
                <w:tcPr>
                  <w:tcW w:w="414" w:type="pct"/>
                  <w:tcBorders>
                    <w:top w:val="single" w:color="auto" w:sz="4" w:space="0"/>
                    <w:left w:val="single" w:color="auto" w:sz="4" w:space="0"/>
                    <w:bottom w:val="single" w:color="auto" w:sz="4" w:space="0"/>
                    <w:right w:val="single" w:color="auto" w:sz="4" w:space="0"/>
                  </w:tcBorders>
                  <w:vAlign w:val="center"/>
                </w:tcPr>
                <w:p w14:paraId="150977BD">
                  <w:pPr>
                    <w:adjustRightInd w:val="0"/>
                    <w:snapToGrid w:val="0"/>
                    <w:ind w:right="42" w:rightChars="20"/>
                    <w:jc w:val="center"/>
                    <w:rPr>
                      <w:kern w:val="0"/>
                      <w:szCs w:val="21"/>
                    </w:rPr>
                  </w:pPr>
                  <w:r>
                    <w:rPr>
                      <w:rFonts w:hint="eastAsia"/>
                      <w:kern w:val="0"/>
                      <w:szCs w:val="21"/>
                    </w:rPr>
                    <w:t>场界</w:t>
                  </w:r>
                </w:p>
              </w:tc>
              <w:tc>
                <w:tcPr>
                  <w:tcW w:w="549" w:type="pct"/>
                  <w:tcBorders>
                    <w:top w:val="single" w:color="auto" w:sz="4" w:space="0"/>
                    <w:left w:val="single" w:color="auto" w:sz="4" w:space="0"/>
                    <w:bottom w:val="single" w:color="auto" w:sz="4" w:space="0"/>
                    <w:right w:val="single" w:color="auto" w:sz="4" w:space="0"/>
                  </w:tcBorders>
                  <w:vAlign w:val="center"/>
                </w:tcPr>
                <w:p w14:paraId="27434D47">
                  <w:pPr>
                    <w:adjustRightInd w:val="0"/>
                    <w:snapToGrid w:val="0"/>
                    <w:ind w:right="42" w:rightChars="20"/>
                    <w:jc w:val="center"/>
                    <w:rPr>
                      <w:kern w:val="0"/>
                      <w:szCs w:val="21"/>
                    </w:rPr>
                  </w:pPr>
                  <w:r>
                    <w:rPr>
                      <w:rFonts w:hint="eastAsia"/>
                      <w:kern w:val="0"/>
                      <w:szCs w:val="21"/>
                    </w:rPr>
                    <w:t>颗粒物</w:t>
                  </w:r>
                </w:p>
              </w:tc>
              <w:tc>
                <w:tcPr>
                  <w:tcW w:w="1037" w:type="pct"/>
                  <w:tcBorders>
                    <w:top w:val="single" w:color="auto" w:sz="4" w:space="0"/>
                    <w:left w:val="single" w:color="auto" w:sz="4" w:space="0"/>
                    <w:bottom w:val="single" w:color="auto" w:sz="4" w:space="0"/>
                    <w:right w:val="single" w:color="auto" w:sz="4" w:space="0"/>
                  </w:tcBorders>
                  <w:vAlign w:val="center"/>
                </w:tcPr>
                <w:p w14:paraId="5BF8586F">
                  <w:pPr>
                    <w:adjustRightInd w:val="0"/>
                    <w:snapToGrid w:val="0"/>
                    <w:ind w:right="42" w:rightChars="20"/>
                    <w:jc w:val="center"/>
                    <w:rPr>
                      <w:kern w:val="0"/>
                      <w:szCs w:val="21"/>
                    </w:rPr>
                  </w:pPr>
                  <w:r>
                    <w:rPr>
                      <w:rFonts w:hint="eastAsia"/>
                      <w:kern w:val="0"/>
                      <w:szCs w:val="21"/>
                    </w:rPr>
                    <w:t>生产车间喷雾降尘；洒水降尘、定期清洁清扫</w:t>
                  </w:r>
                </w:p>
              </w:tc>
              <w:tc>
                <w:tcPr>
                  <w:tcW w:w="1320" w:type="pct"/>
                  <w:vMerge w:val="restart"/>
                  <w:tcBorders>
                    <w:top w:val="single" w:color="auto" w:sz="4" w:space="0"/>
                    <w:left w:val="single" w:color="auto" w:sz="4" w:space="0"/>
                    <w:right w:val="single" w:color="auto" w:sz="4" w:space="0"/>
                  </w:tcBorders>
                  <w:vAlign w:val="center"/>
                </w:tcPr>
                <w:p w14:paraId="61658AA4">
                  <w:pPr>
                    <w:adjustRightInd w:val="0"/>
                    <w:snapToGrid w:val="0"/>
                    <w:ind w:right="42" w:rightChars="20"/>
                    <w:jc w:val="center"/>
                    <w:rPr>
                      <w:kern w:val="0"/>
                      <w:szCs w:val="21"/>
                    </w:rPr>
                  </w:pPr>
                  <w:r>
                    <w:rPr>
                      <w:rFonts w:hint="eastAsia"/>
                      <w:szCs w:val="21"/>
                    </w:rPr>
                    <w:t>《大气污染物综合排放标准》（</w:t>
                  </w:r>
                  <w:r>
                    <w:rPr>
                      <w:szCs w:val="21"/>
                    </w:rPr>
                    <w:t>GB16297-1996</w:t>
                  </w:r>
                  <w:r>
                    <w:rPr>
                      <w:rFonts w:hint="eastAsia"/>
                      <w:szCs w:val="21"/>
                    </w:rPr>
                    <w:t>）</w:t>
                  </w:r>
                </w:p>
              </w:tc>
              <w:tc>
                <w:tcPr>
                  <w:tcW w:w="622" w:type="pct"/>
                  <w:vMerge w:val="restart"/>
                  <w:tcBorders>
                    <w:top w:val="single" w:color="auto" w:sz="4" w:space="0"/>
                    <w:left w:val="single" w:color="auto" w:sz="4" w:space="0"/>
                    <w:right w:val="single" w:color="auto" w:sz="12" w:space="0"/>
                  </w:tcBorders>
                  <w:vAlign w:val="center"/>
                </w:tcPr>
                <w:p w14:paraId="0F849A23">
                  <w:pPr>
                    <w:adjustRightInd w:val="0"/>
                    <w:snapToGrid w:val="0"/>
                    <w:ind w:right="42" w:rightChars="20"/>
                    <w:jc w:val="center"/>
                    <w:rPr>
                      <w:kern w:val="0"/>
                      <w:szCs w:val="21"/>
                    </w:rPr>
                  </w:pPr>
                  <w:r>
                    <w:rPr>
                      <w:rFonts w:hint="eastAsia"/>
                      <w:kern w:val="0"/>
                      <w:szCs w:val="21"/>
                    </w:rPr>
                    <w:t>达标排放</w:t>
                  </w:r>
                </w:p>
              </w:tc>
            </w:tr>
            <w:tr w14:paraId="5C507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 w:type="pct"/>
                  <w:vMerge w:val="continue"/>
                  <w:tcBorders>
                    <w:top w:val="single" w:color="auto" w:sz="4" w:space="0"/>
                    <w:left w:val="single" w:color="auto" w:sz="12" w:space="0"/>
                    <w:bottom w:val="single" w:color="auto" w:sz="4" w:space="0"/>
                    <w:right w:val="single" w:color="auto" w:sz="4" w:space="0"/>
                  </w:tcBorders>
                  <w:vAlign w:val="center"/>
                </w:tcPr>
                <w:p w14:paraId="79B5DB75">
                  <w:pPr>
                    <w:adjustRightInd w:val="0"/>
                    <w:snapToGrid w:val="0"/>
                    <w:ind w:right="42" w:rightChars="20"/>
                    <w:jc w:val="center"/>
                    <w:rPr>
                      <w:kern w:val="0"/>
                      <w:szCs w:val="21"/>
                    </w:rPr>
                  </w:pPr>
                </w:p>
              </w:tc>
              <w:tc>
                <w:tcPr>
                  <w:tcW w:w="367" w:type="pct"/>
                  <w:vMerge w:val="continue"/>
                  <w:tcBorders>
                    <w:left w:val="single" w:color="auto" w:sz="4" w:space="0"/>
                    <w:bottom w:val="single" w:color="auto" w:sz="4" w:space="0"/>
                    <w:right w:val="single" w:color="auto" w:sz="4" w:space="0"/>
                  </w:tcBorders>
                  <w:vAlign w:val="center"/>
                </w:tcPr>
                <w:p w14:paraId="50B11C47">
                  <w:pPr>
                    <w:adjustRightInd w:val="0"/>
                    <w:snapToGrid w:val="0"/>
                    <w:ind w:right="42" w:rightChars="20"/>
                    <w:jc w:val="center"/>
                    <w:rPr>
                      <w:kern w:val="0"/>
                      <w:szCs w:val="21"/>
                    </w:rPr>
                  </w:pPr>
                </w:p>
              </w:tc>
              <w:tc>
                <w:tcPr>
                  <w:tcW w:w="408" w:type="pct"/>
                  <w:tcBorders>
                    <w:top w:val="single" w:color="auto" w:sz="4" w:space="0"/>
                    <w:left w:val="single" w:color="auto" w:sz="4" w:space="0"/>
                    <w:bottom w:val="single" w:color="auto" w:sz="4" w:space="0"/>
                    <w:right w:val="single" w:color="auto" w:sz="4" w:space="0"/>
                  </w:tcBorders>
                  <w:vAlign w:val="center"/>
                </w:tcPr>
                <w:p w14:paraId="3596A48A">
                  <w:pPr>
                    <w:adjustRightInd w:val="0"/>
                    <w:snapToGrid w:val="0"/>
                    <w:ind w:right="42" w:rightChars="20"/>
                    <w:jc w:val="center"/>
                    <w:rPr>
                      <w:kern w:val="0"/>
                      <w:szCs w:val="21"/>
                    </w:rPr>
                  </w:pPr>
                  <w:r>
                    <w:rPr>
                      <w:rFonts w:hint="eastAsia"/>
                      <w:kern w:val="0"/>
                      <w:szCs w:val="21"/>
                    </w:rPr>
                    <w:t>堆场</w:t>
                  </w:r>
                </w:p>
              </w:tc>
              <w:tc>
                <w:tcPr>
                  <w:tcW w:w="414" w:type="pct"/>
                  <w:tcBorders>
                    <w:top w:val="single" w:color="auto" w:sz="4" w:space="0"/>
                    <w:left w:val="single" w:color="auto" w:sz="4" w:space="0"/>
                    <w:bottom w:val="single" w:color="auto" w:sz="4" w:space="0"/>
                    <w:right w:val="single" w:color="auto" w:sz="4" w:space="0"/>
                  </w:tcBorders>
                  <w:vAlign w:val="center"/>
                </w:tcPr>
                <w:p w14:paraId="6F330651">
                  <w:pPr>
                    <w:adjustRightInd w:val="0"/>
                    <w:snapToGrid w:val="0"/>
                    <w:ind w:right="42" w:rightChars="20"/>
                    <w:jc w:val="center"/>
                    <w:rPr>
                      <w:kern w:val="0"/>
                      <w:szCs w:val="21"/>
                    </w:rPr>
                  </w:pPr>
                  <w:r>
                    <w:rPr>
                      <w:rFonts w:hint="eastAsia"/>
                      <w:kern w:val="0"/>
                      <w:szCs w:val="21"/>
                    </w:rPr>
                    <w:t>厂界</w:t>
                  </w:r>
                </w:p>
              </w:tc>
              <w:tc>
                <w:tcPr>
                  <w:tcW w:w="549" w:type="pct"/>
                  <w:tcBorders>
                    <w:top w:val="single" w:color="auto" w:sz="4" w:space="0"/>
                    <w:left w:val="single" w:color="auto" w:sz="4" w:space="0"/>
                    <w:bottom w:val="single" w:color="auto" w:sz="4" w:space="0"/>
                    <w:right w:val="single" w:color="auto" w:sz="4" w:space="0"/>
                  </w:tcBorders>
                  <w:vAlign w:val="center"/>
                </w:tcPr>
                <w:p w14:paraId="13863682">
                  <w:pPr>
                    <w:adjustRightInd w:val="0"/>
                    <w:snapToGrid w:val="0"/>
                    <w:ind w:right="42" w:rightChars="20"/>
                    <w:jc w:val="center"/>
                    <w:rPr>
                      <w:kern w:val="0"/>
                      <w:szCs w:val="21"/>
                    </w:rPr>
                  </w:pPr>
                  <w:r>
                    <w:rPr>
                      <w:rFonts w:hint="eastAsia"/>
                      <w:kern w:val="0"/>
                      <w:szCs w:val="21"/>
                    </w:rPr>
                    <w:t>颗粒物</w:t>
                  </w:r>
                </w:p>
              </w:tc>
              <w:tc>
                <w:tcPr>
                  <w:tcW w:w="1037" w:type="pct"/>
                  <w:tcBorders>
                    <w:top w:val="single" w:color="auto" w:sz="4" w:space="0"/>
                    <w:left w:val="single" w:color="auto" w:sz="4" w:space="0"/>
                    <w:bottom w:val="single" w:color="auto" w:sz="4" w:space="0"/>
                    <w:right w:val="single" w:color="auto" w:sz="4" w:space="0"/>
                  </w:tcBorders>
                  <w:vAlign w:val="center"/>
                </w:tcPr>
                <w:p w14:paraId="1EE5CE0E">
                  <w:pPr>
                    <w:adjustRightInd w:val="0"/>
                    <w:snapToGrid w:val="0"/>
                    <w:ind w:right="42" w:rightChars="20"/>
                    <w:jc w:val="center"/>
                    <w:rPr>
                      <w:kern w:val="0"/>
                      <w:szCs w:val="21"/>
                    </w:rPr>
                  </w:pPr>
                  <w:r>
                    <w:rPr>
                      <w:rFonts w:hint="eastAsia"/>
                      <w:kern w:val="0"/>
                      <w:szCs w:val="21"/>
                    </w:rPr>
                    <w:t>堆场覆盖</w:t>
                  </w:r>
                </w:p>
              </w:tc>
              <w:tc>
                <w:tcPr>
                  <w:tcW w:w="1320" w:type="pct"/>
                  <w:vMerge w:val="continue"/>
                  <w:tcBorders>
                    <w:left w:val="single" w:color="auto" w:sz="4" w:space="0"/>
                    <w:bottom w:val="single" w:color="auto" w:sz="4" w:space="0"/>
                    <w:right w:val="single" w:color="auto" w:sz="4" w:space="0"/>
                  </w:tcBorders>
                  <w:vAlign w:val="center"/>
                </w:tcPr>
                <w:p w14:paraId="711EA4BB">
                  <w:pPr>
                    <w:adjustRightInd w:val="0"/>
                    <w:snapToGrid w:val="0"/>
                    <w:ind w:right="42" w:rightChars="20"/>
                    <w:jc w:val="center"/>
                    <w:rPr>
                      <w:szCs w:val="21"/>
                    </w:rPr>
                  </w:pPr>
                </w:p>
              </w:tc>
              <w:tc>
                <w:tcPr>
                  <w:tcW w:w="622" w:type="pct"/>
                  <w:vMerge w:val="continue"/>
                  <w:tcBorders>
                    <w:left w:val="single" w:color="auto" w:sz="4" w:space="0"/>
                    <w:bottom w:val="single" w:color="auto" w:sz="4" w:space="0"/>
                    <w:right w:val="single" w:color="auto" w:sz="12" w:space="0"/>
                  </w:tcBorders>
                  <w:vAlign w:val="center"/>
                </w:tcPr>
                <w:p w14:paraId="3FA29C3C">
                  <w:pPr>
                    <w:adjustRightInd w:val="0"/>
                    <w:snapToGrid w:val="0"/>
                    <w:ind w:right="42" w:rightChars="20"/>
                    <w:jc w:val="center"/>
                    <w:rPr>
                      <w:kern w:val="0"/>
                      <w:szCs w:val="21"/>
                    </w:rPr>
                  </w:pPr>
                </w:p>
              </w:tc>
            </w:tr>
            <w:tr w14:paraId="1821C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 w:type="pct"/>
                  <w:vMerge w:val="continue"/>
                  <w:tcBorders>
                    <w:top w:val="single" w:color="auto" w:sz="4" w:space="0"/>
                    <w:left w:val="single" w:color="auto" w:sz="12" w:space="0"/>
                    <w:bottom w:val="single" w:color="auto" w:sz="4" w:space="0"/>
                    <w:right w:val="single" w:color="auto" w:sz="4" w:space="0"/>
                  </w:tcBorders>
                  <w:vAlign w:val="center"/>
                </w:tcPr>
                <w:p w14:paraId="759DB39F">
                  <w:pPr>
                    <w:adjustRightInd w:val="0"/>
                    <w:snapToGrid w:val="0"/>
                    <w:ind w:right="42" w:rightChars="20"/>
                    <w:jc w:val="center"/>
                    <w:rPr>
                      <w:kern w:val="0"/>
                      <w:szCs w:val="21"/>
                    </w:rPr>
                  </w:pPr>
                </w:p>
              </w:tc>
              <w:tc>
                <w:tcPr>
                  <w:tcW w:w="367" w:type="pct"/>
                  <w:tcBorders>
                    <w:top w:val="single" w:color="auto" w:sz="4" w:space="0"/>
                    <w:left w:val="single" w:color="auto" w:sz="4" w:space="0"/>
                    <w:bottom w:val="single" w:color="auto" w:sz="4" w:space="0"/>
                    <w:right w:val="single" w:color="auto" w:sz="4" w:space="0"/>
                  </w:tcBorders>
                  <w:vAlign w:val="center"/>
                </w:tcPr>
                <w:p w14:paraId="3E00D81E">
                  <w:pPr>
                    <w:adjustRightInd w:val="0"/>
                    <w:snapToGrid w:val="0"/>
                    <w:ind w:right="42" w:rightChars="20"/>
                    <w:jc w:val="center"/>
                    <w:rPr>
                      <w:kern w:val="0"/>
                      <w:szCs w:val="21"/>
                    </w:rPr>
                  </w:pPr>
                  <w:r>
                    <w:rPr>
                      <w:rFonts w:hint="eastAsia"/>
                      <w:kern w:val="0"/>
                      <w:szCs w:val="21"/>
                    </w:rPr>
                    <w:t>废水</w:t>
                  </w:r>
                </w:p>
              </w:tc>
              <w:tc>
                <w:tcPr>
                  <w:tcW w:w="408" w:type="pct"/>
                  <w:tcBorders>
                    <w:top w:val="single" w:color="auto" w:sz="4" w:space="0"/>
                    <w:left w:val="single" w:color="auto" w:sz="4" w:space="0"/>
                    <w:bottom w:val="single" w:color="auto" w:sz="4" w:space="0"/>
                    <w:right w:val="single" w:color="auto" w:sz="4" w:space="0"/>
                  </w:tcBorders>
                  <w:vAlign w:val="center"/>
                </w:tcPr>
                <w:p w14:paraId="416FCC64">
                  <w:pPr>
                    <w:adjustRightInd w:val="0"/>
                    <w:snapToGrid w:val="0"/>
                    <w:ind w:right="42" w:rightChars="20"/>
                    <w:jc w:val="center"/>
                    <w:rPr>
                      <w:kern w:val="0"/>
                      <w:szCs w:val="21"/>
                    </w:rPr>
                  </w:pPr>
                  <w:r>
                    <w:rPr>
                      <w:rFonts w:hint="eastAsia"/>
                      <w:kern w:val="0"/>
                      <w:szCs w:val="21"/>
                    </w:rPr>
                    <w:t>雨水</w:t>
                  </w:r>
                </w:p>
              </w:tc>
              <w:tc>
                <w:tcPr>
                  <w:tcW w:w="414" w:type="pct"/>
                  <w:tcBorders>
                    <w:top w:val="single" w:color="auto" w:sz="4" w:space="0"/>
                    <w:left w:val="single" w:color="auto" w:sz="4" w:space="0"/>
                    <w:bottom w:val="single" w:color="auto" w:sz="4" w:space="0"/>
                    <w:right w:val="single" w:color="auto" w:sz="4" w:space="0"/>
                  </w:tcBorders>
                  <w:vAlign w:val="center"/>
                </w:tcPr>
                <w:p w14:paraId="7900FBD4">
                  <w:pPr>
                    <w:adjustRightInd w:val="0"/>
                    <w:snapToGrid w:val="0"/>
                    <w:ind w:right="42" w:rightChars="20"/>
                    <w:jc w:val="center"/>
                    <w:rPr>
                      <w:kern w:val="0"/>
                      <w:szCs w:val="21"/>
                    </w:rPr>
                  </w:pPr>
                  <w:r>
                    <w:rPr>
                      <w:rFonts w:hint="eastAsia"/>
                      <w:kern w:val="0"/>
                      <w:szCs w:val="21"/>
                    </w:rPr>
                    <w:t>雨水池</w:t>
                  </w:r>
                </w:p>
              </w:tc>
              <w:tc>
                <w:tcPr>
                  <w:tcW w:w="549" w:type="pct"/>
                  <w:tcBorders>
                    <w:top w:val="single" w:color="auto" w:sz="4" w:space="0"/>
                    <w:left w:val="single" w:color="auto" w:sz="4" w:space="0"/>
                    <w:bottom w:val="single" w:color="auto" w:sz="4" w:space="0"/>
                    <w:right w:val="single" w:color="auto" w:sz="4" w:space="0"/>
                  </w:tcBorders>
                  <w:vAlign w:val="center"/>
                </w:tcPr>
                <w:p w14:paraId="35C9FC9C">
                  <w:pPr>
                    <w:adjustRightInd w:val="0"/>
                    <w:snapToGrid w:val="0"/>
                    <w:ind w:right="42" w:rightChars="20"/>
                    <w:jc w:val="center"/>
                    <w:rPr>
                      <w:kern w:val="0"/>
                      <w:szCs w:val="21"/>
                    </w:rPr>
                  </w:pPr>
                  <w:r>
                    <w:rPr>
                      <w:rFonts w:hint="eastAsia"/>
                      <w:kern w:val="0"/>
                      <w:szCs w:val="21"/>
                    </w:rPr>
                    <w:t>雨水</w:t>
                  </w:r>
                </w:p>
              </w:tc>
              <w:tc>
                <w:tcPr>
                  <w:tcW w:w="1037" w:type="pct"/>
                  <w:tcBorders>
                    <w:top w:val="single" w:color="auto" w:sz="4" w:space="0"/>
                    <w:left w:val="single" w:color="auto" w:sz="4" w:space="0"/>
                    <w:bottom w:val="single" w:color="auto" w:sz="4" w:space="0"/>
                    <w:right w:val="single" w:color="auto" w:sz="4" w:space="0"/>
                  </w:tcBorders>
                  <w:vAlign w:val="center"/>
                </w:tcPr>
                <w:p w14:paraId="20ECCB9C">
                  <w:pPr>
                    <w:adjustRightInd w:val="0"/>
                    <w:snapToGrid w:val="0"/>
                    <w:ind w:right="42" w:rightChars="20"/>
                    <w:jc w:val="center"/>
                    <w:rPr>
                      <w:kern w:val="0"/>
                      <w:szCs w:val="21"/>
                    </w:rPr>
                  </w:pPr>
                  <w:r>
                    <w:rPr>
                      <w:rFonts w:hint="eastAsia"/>
                      <w:kern w:val="0"/>
                      <w:szCs w:val="21"/>
                    </w:rPr>
                    <w:t>厂界低洼处设置雨水沉淀池</w:t>
                  </w:r>
                </w:p>
              </w:tc>
              <w:tc>
                <w:tcPr>
                  <w:tcW w:w="1320" w:type="pct"/>
                  <w:tcBorders>
                    <w:top w:val="single" w:color="auto" w:sz="4" w:space="0"/>
                    <w:left w:val="single" w:color="auto" w:sz="4" w:space="0"/>
                    <w:bottom w:val="single" w:color="auto" w:sz="4" w:space="0"/>
                    <w:right w:val="single" w:color="auto" w:sz="4" w:space="0"/>
                  </w:tcBorders>
                  <w:vAlign w:val="center"/>
                </w:tcPr>
                <w:p w14:paraId="374BD878">
                  <w:pPr>
                    <w:adjustRightInd w:val="0"/>
                    <w:snapToGrid w:val="0"/>
                    <w:ind w:right="42" w:rightChars="20"/>
                    <w:jc w:val="center"/>
                    <w:rPr>
                      <w:szCs w:val="21"/>
                    </w:rPr>
                  </w:pPr>
                  <w:r>
                    <w:rPr>
                      <w:rFonts w:hint="eastAsia"/>
                      <w:szCs w:val="21"/>
                    </w:rPr>
                    <w:t>/</w:t>
                  </w:r>
                </w:p>
              </w:tc>
              <w:tc>
                <w:tcPr>
                  <w:tcW w:w="622" w:type="pct"/>
                  <w:tcBorders>
                    <w:top w:val="single" w:color="auto" w:sz="4" w:space="0"/>
                    <w:left w:val="single" w:color="auto" w:sz="4" w:space="0"/>
                    <w:bottom w:val="single" w:color="auto" w:sz="4" w:space="0"/>
                    <w:right w:val="single" w:color="auto" w:sz="12" w:space="0"/>
                  </w:tcBorders>
                  <w:vAlign w:val="center"/>
                </w:tcPr>
                <w:p w14:paraId="73BC414B">
                  <w:pPr>
                    <w:adjustRightInd w:val="0"/>
                    <w:snapToGrid w:val="0"/>
                    <w:ind w:right="42" w:rightChars="20"/>
                    <w:jc w:val="center"/>
                    <w:rPr>
                      <w:kern w:val="0"/>
                      <w:szCs w:val="21"/>
                    </w:rPr>
                  </w:pPr>
                  <w:r>
                    <w:rPr>
                      <w:kern w:val="0"/>
                      <w:szCs w:val="21"/>
                    </w:rPr>
                    <w:t>达标排放</w:t>
                  </w:r>
                </w:p>
              </w:tc>
            </w:tr>
            <w:tr w14:paraId="2B2FC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 w:type="pct"/>
                  <w:vMerge w:val="continue"/>
                  <w:tcBorders>
                    <w:top w:val="single" w:color="auto" w:sz="4" w:space="0"/>
                    <w:left w:val="single" w:color="auto" w:sz="12" w:space="0"/>
                    <w:bottom w:val="single" w:color="auto" w:sz="4" w:space="0"/>
                    <w:right w:val="single" w:color="auto" w:sz="4" w:space="0"/>
                  </w:tcBorders>
                  <w:vAlign w:val="center"/>
                </w:tcPr>
                <w:p w14:paraId="4DE23E17">
                  <w:pPr>
                    <w:adjustRightInd w:val="0"/>
                    <w:snapToGrid w:val="0"/>
                    <w:ind w:right="42" w:rightChars="20"/>
                    <w:jc w:val="center"/>
                    <w:rPr>
                      <w:kern w:val="0"/>
                      <w:szCs w:val="21"/>
                    </w:rPr>
                  </w:pPr>
                </w:p>
              </w:tc>
              <w:tc>
                <w:tcPr>
                  <w:tcW w:w="367" w:type="pct"/>
                  <w:tcBorders>
                    <w:top w:val="single" w:color="auto" w:sz="4" w:space="0"/>
                    <w:left w:val="single" w:color="auto" w:sz="4" w:space="0"/>
                    <w:bottom w:val="single" w:color="auto" w:sz="4" w:space="0"/>
                    <w:right w:val="single" w:color="auto" w:sz="4" w:space="0"/>
                  </w:tcBorders>
                  <w:vAlign w:val="center"/>
                </w:tcPr>
                <w:p w14:paraId="7B74E0E1">
                  <w:pPr>
                    <w:adjustRightInd w:val="0"/>
                    <w:snapToGrid w:val="0"/>
                    <w:ind w:right="42" w:rightChars="20"/>
                    <w:jc w:val="center"/>
                    <w:rPr>
                      <w:kern w:val="0"/>
                      <w:szCs w:val="21"/>
                    </w:rPr>
                  </w:pPr>
                  <w:r>
                    <w:rPr>
                      <w:rFonts w:hint="eastAsia"/>
                      <w:kern w:val="0"/>
                      <w:szCs w:val="21"/>
                    </w:rPr>
                    <w:t>噪声</w:t>
                  </w:r>
                </w:p>
              </w:tc>
              <w:tc>
                <w:tcPr>
                  <w:tcW w:w="408" w:type="pct"/>
                  <w:tcBorders>
                    <w:top w:val="single" w:color="auto" w:sz="4" w:space="0"/>
                    <w:left w:val="single" w:color="auto" w:sz="4" w:space="0"/>
                    <w:bottom w:val="single" w:color="auto" w:sz="4" w:space="0"/>
                    <w:right w:val="single" w:color="auto" w:sz="4" w:space="0"/>
                  </w:tcBorders>
                  <w:vAlign w:val="center"/>
                </w:tcPr>
                <w:p w14:paraId="4DE4007D">
                  <w:pPr>
                    <w:adjustRightInd w:val="0"/>
                    <w:snapToGrid w:val="0"/>
                    <w:ind w:right="42" w:rightChars="20"/>
                    <w:jc w:val="center"/>
                    <w:rPr>
                      <w:kern w:val="0"/>
                      <w:szCs w:val="21"/>
                    </w:rPr>
                  </w:pPr>
                  <w:r>
                    <w:rPr>
                      <w:rFonts w:hint="eastAsia"/>
                      <w:kern w:val="0"/>
                      <w:szCs w:val="21"/>
                    </w:rPr>
                    <w:t>厂界噪声</w:t>
                  </w:r>
                </w:p>
              </w:tc>
              <w:tc>
                <w:tcPr>
                  <w:tcW w:w="414" w:type="pct"/>
                  <w:tcBorders>
                    <w:top w:val="single" w:color="auto" w:sz="4" w:space="0"/>
                    <w:left w:val="single" w:color="auto" w:sz="4" w:space="0"/>
                    <w:bottom w:val="single" w:color="auto" w:sz="4" w:space="0"/>
                    <w:right w:val="single" w:color="auto" w:sz="4" w:space="0"/>
                  </w:tcBorders>
                  <w:vAlign w:val="center"/>
                </w:tcPr>
                <w:p w14:paraId="3EF392DA">
                  <w:pPr>
                    <w:adjustRightInd w:val="0"/>
                    <w:snapToGrid w:val="0"/>
                    <w:ind w:right="42" w:rightChars="20"/>
                    <w:jc w:val="center"/>
                    <w:rPr>
                      <w:kern w:val="0"/>
                      <w:szCs w:val="21"/>
                    </w:rPr>
                  </w:pPr>
                  <w:r>
                    <w:rPr>
                      <w:rFonts w:hint="eastAsia"/>
                      <w:kern w:val="0"/>
                      <w:szCs w:val="21"/>
                    </w:rPr>
                    <w:t>项目厂界四周</w:t>
                  </w:r>
                </w:p>
              </w:tc>
              <w:tc>
                <w:tcPr>
                  <w:tcW w:w="549" w:type="pct"/>
                  <w:tcBorders>
                    <w:top w:val="single" w:color="auto" w:sz="4" w:space="0"/>
                    <w:left w:val="single" w:color="auto" w:sz="4" w:space="0"/>
                    <w:bottom w:val="single" w:color="auto" w:sz="4" w:space="0"/>
                    <w:right w:val="single" w:color="auto" w:sz="4" w:space="0"/>
                  </w:tcBorders>
                  <w:vAlign w:val="center"/>
                </w:tcPr>
                <w:p w14:paraId="21558E10">
                  <w:pPr>
                    <w:adjustRightInd w:val="0"/>
                    <w:snapToGrid w:val="0"/>
                    <w:ind w:right="42" w:rightChars="20"/>
                    <w:jc w:val="center"/>
                    <w:rPr>
                      <w:kern w:val="0"/>
                      <w:szCs w:val="21"/>
                    </w:rPr>
                  </w:pPr>
                  <w:r>
                    <w:rPr>
                      <w:rFonts w:hint="eastAsia"/>
                      <w:kern w:val="0"/>
                      <w:szCs w:val="21"/>
                    </w:rPr>
                    <w:t>噪声</w:t>
                  </w:r>
                </w:p>
              </w:tc>
              <w:tc>
                <w:tcPr>
                  <w:tcW w:w="1037" w:type="pct"/>
                  <w:tcBorders>
                    <w:top w:val="single" w:color="auto" w:sz="4" w:space="0"/>
                    <w:left w:val="single" w:color="auto" w:sz="4" w:space="0"/>
                    <w:bottom w:val="single" w:color="auto" w:sz="4" w:space="0"/>
                    <w:right w:val="single" w:color="auto" w:sz="4" w:space="0"/>
                  </w:tcBorders>
                  <w:vAlign w:val="center"/>
                </w:tcPr>
                <w:p w14:paraId="6A37BF9F">
                  <w:pPr>
                    <w:adjustRightInd w:val="0"/>
                    <w:snapToGrid w:val="0"/>
                    <w:ind w:right="42" w:rightChars="20"/>
                    <w:jc w:val="center"/>
                    <w:rPr>
                      <w:kern w:val="0"/>
                      <w:szCs w:val="21"/>
                    </w:rPr>
                  </w:pPr>
                  <w:r>
                    <w:rPr>
                      <w:rFonts w:hint="eastAsia"/>
                      <w:kern w:val="0"/>
                      <w:szCs w:val="21"/>
                    </w:rPr>
                    <w:t>隔声、减震、合理平面布置</w:t>
                  </w:r>
                </w:p>
              </w:tc>
              <w:tc>
                <w:tcPr>
                  <w:tcW w:w="1320" w:type="pct"/>
                  <w:tcBorders>
                    <w:top w:val="single" w:color="auto" w:sz="4" w:space="0"/>
                    <w:left w:val="single" w:color="auto" w:sz="4" w:space="0"/>
                    <w:bottom w:val="single" w:color="auto" w:sz="4" w:space="0"/>
                    <w:right w:val="single" w:color="auto" w:sz="4" w:space="0"/>
                  </w:tcBorders>
                  <w:vAlign w:val="center"/>
                </w:tcPr>
                <w:p w14:paraId="77BF1F5C">
                  <w:pPr>
                    <w:adjustRightInd w:val="0"/>
                    <w:snapToGrid w:val="0"/>
                    <w:ind w:right="42" w:rightChars="20"/>
                    <w:jc w:val="center"/>
                    <w:rPr>
                      <w:kern w:val="0"/>
                      <w:szCs w:val="21"/>
                    </w:rPr>
                  </w:pPr>
                  <w:r>
                    <w:rPr>
                      <w:rFonts w:hint="eastAsia"/>
                      <w:kern w:val="0"/>
                      <w:szCs w:val="21"/>
                    </w:rPr>
                    <w:t>《工业企业厂界环境噪声排放标准》</w:t>
                  </w:r>
                  <w:r>
                    <w:rPr>
                      <w:kern w:val="0"/>
                      <w:szCs w:val="21"/>
                    </w:rPr>
                    <w:t>(GB12348-2008)2</w:t>
                  </w:r>
                  <w:r>
                    <w:rPr>
                      <w:rFonts w:hint="eastAsia"/>
                      <w:kern w:val="0"/>
                      <w:szCs w:val="21"/>
                    </w:rPr>
                    <w:t>类</w:t>
                  </w:r>
                </w:p>
              </w:tc>
              <w:tc>
                <w:tcPr>
                  <w:tcW w:w="622" w:type="pct"/>
                  <w:tcBorders>
                    <w:top w:val="single" w:color="auto" w:sz="4" w:space="0"/>
                    <w:left w:val="single" w:color="auto" w:sz="4" w:space="0"/>
                    <w:bottom w:val="single" w:color="auto" w:sz="4" w:space="0"/>
                    <w:right w:val="single" w:color="auto" w:sz="12" w:space="0"/>
                  </w:tcBorders>
                  <w:vAlign w:val="center"/>
                </w:tcPr>
                <w:p w14:paraId="7A22FC23">
                  <w:pPr>
                    <w:adjustRightInd w:val="0"/>
                    <w:snapToGrid w:val="0"/>
                    <w:ind w:right="42" w:rightChars="20"/>
                    <w:jc w:val="center"/>
                    <w:rPr>
                      <w:kern w:val="0"/>
                      <w:szCs w:val="21"/>
                    </w:rPr>
                  </w:pPr>
                  <w:r>
                    <w:rPr>
                      <w:rFonts w:hint="eastAsia"/>
                      <w:kern w:val="0"/>
                      <w:szCs w:val="21"/>
                    </w:rPr>
                    <w:t>达标排放</w:t>
                  </w:r>
                </w:p>
              </w:tc>
            </w:tr>
            <w:tr w14:paraId="6AABA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 w:type="pct"/>
                  <w:vMerge w:val="continue"/>
                  <w:tcBorders>
                    <w:top w:val="single" w:color="auto" w:sz="4" w:space="0"/>
                    <w:left w:val="single" w:color="auto" w:sz="12" w:space="0"/>
                    <w:bottom w:val="single" w:color="auto" w:sz="4" w:space="0"/>
                    <w:right w:val="single" w:color="auto" w:sz="4" w:space="0"/>
                  </w:tcBorders>
                  <w:vAlign w:val="center"/>
                </w:tcPr>
                <w:p w14:paraId="628B767F">
                  <w:pPr>
                    <w:adjustRightInd w:val="0"/>
                    <w:snapToGrid w:val="0"/>
                    <w:ind w:right="42" w:rightChars="20"/>
                    <w:jc w:val="center"/>
                    <w:rPr>
                      <w:kern w:val="0"/>
                      <w:szCs w:val="21"/>
                    </w:rPr>
                  </w:pPr>
                </w:p>
              </w:tc>
              <w:tc>
                <w:tcPr>
                  <w:tcW w:w="367" w:type="pct"/>
                  <w:vMerge w:val="restart"/>
                  <w:tcBorders>
                    <w:top w:val="single" w:color="auto" w:sz="4" w:space="0"/>
                    <w:left w:val="single" w:color="auto" w:sz="4" w:space="0"/>
                    <w:bottom w:val="single" w:color="auto" w:sz="4" w:space="0"/>
                    <w:right w:val="single" w:color="auto" w:sz="4" w:space="0"/>
                  </w:tcBorders>
                  <w:vAlign w:val="center"/>
                </w:tcPr>
                <w:p w14:paraId="1B4DD7E1">
                  <w:pPr>
                    <w:adjustRightInd w:val="0"/>
                    <w:snapToGrid w:val="0"/>
                    <w:ind w:right="42" w:rightChars="20"/>
                    <w:jc w:val="center"/>
                    <w:rPr>
                      <w:kern w:val="0"/>
                      <w:szCs w:val="21"/>
                    </w:rPr>
                  </w:pPr>
                  <w:r>
                    <w:rPr>
                      <w:rFonts w:hint="eastAsia"/>
                      <w:kern w:val="0"/>
                      <w:szCs w:val="21"/>
                    </w:rPr>
                    <w:t>固废</w:t>
                  </w:r>
                </w:p>
              </w:tc>
              <w:tc>
                <w:tcPr>
                  <w:tcW w:w="822" w:type="pct"/>
                  <w:gridSpan w:val="2"/>
                  <w:tcBorders>
                    <w:top w:val="single" w:color="auto" w:sz="4" w:space="0"/>
                    <w:left w:val="single" w:color="auto" w:sz="4" w:space="0"/>
                    <w:bottom w:val="single" w:color="auto" w:sz="4" w:space="0"/>
                    <w:right w:val="single" w:color="auto" w:sz="4" w:space="0"/>
                  </w:tcBorders>
                  <w:vAlign w:val="center"/>
                </w:tcPr>
                <w:p w14:paraId="145FA23D">
                  <w:pPr>
                    <w:adjustRightInd w:val="0"/>
                    <w:snapToGrid w:val="0"/>
                    <w:ind w:right="42" w:rightChars="20"/>
                    <w:jc w:val="center"/>
                    <w:rPr>
                      <w:kern w:val="0"/>
                      <w:szCs w:val="21"/>
                    </w:rPr>
                  </w:pPr>
                  <w:r>
                    <w:rPr>
                      <w:rFonts w:hint="eastAsia"/>
                      <w:szCs w:val="21"/>
                    </w:rPr>
                    <w:t>生产车间</w:t>
                  </w:r>
                </w:p>
              </w:tc>
              <w:tc>
                <w:tcPr>
                  <w:tcW w:w="549" w:type="pct"/>
                  <w:tcBorders>
                    <w:top w:val="single" w:color="auto" w:sz="4" w:space="0"/>
                    <w:left w:val="single" w:color="auto" w:sz="4" w:space="0"/>
                    <w:bottom w:val="single" w:color="auto" w:sz="4" w:space="0"/>
                    <w:right w:val="single" w:color="auto" w:sz="4" w:space="0"/>
                  </w:tcBorders>
                  <w:vAlign w:val="center"/>
                </w:tcPr>
                <w:p w14:paraId="33DFCD49">
                  <w:pPr>
                    <w:adjustRightInd w:val="0"/>
                    <w:snapToGrid w:val="0"/>
                    <w:ind w:right="42" w:rightChars="20"/>
                    <w:jc w:val="center"/>
                    <w:rPr>
                      <w:kern w:val="0"/>
                      <w:szCs w:val="21"/>
                    </w:rPr>
                  </w:pPr>
                  <w:r>
                    <w:rPr>
                      <w:rFonts w:hint="eastAsia"/>
                      <w:szCs w:val="21"/>
                    </w:rPr>
                    <w:t>锯末、树皮、木材边角料</w:t>
                  </w:r>
                </w:p>
              </w:tc>
              <w:tc>
                <w:tcPr>
                  <w:tcW w:w="2357" w:type="pct"/>
                  <w:gridSpan w:val="2"/>
                  <w:vMerge w:val="restart"/>
                  <w:tcBorders>
                    <w:top w:val="single" w:color="auto" w:sz="4" w:space="0"/>
                    <w:left w:val="single" w:color="auto" w:sz="4" w:space="0"/>
                    <w:bottom w:val="single" w:color="auto" w:sz="4" w:space="0"/>
                    <w:right w:val="single" w:color="auto" w:sz="4" w:space="0"/>
                  </w:tcBorders>
                  <w:vAlign w:val="center"/>
                </w:tcPr>
                <w:p w14:paraId="2BD33C2B">
                  <w:pPr>
                    <w:adjustRightInd w:val="0"/>
                    <w:snapToGrid w:val="0"/>
                    <w:ind w:right="42" w:rightChars="20"/>
                    <w:jc w:val="center"/>
                    <w:rPr>
                      <w:kern w:val="0"/>
                      <w:szCs w:val="21"/>
                    </w:rPr>
                  </w:pPr>
                  <w:r>
                    <w:rPr>
                      <w:rFonts w:hint="eastAsia"/>
                      <w:kern w:val="0"/>
                      <w:szCs w:val="21"/>
                    </w:rPr>
                    <w:t>《一般工业固体废弃物储存、处置场污染控制标准》（</w:t>
                  </w:r>
                  <w:r>
                    <w:rPr>
                      <w:kern w:val="0"/>
                      <w:szCs w:val="21"/>
                    </w:rPr>
                    <w:t>GB18599-2001</w:t>
                  </w:r>
                  <w:r>
                    <w:rPr>
                      <w:rFonts w:hint="eastAsia"/>
                      <w:kern w:val="0"/>
                      <w:szCs w:val="21"/>
                    </w:rPr>
                    <w:t>）；</w:t>
                  </w:r>
                  <w:r>
                    <w:rPr>
                      <w:kern w:val="0"/>
                      <w:szCs w:val="21"/>
                    </w:rPr>
                    <w:t xml:space="preserve"> </w:t>
                  </w:r>
                </w:p>
              </w:tc>
              <w:tc>
                <w:tcPr>
                  <w:tcW w:w="622" w:type="pct"/>
                  <w:tcBorders>
                    <w:top w:val="single" w:color="auto" w:sz="4" w:space="0"/>
                    <w:left w:val="single" w:color="auto" w:sz="4" w:space="0"/>
                    <w:bottom w:val="single" w:color="auto" w:sz="4" w:space="0"/>
                    <w:right w:val="single" w:color="auto" w:sz="12" w:space="0"/>
                  </w:tcBorders>
                  <w:vAlign w:val="center"/>
                </w:tcPr>
                <w:p w14:paraId="61B7FE82">
                  <w:pPr>
                    <w:adjustRightInd w:val="0"/>
                    <w:snapToGrid w:val="0"/>
                    <w:ind w:right="42" w:rightChars="20"/>
                    <w:jc w:val="center"/>
                    <w:rPr>
                      <w:kern w:val="0"/>
                      <w:szCs w:val="21"/>
                    </w:rPr>
                  </w:pPr>
                  <w:r>
                    <w:rPr>
                      <w:rFonts w:hint="eastAsia"/>
                      <w:bCs/>
                      <w:szCs w:val="21"/>
                      <w:lang w:val="de-DE"/>
                    </w:rPr>
                    <w:t>外售综合利用</w:t>
                  </w:r>
                </w:p>
              </w:tc>
            </w:tr>
            <w:tr w14:paraId="77CC2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 w:type="pct"/>
                  <w:vMerge w:val="continue"/>
                  <w:tcBorders>
                    <w:top w:val="single" w:color="auto" w:sz="4" w:space="0"/>
                    <w:left w:val="single" w:color="auto" w:sz="12" w:space="0"/>
                    <w:bottom w:val="single" w:color="auto" w:sz="4" w:space="0"/>
                    <w:right w:val="single" w:color="auto" w:sz="4" w:space="0"/>
                  </w:tcBorders>
                  <w:vAlign w:val="center"/>
                </w:tcPr>
                <w:p w14:paraId="562358EE">
                  <w:pPr>
                    <w:adjustRightInd w:val="0"/>
                    <w:snapToGrid w:val="0"/>
                    <w:ind w:right="42" w:rightChars="20"/>
                    <w:jc w:val="center"/>
                    <w:rPr>
                      <w:kern w:val="0"/>
                      <w:szCs w:val="21"/>
                    </w:rPr>
                  </w:pPr>
                </w:p>
              </w:tc>
              <w:tc>
                <w:tcPr>
                  <w:tcW w:w="367" w:type="pct"/>
                  <w:vMerge w:val="continue"/>
                  <w:tcBorders>
                    <w:top w:val="single" w:color="auto" w:sz="4" w:space="0"/>
                    <w:left w:val="single" w:color="auto" w:sz="4" w:space="0"/>
                    <w:bottom w:val="single" w:color="auto" w:sz="4" w:space="0"/>
                    <w:right w:val="single" w:color="auto" w:sz="4" w:space="0"/>
                  </w:tcBorders>
                  <w:vAlign w:val="center"/>
                </w:tcPr>
                <w:p w14:paraId="25178D63">
                  <w:pPr>
                    <w:adjustRightInd w:val="0"/>
                    <w:snapToGrid w:val="0"/>
                    <w:ind w:right="42" w:rightChars="20"/>
                    <w:jc w:val="center"/>
                    <w:rPr>
                      <w:kern w:val="0"/>
                      <w:szCs w:val="21"/>
                    </w:rPr>
                  </w:pPr>
                </w:p>
              </w:tc>
              <w:tc>
                <w:tcPr>
                  <w:tcW w:w="822" w:type="pct"/>
                  <w:gridSpan w:val="2"/>
                  <w:tcBorders>
                    <w:top w:val="single" w:color="auto" w:sz="4" w:space="0"/>
                    <w:left w:val="single" w:color="auto" w:sz="4" w:space="0"/>
                    <w:bottom w:val="single" w:color="auto" w:sz="4" w:space="0"/>
                    <w:right w:val="single" w:color="auto" w:sz="4" w:space="0"/>
                  </w:tcBorders>
                  <w:vAlign w:val="center"/>
                </w:tcPr>
                <w:p w14:paraId="1397CA29">
                  <w:pPr>
                    <w:adjustRightInd w:val="0"/>
                    <w:snapToGrid w:val="0"/>
                    <w:ind w:right="42" w:rightChars="20"/>
                    <w:jc w:val="center"/>
                    <w:rPr>
                      <w:kern w:val="0"/>
                      <w:szCs w:val="21"/>
                    </w:rPr>
                  </w:pPr>
                  <w:r>
                    <w:rPr>
                      <w:rFonts w:hint="eastAsia"/>
                      <w:szCs w:val="21"/>
                    </w:rPr>
                    <w:t>生产车间</w:t>
                  </w:r>
                </w:p>
              </w:tc>
              <w:tc>
                <w:tcPr>
                  <w:tcW w:w="549" w:type="pct"/>
                  <w:tcBorders>
                    <w:top w:val="single" w:color="auto" w:sz="4" w:space="0"/>
                    <w:left w:val="single" w:color="auto" w:sz="4" w:space="0"/>
                    <w:bottom w:val="single" w:color="auto" w:sz="4" w:space="0"/>
                    <w:right w:val="single" w:color="auto" w:sz="4" w:space="0"/>
                  </w:tcBorders>
                  <w:vAlign w:val="center"/>
                </w:tcPr>
                <w:p w14:paraId="41334D67">
                  <w:pPr>
                    <w:adjustRightInd w:val="0"/>
                    <w:snapToGrid w:val="0"/>
                    <w:ind w:right="42" w:rightChars="20"/>
                    <w:jc w:val="center"/>
                    <w:rPr>
                      <w:kern w:val="0"/>
                      <w:szCs w:val="21"/>
                    </w:rPr>
                  </w:pPr>
                  <w:r>
                    <w:rPr>
                      <w:rFonts w:hint="eastAsia"/>
                      <w:kern w:val="0"/>
                      <w:szCs w:val="21"/>
                    </w:rPr>
                    <w:t>损坏设备零件</w:t>
                  </w:r>
                </w:p>
              </w:tc>
              <w:tc>
                <w:tcPr>
                  <w:tcW w:w="2357" w:type="pct"/>
                  <w:gridSpan w:val="2"/>
                  <w:vMerge w:val="continue"/>
                  <w:tcBorders>
                    <w:top w:val="single" w:color="auto" w:sz="4" w:space="0"/>
                    <w:left w:val="single" w:color="auto" w:sz="4" w:space="0"/>
                    <w:bottom w:val="single" w:color="auto" w:sz="4" w:space="0"/>
                    <w:right w:val="single" w:color="auto" w:sz="4" w:space="0"/>
                  </w:tcBorders>
                  <w:vAlign w:val="center"/>
                </w:tcPr>
                <w:p w14:paraId="682D3F55">
                  <w:pPr>
                    <w:adjustRightInd w:val="0"/>
                    <w:snapToGrid w:val="0"/>
                    <w:ind w:right="42" w:rightChars="20"/>
                    <w:jc w:val="center"/>
                    <w:rPr>
                      <w:kern w:val="0"/>
                      <w:szCs w:val="21"/>
                    </w:rPr>
                  </w:pPr>
                </w:p>
              </w:tc>
              <w:tc>
                <w:tcPr>
                  <w:tcW w:w="622" w:type="pct"/>
                  <w:tcBorders>
                    <w:top w:val="single" w:color="auto" w:sz="4" w:space="0"/>
                    <w:left w:val="single" w:color="auto" w:sz="4" w:space="0"/>
                    <w:bottom w:val="single" w:color="auto" w:sz="4" w:space="0"/>
                    <w:right w:val="single" w:color="auto" w:sz="12" w:space="0"/>
                  </w:tcBorders>
                  <w:vAlign w:val="center"/>
                </w:tcPr>
                <w:p w14:paraId="2AE394B2">
                  <w:pPr>
                    <w:adjustRightInd w:val="0"/>
                    <w:snapToGrid w:val="0"/>
                    <w:ind w:right="42" w:rightChars="20"/>
                    <w:jc w:val="center"/>
                    <w:rPr>
                      <w:kern w:val="0"/>
                      <w:szCs w:val="21"/>
                    </w:rPr>
                  </w:pPr>
                  <w:r>
                    <w:rPr>
                      <w:rFonts w:hint="eastAsia"/>
                      <w:bCs/>
                      <w:szCs w:val="21"/>
                      <w:lang w:val="de-DE"/>
                    </w:rPr>
                    <w:t>外售综合利用</w:t>
                  </w:r>
                </w:p>
              </w:tc>
            </w:tr>
            <w:tr w14:paraId="41A97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 w:type="pct"/>
                  <w:vMerge w:val="continue"/>
                  <w:tcBorders>
                    <w:top w:val="single" w:color="auto" w:sz="4" w:space="0"/>
                    <w:left w:val="single" w:color="auto" w:sz="12" w:space="0"/>
                    <w:bottom w:val="single" w:color="auto" w:sz="4" w:space="0"/>
                    <w:right w:val="single" w:color="auto" w:sz="4" w:space="0"/>
                  </w:tcBorders>
                  <w:vAlign w:val="center"/>
                </w:tcPr>
                <w:p w14:paraId="1793F832">
                  <w:pPr>
                    <w:adjustRightInd w:val="0"/>
                    <w:snapToGrid w:val="0"/>
                    <w:ind w:right="42" w:rightChars="20"/>
                    <w:jc w:val="center"/>
                    <w:rPr>
                      <w:kern w:val="0"/>
                      <w:szCs w:val="21"/>
                    </w:rPr>
                  </w:pPr>
                </w:p>
              </w:tc>
              <w:tc>
                <w:tcPr>
                  <w:tcW w:w="367" w:type="pct"/>
                  <w:vMerge w:val="continue"/>
                  <w:tcBorders>
                    <w:top w:val="single" w:color="auto" w:sz="4" w:space="0"/>
                    <w:left w:val="single" w:color="auto" w:sz="4" w:space="0"/>
                    <w:bottom w:val="single" w:color="auto" w:sz="4" w:space="0"/>
                    <w:right w:val="single" w:color="auto" w:sz="4" w:space="0"/>
                  </w:tcBorders>
                  <w:vAlign w:val="center"/>
                </w:tcPr>
                <w:p w14:paraId="22A5666A">
                  <w:pPr>
                    <w:adjustRightInd w:val="0"/>
                    <w:snapToGrid w:val="0"/>
                    <w:ind w:right="42" w:rightChars="20"/>
                    <w:jc w:val="center"/>
                    <w:rPr>
                      <w:kern w:val="0"/>
                      <w:szCs w:val="21"/>
                    </w:rPr>
                  </w:pPr>
                </w:p>
              </w:tc>
              <w:tc>
                <w:tcPr>
                  <w:tcW w:w="1371" w:type="pct"/>
                  <w:gridSpan w:val="3"/>
                  <w:tcBorders>
                    <w:top w:val="single" w:color="auto" w:sz="4" w:space="0"/>
                    <w:left w:val="single" w:color="auto" w:sz="4" w:space="0"/>
                    <w:bottom w:val="single" w:color="auto" w:sz="4" w:space="0"/>
                    <w:right w:val="single" w:color="auto" w:sz="4" w:space="0"/>
                  </w:tcBorders>
                  <w:vAlign w:val="center"/>
                </w:tcPr>
                <w:p w14:paraId="3E56B897">
                  <w:pPr>
                    <w:adjustRightInd w:val="0"/>
                    <w:snapToGrid w:val="0"/>
                    <w:ind w:right="42" w:rightChars="20"/>
                    <w:jc w:val="center"/>
                    <w:rPr>
                      <w:kern w:val="0"/>
                      <w:szCs w:val="21"/>
                    </w:rPr>
                  </w:pPr>
                  <w:r>
                    <w:rPr>
                      <w:rFonts w:hint="eastAsia"/>
                      <w:kern w:val="0"/>
                      <w:szCs w:val="21"/>
                    </w:rPr>
                    <w:t>生活垃圾</w:t>
                  </w:r>
                </w:p>
              </w:tc>
              <w:tc>
                <w:tcPr>
                  <w:tcW w:w="2357" w:type="pct"/>
                  <w:gridSpan w:val="2"/>
                  <w:vMerge w:val="continue"/>
                  <w:tcBorders>
                    <w:top w:val="single" w:color="auto" w:sz="4" w:space="0"/>
                    <w:left w:val="single" w:color="auto" w:sz="4" w:space="0"/>
                    <w:bottom w:val="single" w:color="auto" w:sz="4" w:space="0"/>
                    <w:right w:val="single" w:color="auto" w:sz="4" w:space="0"/>
                  </w:tcBorders>
                  <w:vAlign w:val="center"/>
                </w:tcPr>
                <w:p w14:paraId="1FF448A8">
                  <w:pPr>
                    <w:adjustRightInd w:val="0"/>
                    <w:snapToGrid w:val="0"/>
                    <w:ind w:right="42" w:rightChars="20"/>
                    <w:jc w:val="center"/>
                    <w:rPr>
                      <w:kern w:val="0"/>
                      <w:szCs w:val="21"/>
                    </w:rPr>
                  </w:pPr>
                </w:p>
              </w:tc>
              <w:tc>
                <w:tcPr>
                  <w:tcW w:w="622" w:type="pct"/>
                  <w:tcBorders>
                    <w:top w:val="single" w:color="auto" w:sz="4" w:space="0"/>
                    <w:left w:val="single" w:color="auto" w:sz="4" w:space="0"/>
                    <w:bottom w:val="single" w:color="auto" w:sz="4" w:space="0"/>
                    <w:right w:val="single" w:color="auto" w:sz="12" w:space="0"/>
                  </w:tcBorders>
                  <w:vAlign w:val="center"/>
                </w:tcPr>
                <w:p w14:paraId="799419AA">
                  <w:pPr>
                    <w:adjustRightInd w:val="0"/>
                    <w:snapToGrid w:val="0"/>
                    <w:ind w:right="42" w:rightChars="20"/>
                    <w:jc w:val="center"/>
                    <w:rPr>
                      <w:kern w:val="0"/>
                      <w:szCs w:val="21"/>
                    </w:rPr>
                  </w:pPr>
                  <w:r>
                    <w:rPr>
                      <w:rFonts w:hint="eastAsia"/>
                      <w:szCs w:val="21"/>
                    </w:rPr>
                    <w:t>交由村委会收集</w:t>
                  </w:r>
                  <w:r>
                    <w:rPr>
                      <w:szCs w:val="21"/>
                    </w:rPr>
                    <w:t>处理</w:t>
                  </w:r>
                </w:p>
              </w:tc>
            </w:tr>
            <w:tr w14:paraId="06DAF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 w:type="pct"/>
                  <w:vMerge w:val="continue"/>
                  <w:tcBorders>
                    <w:top w:val="single" w:color="auto" w:sz="4" w:space="0"/>
                    <w:left w:val="single" w:color="auto" w:sz="12" w:space="0"/>
                    <w:bottom w:val="single" w:color="auto" w:sz="4" w:space="0"/>
                    <w:right w:val="single" w:color="auto" w:sz="4" w:space="0"/>
                  </w:tcBorders>
                  <w:vAlign w:val="center"/>
                </w:tcPr>
                <w:p w14:paraId="1D51EDFC">
                  <w:pPr>
                    <w:adjustRightInd w:val="0"/>
                    <w:snapToGrid w:val="0"/>
                    <w:ind w:right="42" w:rightChars="20"/>
                    <w:jc w:val="center"/>
                    <w:rPr>
                      <w:kern w:val="0"/>
                      <w:szCs w:val="21"/>
                    </w:rPr>
                  </w:pPr>
                </w:p>
              </w:tc>
              <w:tc>
                <w:tcPr>
                  <w:tcW w:w="367" w:type="pct"/>
                  <w:vMerge w:val="restart"/>
                  <w:tcBorders>
                    <w:top w:val="single" w:color="auto" w:sz="4" w:space="0"/>
                    <w:left w:val="single" w:color="auto" w:sz="4" w:space="0"/>
                    <w:bottom w:val="single" w:color="auto" w:sz="4" w:space="0"/>
                    <w:right w:val="single" w:color="auto" w:sz="4" w:space="0"/>
                  </w:tcBorders>
                  <w:vAlign w:val="center"/>
                </w:tcPr>
                <w:p w14:paraId="6B239471">
                  <w:pPr>
                    <w:adjustRightInd w:val="0"/>
                    <w:snapToGrid w:val="0"/>
                    <w:ind w:right="42" w:rightChars="20"/>
                    <w:jc w:val="center"/>
                    <w:rPr>
                      <w:kern w:val="0"/>
                      <w:szCs w:val="21"/>
                    </w:rPr>
                  </w:pPr>
                  <w:r>
                    <w:rPr>
                      <w:rFonts w:hint="eastAsia"/>
                      <w:kern w:val="0"/>
                      <w:szCs w:val="21"/>
                    </w:rPr>
                    <w:t>环境管理</w:t>
                  </w:r>
                </w:p>
              </w:tc>
              <w:tc>
                <w:tcPr>
                  <w:tcW w:w="408" w:type="pct"/>
                  <w:tcBorders>
                    <w:top w:val="single" w:color="auto" w:sz="4" w:space="0"/>
                    <w:left w:val="single" w:color="auto" w:sz="4" w:space="0"/>
                    <w:bottom w:val="single" w:color="auto" w:sz="4" w:space="0"/>
                    <w:right w:val="single" w:color="auto" w:sz="4" w:space="0"/>
                  </w:tcBorders>
                  <w:vAlign w:val="center"/>
                </w:tcPr>
                <w:p w14:paraId="4F02A039">
                  <w:pPr>
                    <w:adjustRightInd w:val="0"/>
                    <w:snapToGrid w:val="0"/>
                    <w:ind w:right="42" w:rightChars="20"/>
                    <w:jc w:val="center"/>
                    <w:rPr>
                      <w:kern w:val="0"/>
                      <w:szCs w:val="21"/>
                    </w:rPr>
                  </w:pPr>
                  <w:r>
                    <w:rPr>
                      <w:kern w:val="0"/>
                      <w:szCs w:val="21"/>
                    </w:rPr>
                    <w:t>/</w:t>
                  </w:r>
                </w:p>
              </w:tc>
              <w:tc>
                <w:tcPr>
                  <w:tcW w:w="963" w:type="pct"/>
                  <w:gridSpan w:val="2"/>
                  <w:tcBorders>
                    <w:top w:val="single" w:color="auto" w:sz="4" w:space="0"/>
                    <w:left w:val="single" w:color="auto" w:sz="4" w:space="0"/>
                    <w:bottom w:val="single" w:color="auto" w:sz="4" w:space="0"/>
                    <w:right w:val="single" w:color="auto" w:sz="4" w:space="0"/>
                  </w:tcBorders>
                  <w:vAlign w:val="center"/>
                </w:tcPr>
                <w:p w14:paraId="32C97736">
                  <w:pPr>
                    <w:adjustRightInd w:val="0"/>
                    <w:snapToGrid w:val="0"/>
                    <w:ind w:right="42" w:rightChars="20"/>
                    <w:jc w:val="center"/>
                    <w:rPr>
                      <w:kern w:val="0"/>
                      <w:szCs w:val="21"/>
                    </w:rPr>
                  </w:pPr>
                  <w:r>
                    <w:rPr>
                      <w:kern w:val="0"/>
                      <w:szCs w:val="21"/>
                    </w:rPr>
                    <w:t>/</w:t>
                  </w:r>
                </w:p>
              </w:tc>
              <w:tc>
                <w:tcPr>
                  <w:tcW w:w="1037" w:type="pct"/>
                  <w:tcBorders>
                    <w:top w:val="single" w:color="auto" w:sz="4" w:space="0"/>
                    <w:left w:val="single" w:color="auto" w:sz="4" w:space="0"/>
                    <w:bottom w:val="single" w:color="auto" w:sz="4" w:space="0"/>
                    <w:right w:val="single" w:color="auto" w:sz="4" w:space="0"/>
                  </w:tcBorders>
                  <w:vAlign w:val="center"/>
                </w:tcPr>
                <w:p w14:paraId="75EF178C">
                  <w:pPr>
                    <w:adjustRightInd w:val="0"/>
                    <w:snapToGrid w:val="0"/>
                    <w:ind w:right="42" w:rightChars="20"/>
                    <w:jc w:val="center"/>
                    <w:rPr>
                      <w:kern w:val="0"/>
                      <w:szCs w:val="21"/>
                    </w:rPr>
                  </w:pPr>
                  <w:r>
                    <w:rPr>
                      <w:rFonts w:hint="eastAsia"/>
                      <w:kern w:val="0"/>
                      <w:szCs w:val="21"/>
                    </w:rPr>
                    <w:t>执行环境影响评价制度、环境保护</w:t>
                  </w:r>
                  <w:r>
                    <w:rPr>
                      <w:kern w:val="0"/>
                      <w:szCs w:val="21"/>
                    </w:rPr>
                    <w:t>“</w:t>
                  </w:r>
                  <w:r>
                    <w:rPr>
                      <w:rFonts w:hint="eastAsia"/>
                      <w:kern w:val="0"/>
                      <w:szCs w:val="21"/>
                    </w:rPr>
                    <w:t>三同时</w:t>
                  </w:r>
                  <w:r>
                    <w:rPr>
                      <w:kern w:val="0"/>
                      <w:szCs w:val="21"/>
                    </w:rPr>
                    <w:t>”</w:t>
                  </w:r>
                  <w:r>
                    <w:rPr>
                      <w:rFonts w:hint="eastAsia"/>
                      <w:kern w:val="0"/>
                      <w:szCs w:val="21"/>
                    </w:rPr>
                    <w:t>制度及环境保护竣工验收制度</w:t>
                  </w:r>
                </w:p>
              </w:tc>
              <w:tc>
                <w:tcPr>
                  <w:tcW w:w="1320" w:type="pct"/>
                  <w:tcBorders>
                    <w:top w:val="single" w:color="auto" w:sz="4" w:space="0"/>
                    <w:left w:val="single" w:color="auto" w:sz="4" w:space="0"/>
                    <w:bottom w:val="single" w:color="auto" w:sz="4" w:space="0"/>
                    <w:right w:val="single" w:color="auto" w:sz="4" w:space="0"/>
                  </w:tcBorders>
                  <w:vAlign w:val="center"/>
                </w:tcPr>
                <w:p w14:paraId="70675A41">
                  <w:pPr>
                    <w:adjustRightInd w:val="0"/>
                    <w:snapToGrid w:val="0"/>
                    <w:ind w:right="42" w:rightChars="20"/>
                    <w:jc w:val="center"/>
                    <w:rPr>
                      <w:kern w:val="0"/>
                      <w:szCs w:val="21"/>
                    </w:rPr>
                  </w:pPr>
                  <w:r>
                    <w:rPr>
                      <w:kern w:val="0"/>
                      <w:szCs w:val="21"/>
                    </w:rPr>
                    <w:t>/</w:t>
                  </w:r>
                </w:p>
              </w:tc>
              <w:tc>
                <w:tcPr>
                  <w:tcW w:w="622" w:type="pct"/>
                  <w:tcBorders>
                    <w:top w:val="single" w:color="auto" w:sz="4" w:space="0"/>
                    <w:left w:val="single" w:color="auto" w:sz="4" w:space="0"/>
                    <w:bottom w:val="single" w:color="auto" w:sz="4" w:space="0"/>
                    <w:right w:val="single" w:color="auto" w:sz="12" w:space="0"/>
                  </w:tcBorders>
                  <w:vAlign w:val="center"/>
                </w:tcPr>
                <w:p w14:paraId="47FE6E51">
                  <w:pPr>
                    <w:adjustRightInd w:val="0"/>
                    <w:snapToGrid w:val="0"/>
                    <w:ind w:right="42" w:rightChars="20"/>
                    <w:jc w:val="center"/>
                    <w:rPr>
                      <w:kern w:val="0"/>
                      <w:szCs w:val="21"/>
                    </w:rPr>
                  </w:pPr>
                  <w:r>
                    <w:rPr>
                      <w:kern w:val="0"/>
                      <w:szCs w:val="21"/>
                    </w:rPr>
                    <w:t>/</w:t>
                  </w:r>
                </w:p>
              </w:tc>
            </w:tr>
            <w:tr w14:paraId="75DE2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 w:type="pct"/>
                  <w:vMerge w:val="continue"/>
                  <w:tcBorders>
                    <w:top w:val="single" w:color="auto" w:sz="4" w:space="0"/>
                    <w:left w:val="single" w:color="auto" w:sz="12" w:space="0"/>
                    <w:bottom w:val="single" w:color="auto" w:sz="12" w:space="0"/>
                    <w:right w:val="single" w:color="auto" w:sz="4" w:space="0"/>
                  </w:tcBorders>
                  <w:vAlign w:val="center"/>
                </w:tcPr>
                <w:p w14:paraId="19993F08">
                  <w:pPr>
                    <w:adjustRightInd w:val="0"/>
                    <w:snapToGrid w:val="0"/>
                    <w:ind w:right="42" w:rightChars="20"/>
                    <w:jc w:val="center"/>
                    <w:rPr>
                      <w:kern w:val="0"/>
                      <w:szCs w:val="21"/>
                    </w:rPr>
                  </w:pPr>
                </w:p>
              </w:tc>
              <w:tc>
                <w:tcPr>
                  <w:tcW w:w="367" w:type="pct"/>
                  <w:vMerge w:val="continue"/>
                  <w:tcBorders>
                    <w:top w:val="single" w:color="auto" w:sz="4" w:space="0"/>
                    <w:left w:val="single" w:color="auto" w:sz="4" w:space="0"/>
                    <w:bottom w:val="single" w:color="auto" w:sz="12" w:space="0"/>
                    <w:right w:val="single" w:color="auto" w:sz="4" w:space="0"/>
                  </w:tcBorders>
                  <w:vAlign w:val="center"/>
                </w:tcPr>
                <w:p w14:paraId="2713D885">
                  <w:pPr>
                    <w:adjustRightInd w:val="0"/>
                    <w:snapToGrid w:val="0"/>
                    <w:ind w:right="42" w:rightChars="20"/>
                    <w:jc w:val="center"/>
                    <w:rPr>
                      <w:kern w:val="0"/>
                      <w:szCs w:val="21"/>
                    </w:rPr>
                  </w:pPr>
                </w:p>
              </w:tc>
              <w:tc>
                <w:tcPr>
                  <w:tcW w:w="1371" w:type="pct"/>
                  <w:gridSpan w:val="3"/>
                  <w:tcBorders>
                    <w:top w:val="single" w:color="auto" w:sz="4" w:space="0"/>
                    <w:left w:val="single" w:color="auto" w:sz="4" w:space="0"/>
                    <w:bottom w:val="single" w:color="auto" w:sz="12" w:space="0"/>
                    <w:right w:val="single" w:color="auto" w:sz="4" w:space="0"/>
                  </w:tcBorders>
                  <w:vAlign w:val="center"/>
                </w:tcPr>
                <w:p w14:paraId="3F662C26">
                  <w:pPr>
                    <w:adjustRightInd w:val="0"/>
                    <w:snapToGrid w:val="0"/>
                    <w:ind w:right="42" w:rightChars="20"/>
                    <w:jc w:val="center"/>
                    <w:rPr>
                      <w:kern w:val="0"/>
                      <w:szCs w:val="21"/>
                    </w:rPr>
                  </w:pPr>
                  <w:r>
                    <w:rPr>
                      <w:rFonts w:hint="eastAsia"/>
                      <w:kern w:val="0"/>
                      <w:szCs w:val="21"/>
                    </w:rPr>
                    <w:t>加强管理</w:t>
                  </w:r>
                </w:p>
              </w:tc>
              <w:tc>
                <w:tcPr>
                  <w:tcW w:w="1037" w:type="pct"/>
                  <w:tcBorders>
                    <w:top w:val="single" w:color="auto" w:sz="4" w:space="0"/>
                    <w:left w:val="single" w:color="auto" w:sz="4" w:space="0"/>
                    <w:bottom w:val="single" w:color="auto" w:sz="12" w:space="0"/>
                    <w:right w:val="single" w:color="auto" w:sz="4" w:space="0"/>
                  </w:tcBorders>
                  <w:vAlign w:val="center"/>
                </w:tcPr>
                <w:p w14:paraId="4DB892BC">
                  <w:pPr>
                    <w:adjustRightInd w:val="0"/>
                    <w:snapToGrid w:val="0"/>
                    <w:ind w:right="42" w:rightChars="20"/>
                    <w:jc w:val="center"/>
                    <w:rPr>
                      <w:kern w:val="0"/>
                      <w:szCs w:val="21"/>
                    </w:rPr>
                  </w:pPr>
                  <w:r>
                    <w:rPr>
                      <w:rFonts w:hint="eastAsia"/>
                      <w:kern w:val="0"/>
                      <w:szCs w:val="21"/>
                    </w:rPr>
                    <w:t>加强员工培训，做好突发环境事件应急预案</w:t>
                  </w:r>
                </w:p>
              </w:tc>
              <w:tc>
                <w:tcPr>
                  <w:tcW w:w="1320" w:type="pct"/>
                  <w:tcBorders>
                    <w:top w:val="single" w:color="auto" w:sz="4" w:space="0"/>
                    <w:left w:val="single" w:color="auto" w:sz="4" w:space="0"/>
                    <w:bottom w:val="single" w:color="auto" w:sz="12" w:space="0"/>
                    <w:right w:val="single" w:color="auto" w:sz="4" w:space="0"/>
                  </w:tcBorders>
                  <w:vAlign w:val="center"/>
                </w:tcPr>
                <w:p w14:paraId="3CE20379">
                  <w:pPr>
                    <w:adjustRightInd w:val="0"/>
                    <w:snapToGrid w:val="0"/>
                    <w:ind w:right="42" w:rightChars="20"/>
                    <w:jc w:val="center"/>
                    <w:rPr>
                      <w:kern w:val="0"/>
                      <w:szCs w:val="21"/>
                    </w:rPr>
                  </w:pPr>
                  <w:r>
                    <w:rPr>
                      <w:kern w:val="0"/>
                      <w:szCs w:val="21"/>
                    </w:rPr>
                    <w:t>/</w:t>
                  </w:r>
                </w:p>
              </w:tc>
              <w:tc>
                <w:tcPr>
                  <w:tcW w:w="622" w:type="pct"/>
                  <w:tcBorders>
                    <w:top w:val="single" w:color="auto" w:sz="4" w:space="0"/>
                    <w:left w:val="single" w:color="auto" w:sz="4" w:space="0"/>
                    <w:bottom w:val="single" w:color="auto" w:sz="12" w:space="0"/>
                    <w:right w:val="single" w:color="auto" w:sz="12" w:space="0"/>
                  </w:tcBorders>
                  <w:vAlign w:val="center"/>
                </w:tcPr>
                <w:p w14:paraId="45AC163E">
                  <w:pPr>
                    <w:adjustRightInd w:val="0"/>
                    <w:snapToGrid w:val="0"/>
                    <w:ind w:right="42" w:rightChars="20"/>
                    <w:jc w:val="center"/>
                    <w:rPr>
                      <w:kern w:val="0"/>
                      <w:szCs w:val="21"/>
                    </w:rPr>
                  </w:pPr>
                  <w:r>
                    <w:rPr>
                      <w:kern w:val="0"/>
                      <w:szCs w:val="21"/>
                    </w:rPr>
                    <w:t>/</w:t>
                  </w:r>
                </w:p>
              </w:tc>
            </w:tr>
          </w:tbl>
          <w:p w14:paraId="5FBCFFFD">
            <w:pPr>
              <w:spacing w:line="480" w:lineRule="exact"/>
              <w:ind w:firstLine="480" w:firstLineChars="200"/>
              <w:rPr>
                <w:b/>
                <w:bCs/>
                <w:kern w:val="0"/>
                <w:sz w:val="24"/>
              </w:rPr>
            </w:pPr>
            <w:r>
              <w:rPr>
                <w:rFonts w:hint="eastAsia"/>
                <w:b/>
                <w:bCs/>
                <w:kern w:val="0"/>
                <w:sz w:val="24"/>
              </w:rPr>
              <w:t>五、环境管理与监测计划</w:t>
            </w:r>
          </w:p>
          <w:p w14:paraId="70B5706A">
            <w:pPr>
              <w:spacing w:before="120" w:after="120" w:line="480" w:lineRule="exact"/>
              <w:ind w:firstLine="480" w:firstLineChars="200"/>
              <w:rPr>
                <w:kern w:val="0"/>
                <w:sz w:val="24"/>
              </w:rPr>
            </w:pPr>
            <w:r>
              <w:rPr>
                <w:rFonts w:hint="eastAsia"/>
                <w:kern w:val="0"/>
                <w:sz w:val="24"/>
              </w:rPr>
              <w:t>（1）、项目环境管理</w:t>
            </w:r>
          </w:p>
          <w:p w14:paraId="7BA674BC">
            <w:pPr>
              <w:spacing w:before="120" w:after="120" w:line="480" w:lineRule="exact"/>
              <w:ind w:firstLine="480" w:firstLineChars="200"/>
              <w:rPr>
                <w:kern w:val="0"/>
                <w:sz w:val="24"/>
              </w:rPr>
            </w:pPr>
            <w:r>
              <w:rPr>
                <w:rFonts w:hint="eastAsia"/>
                <w:kern w:val="0"/>
                <w:sz w:val="24"/>
              </w:rPr>
              <w:t>项目运营期设有1名专职环保管理人员，负责环保措施的实施、环保设施运行以及日常环境管理监控工作，并受环保局的监督和指导。主要职责包括：</w:t>
            </w:r>
          </w:p>
          <w:p w14:paraId="3BD95598">
            <w:pPr>
              <w:spacing w:before="120" w:after="120" w:line="480" w:lineRule="exact"/>
              <w:ind w:firstLine="480" w:firstLineChars="200"/>
              <w:rPr>
                <w:kern w:val="0"/>
                <w:sz w:val="24"/>
              </w:rPr>
            </w:pPr>
            <w:r>
              <w:rPr>
                <w:rFonts w:hint="eastAsia"/>
                <w:kern w:val="0"/>
                <w:sz w:val="24"/>
              </w:rPr>
              <w:t>①贯彻、宣传国家、省及地方的各项环保方针、政策和法律法规，根据企业的实际情况，编制环境保护管理制度，并组织实施和监督实行。</w:t>
            </w:r>
          </w:p>
          <w:p w14:paraId="1BB58775">
            <w:pPr>
              <w:spacing w:before="120" w:after="120" w:line="480" w:lineRule="exact"/>
              <w:ind w:firstLine="480" w:firstLineChars="200"/>
              <w:rPr>
                <w:kern w:val="0"/>
                <w:sz w:val="24"/>
              </w:rPr>
            </w:pPr>
            <w:r>
              <w:rPr>
                <w:rFonts w:hint="eastAsia"/>
                <w:kern w:val="0"/>
                <w:sz w:val="24"/>
              </w:rPr>
              <w:t>②监督检查本项目执行“三同时”规定的情况；定期进行环保设备检查、维修和保养工作，确保环保设施长期、稳定、达标运转。</w:t>
            </w:r>
          </w:p>
          <w:p w14:paraId="1E1A41D0">
            <w:pPr>
              <w:spacing w:before="120" w:after="120" w:line="480" w:lineRule="exact"/>
              <w:ind w:firstLine="480" w:firstLineChars="200"/>
              <w:rPr>
                <w:kern w:val="0"/>
                <w:sz w:val="24"/>
              </w:rPr>
            </w:pPr>
            <w:r>
              <w:rPr>
                <w:rFonts w:hint="eastAsia"/>
                <w:kern w:val="0"/>
                <w:sz w:val="24"/>
              </w:rPr>
              <w:t>④负责公司环保设施的日常运行管理工作，制定事故防范措施，一旦发生事故，组织污染源调查及控制工作，并及时总结经验教训。</w:t>
            </w:r>
          </w:p>
          <w:p w14:paraId="705B85C7">
            <w:pPr>
              <w:spacing w:before="120" w:after="120" w:line="480" w:lineRule="exact"/>
              <w:ind w:firstLine="480" w:firstLineChars="200"/>
              <w:rPr>
                <w:kern w:val="0"/>
                <w:sz w:val="24"/>
              </w:rPr>
            </w:pPr>
            <w:r>
              <w:rPr>
                <w:rFonts w:hint="eastAsia"/>
                <w:kern w:val="0"/>
                <w:sz w:val="24"/>
              </w:rPr>
              <w:t>④负责对公司环保人员进行环境保护教育，不断提高员工的环境意识和环保人员的业务素质。</w:t>
            </w:r>
          </w:p>
          <w:p w14:paraId="02280C7F">
            <w:pPr>
              <w:spacing w:before="120" w:after="120" w:line="480" w:lineRule="exact"/>
              <w:ind w:firstLine="480" w:firstLineChars="200"/>
              <w:rPr>
                <w:kern w:val="0"/>
                <w:sz w:val="24"/>
              </w:rPr>
            </w:pPr>
            <w:r>
              <w:rPr>
                <w:rFonts w:hint="eastAsia"/>
                <w:kern w:val="0"/>
                <w:sz w:val="24"/>
              </w:rPr>
              <w:t>⑤负责向当地环保主管部门上报有关环保材料，贯彻环保主管部门下达的有关环保工作的任务和要求。</w:t>
            </w:r>
          </w:p>
          <w:p w14:paraId="55741883">
            <w:pPr>
              <w:spacing w:before="120" w:after="120" w:line="480" w:lineRule="exact"/>
              <w:ind w:firstLine="480" w:firstLineChars="200"/>
              <w:rPr>
                <w:kern w:val="0"/>
                <w:sz w:val="24"/>
              </w:rPr>
            </w:pPr>
            <w:r>
              <w:rPr>
                <w:rFonts w:hint="eastAsia"/>
                <w:kern w:val="0"/>
                <w:sz w:val="24"/>
              </w:rPr>
              <w:t>（2）、项目监测计划</w:t>
            </w:r>
          </w:p>
          <w:p w14:paraId="61DD3228">
            <w:pPr>
              <w:spacing w:before="120" w:after="120" w:line="480" w:lineRule="exact"/>
              <w:ind w:firstLine="480" w:firstLineChars="200"/>
              <w:rPr>
                <w:kern w:val="0"/>
                <w:sz w:val="24"/>
              </w:rPr>
            </w:pPr>
            <w:r>
              <w:rPr>
                <w:rFonts w:hint="eastAsia"/>
                <w:kern w:val="0"/>
                <w:sz w:val="24"/>
              </w:rPr>
              <w:t>为确保项目所产生的污染物长期稳定达标排放，环评建议建设单位建立定期检测制度。类比《排污许可证申请与核发技术规范</w:t>
            </w:r>
            <w:r>
              <w:rPr>
                <w:kern w:val="0"/>
                <w:sz w:val="24"/>
              </w:rPr>
              <w:t xml:space="preserve"> </w:t>
            </w:r>
            <w:r>
              <w:rPr>
                <w:rFonts w:hint="eastAsia"/>
                <w:kern w:val="0"/>
                <w:sz w:val="24"/>
              </w:rPr>
              <w:t>人造板工业》（</w:t>
            </w:r>
            <w:r>
              <w:rPr>
                <w:kern w:val="0"/>
                <w:sz w:val="24"/>
              </w:rPr>
              <w:t>HJ 1032—2019</w:t>
            </w:r>
            <w:r>
              <w:rPr>
                <w:rFonts w:hint="eastAsia"/>
                <w:kern w:val="0"/>
                <w:sz w:val="24"/>
              </w:rPr>
              <w:t>）及《排污许可证申请与核发技术规范</w:t>
            </w:r>
            <w:r>
              <w:rPr>
                <w:kern w:val="0"/>
                <w:sz w:val="24"/>
              </w:rPr>
              <w:t xml:space="preserve"> </w:t>
            </w:r>
            <w:r>
              <w:rPr>
                <w:rFonts w:hint="eastAsia"/>
                <w:kern w:val="0"/>
                <w:sz w:val="24"/>
              </w:rPr>
              <w:t>家具制造工业》</w:t>
            </w:r>
            <w:r>
              <w:rPr>
                <w:kern w:val="0"/>
                <w:sz w:val="24"/>
              </w:rPr>
              <w:t xml:space="preserve">( HJ 1027—2019) </w:t>
            </w:r>
            <w:r>
              <w:rPr>
                <w:rFonts w:hint="eastAsia"/>
                <w:kern w:val="0"/>
                <w:sz w:val="24"/>
              </w:rPr>
              <w:t>技术规范要求实行。根据项目特点，项目自主验收后应实施监测计划，委托有资质单位进行，详细见表</w:t>
            </w:r>
            <w:r>
              <w:rPr>
                <w:kern w:val="0"/>
                <w:sz w:val="24"/>
              </w:rPr>
              <w:t>7-24</w:t>
            </w:r>
            <w:r>
              <w:rPr>
                <w:rFonts w:hint="eastAsia"/>
                <w:kern w:val="0"/>
                <w:sz w:val="24"/>
              </w:rPr>
              <w:t>。</w:t>
            </w:r>
          </w:p>
          <w:p w14:paraId="7DDA0DD5">
            <w:pPr>
              <w:adjustRightInd w:val="0"/>
              <w:snapToGrid w:val="0"/>
              <w:spacing w:line="480" w:lineRule="exact"/>
              <w:ind w:right="42" w:rightChars="20" w:firstLine="480" w:firstLineChars="200"/>
              <w:jc w:val="center"/>
              <w:rPr>
                <w:rFonts w:ascii="黑体" w:hAnsi="黑体" w:eastAsia="黑体"/>
                <w:kern w:val="0"/>
                <w:sz w:val="24"/>
              </w:rPr>
            </w:pPr>
            <w:r>
              <w:rPr>
                <w:rFonts w:hint="eastAsia" w:ascii="黑体" w:hAnsi="黑体" w:eastAsia="黑体"/>
                <w:kern w:val="0"/>
                <w:sz w:val="24"/>
              </w:rPr>
              <w:t>表</w:t>
            </w:r>
            <w:r>
              <w:rPr>
                <w:rFonts w:ascii="黑体" w:hAnsi="黑体" w:eastAsia="黑体"/>
                <w:kern w:val="0"/>
                <w:sz w:val="24"/>
              </w:rPr>
              <w:t xml:space="preserve">7-24 </w:t>
            </w:r>
            <w:r>
              <w:rPr>
                <w:rFonts w:hint="eastAsia" w:ascii="黑体" w:hAnsi="黑体" w:eastAsia="黑体"/>
                <w:kern w:val="0"/>
                <w:sz w:val="24"/>
              </w:rPr>
              <w:t>项目监测计划实施表</w:t>
            </w:r>
          </w:p>
          <w:tbl>
            <w:tblPr>
              <w:tblStyle w:val="25"/>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734"/>
              <w:gridCol w:w="3095"/>
              <w:gridCol w:w="2689"/>
            </w:tblGrid>
            <w:tr w14:paraId="5E0B98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05" w:type="pct"/>
                  <w:tcBorders>
                    <w:top w:val="single" w:color="auto" w:sz="12" w:space="0"/>
                    <w:left w:val="single" w:color="auto" w:sz="12" w:space="0"/>
                    <w:bottom w:val="single" w:color="auto" w:sz="6" w:space="0"/>
                    <w:right w:val="single" w:color="auto" w:sz="6" w:space="0"/>
                  </w:tcBorders>
                  <w:vAlign w:val="center"/>
                </w:tcPr>
                <w:p w14:paraId="31519466">
                  <w:pPr>
                    <w:spacing w:line="360" w:lineRule="exact"/>
                    <w:jc w:val="center"/>
                    <w:rPr>
                      <w:szCs w:val="21"/>
                    </w:rPr>
                  </w:pPr>
                  <w:r>
                    <w:rPr>
                      <w:rFonts w:hint="eastAsia"/>
                      <w:szCs w:val="21"/>
                    </w:rPr>
                    <w:t>监测内容</w:t>
                  </w:r>
                </w:p>
              </w:tc>
              <w:tc>
                <w:tcPr>
                  <w:tcW w:w="1817" w:type="pct"/>
                  <w:tcBorders>
                    <w:top w:val="single" w:color="auto" w:sz="12" w:space="0"/>
                    <w:left w:val="single" w:color="auto" w:sz="6" w:space="0"/>
                    <w:bottom w:val="single" w:color="auto" w:sz="6" w:space="0"/>
                    <w:right w:val="single" w:color="auto" w:sz="6" w:space="0"/>
                  </w:tcBorders>
                </w:tcPr>
                <w:p w14:paraId="21B6D5D0">
                  <w:pPr>
                    <w:spacing w:line="360" w:lineRule="exact"/>
                    <w:jc w:val="center"/>
                    <w:rPr>
                      <w:szCs w:val="21"/>
                    </w:rPr>
                  </w:pPr>
                  <w:r>
                    <w:rPr>
                      <w:rFonts w:hint="eastAsia"/>
                      <w:szCs w:val="21"/>
                    </w:rPr>
                    <w:t>监测点位</w:t>
                  </w:r>
                </w:p>
              </w:tc>
              <w:tc>
                <w:tcPr>
                  <w:tcW w:w="1578" w:type="pct"/>
                  <w:tcBorders>
                    <w:top w:val="single" w:color="auto" w:sz="12" w:space="0"/>
                    <w:left w:val="single" w:color="auto" w:sz="6" w:space="0"/>
                    <w:bottom w:val="single" w:color="auto" w:sz="6" w:space="0"/>
                    <w:right w:val="single" w:color="auto" w:sz="12" w:space="0"/>
                  </w:tcBorders>
                  <w:vAlign w:val="center"/>
                </w:tcPr>
                <w:p w14:paraId="7E354E59">
                  <w:pPr>
                    <w:spacing w:line="360" w:lineRule="exact"/>
                    <w:jc w:val="center"/>
                    <w:rPr>
                      <w:szCs w:val="21"/>
                    </w:rPr>
                  </w:pPr>
                  <w:r>
                    <w:rPr>
                      <w:rFonts w:hint="eastAsia"/>
                      <w:szCs w:val="21"/>
                    </w:rPr>
                    <w:t>监测频次</w:t>
                  </w:r>
                </w:p>
              </w:tc>
            </w:tr>
            <w:tr w14:paraId="6813D1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05" w:type="pct"/>
                  <w:tcBorders>
                    <w:top w:val="single" w:color="auto" w:sz="6" w:space="0"/>
                    <w:left w:val="single" w:color="auto" w:sz="12" w:space="0"/>
                    <w:bottom w:val="single" w:color="auto" w:sz="12" w:space="0"/>
                    <w:right w:val="single" w:color="auto" w:sz="6" w:space="0"/>
                  </w:tcBorders>
                  <w:vAlign w:val="center"/>
                </w:tcPr>
                <w:p w14:paraId="7DEA37EA">
                  <w:pPr>
                    <w:spacing w:line="360" w:lineRule="exact"/>
                    <w:jc w:val="center"/>
                    <w:rPr>
                      <w:szCs w:val="21"/>
                    </w:rPr>
                  </w:pPr>
                  <w:r>
                    <w:rPr>
                      <w:rFonts w:hint="eastAsia"/>
                      <w:szCs w:val="21"/>
                    </w:rPr>
                    <w:t>厂界无组织废气（颗粒物）</w:t>
                  </w:r>
                </w:p>
              </w:tc>
              <w:tc>
                <w:tcPr>
                  <w:tcW w:w="1817" w:type="pct"/>
                  <w:tcBorders>
                    <w:top w:val="single" w:color="auto" w:sz="6" w:space="0"/>
                    <w:left w:val="single" w:color="auto" w:sz="6" w:space="0"/>
                    <w:bottom w:val="single" w:color="auto" w:sz="12" w:space="0"/>
                    <w:right w:val="single" w:color="auto" w:sz="6" w:space="0"/>
                  </w:tcBorders>
                </w:tcPr>
                <w:p w14:paraId="1D700266">
                  <w:pPr>
                    <w:spacing w:line="360" w:lineRule="exact"/>
                    <w:jc w:val="center"/>
                    <w:rPr>
                      <w:szCs w:val="21"/>
                    </w:rPr>
                  </w:pPr>
                  <w:r>
                    <w:rPr>
                      <w:rFonts w:hint="eastAsia"/>
                      <w:szCs w:val="21"/>
                    </w:rPr>
                    <w:t>厂界上风向一个点，下风向两个点（</w:t>
                  </w:r>
                  <w:r>
                    <w:rPr>
                      <w:rFonts w:hint="eastAsia"/>
                    </w:rPr>
                    <w:t>周界外浓度最大处</w:t>
                  </w:r>
                  <w:r>
                    <w:rPr>
                      <w:rFonts w:hint="eastAsia"/>
                      <w:szCs w:val="21"/>
                    </w:rPr>
                    <w:t>）</w:t>
                  </w:r>
                </w:p>
              </w:tc>
              <w:tc>
                <w:tcPr>
                  <w:tcW w:w="1578" w:type="pct"/>
                  <w:tcBorders>
                    <w:top w:val="single" w:color="auto" w:sz="6" w:space="0"/>
                    <w:left w:val="single" w:color="auto" w:sz="6" w:space="0"/>
                    <w:bottom w:val="single" w:color="auto" w:sz="12" w:space="0"/>
                    <w:right w:val="single" w:color="auto" w:sz="12" w:space="0"/>
                  </w:tcBorders>
                  <w:vAlign w:val="center"/>
                </w:tcPr>
                <w:p w14:paraId="6D18B63A">
                  <w:pPr>
                    <w:spacing w:line="360" w:lineRule="exact"/>
                    <w:jc w:val="center"/>
                    <w:rPr>
                      <w:szCs w:val="21"/>
                    </w:rPr>
                  </w:pPr>
                  <w:r>
                    <w:rPr>
                      <w:rFonts w:hint="eastAsia"/>
                      <w:szCs w:val="21"/>
                    </w:rPr>
                    <w:t>一年一次</w:t>
                  </w:r>
                </w:p>
              </w:tc>
            </w:tr>
          </w:tbl>
          <w:p w14:paraId="784AFCCA">
            <w:pPr>
              <w:spacing w:line="360" w:lineRule="auto"/>
              <w:rPr>
                <w:b/>
                <w:bCs/>
                <w:sz w:val="24"/>
              </w:rPr>
            </w:pPr>
          </w:p>
          <w:p w14:paraId="6FD0C405">
            <w:pPr>
              <w:spacing w:line="360" w:lineRule="auto"/>
              <w:rPr>
                <w:b/>
                <w:bCs/>
                <w:sz w:val="24"/>
              </w:rPr>
            </w:pPr>
          </w:p>
          <w:p w14:paraId="2ED57782">
            <w:pPr>
              <w:spacing w:line="360" w:lineRule="auto"/>
              <w:rPr>
                <w:b/>
                <w:bCs/>
                <w:sz w:val="24"/>
              </w:rPr>
            </w:pPr>
          </w:p>
          <w:p w14:paraId="2EC3714B">
            <w:pPr>
              <w:spacing w:line="360" w:lineRule="auto"/>
              <w:rPr>
                <w:b/>
                <w:bCs/>
                <w:sz w:val="24"/>
              </w:rPr>
            </w:pPr>
          </w:p>
          <w:p w14:paraId="68498036">
            <w:pPr>
              <w:spacing w:line="360" w:lineRule="auto"/>
              <w:rPr>
                <w:b/>
                <w:bCs/>
                <w:sz w:val="24"/>
              </w:rPr>
            </w:pPr>
          </w:p>
          <w:p w14:paraId="5E19603F">
            <w:pPr>
              <w:spacing w:line="360" w:lineRule="auto"/>
              <w:rPr>
                <w:b/>
                <w:bCs/>
                <w:sz w:val="24"/>
              </w:rPr>
            </w:pPr>
          </w:p>
        </w:tc>
      </w:tr>
    </w:tbl>
    <w:p w14:paraId="0C4D54C8">
      <w:pPr>
        <w:outlineLvl w:val="0"/>
        <w:rPr>
          <w:b/>
          <w:sz w:val="32"/>
          <w:szCs w:val="32"/>
        </w:rPr>
      </w:pPr>
      <w:r>
        <w:rPr>
          <w:sz w:val="32"/>
          <w:szCs w:val="32"/>
        </w:rPr>
        <w:br w:type="page"/>
      </w:r>
      <w:r>
        <w:rPr>
          <w:rFonts w:hint="eastAsia"/>
          <w:b/>
          <w:sz w:val="32"/>
          <w:szCs w:val="32"/>
        </w:rPr>
        <w:t>建设项目拟采取的防治措施及预期治理效果</w:t>
      </w:r>
      <w:r>
        <w:rPr>
          <w:b/>
          <w:sz w:val="32"/>
          <w:szCs w:val="32"/>
        </w:rPr>
        <w:t xml:space="preserve">       </w:t>
      </w:r>
      <w:r>
        <w:rPr>
          <w:rFonts w:hint="eastAsia"/>
          <w:b/>
          <w:sz w:val="32"/>
          <w:szCs w:val="32"/>
          <w:lang w:eastAsia="zh-CN"/>
        </w:rPr>
        <w:t>（</w:t>
      </w:r>
      <w:r>
        <w:rPr>
          <w:rFonts w:hint="eastAsia"/>
          <w:b/>
          <w:sz w:val="30"/>
          <w:szCs w:val="30"/>
        </w:rPr>
        <w:t>表八</w:t>
      </w:r>
      <w:r>
        <w:rPr>
          <w:rFonts w:hint="eastAsia"/>
          <w:b/>
          <w:sz w:val="30"/>
          <w:szCs w:val="30"/>
          <w:lang w:eastAsia="zh-CN"/>
        </w:rPr>
        <w:t>）</w:t>
      </w:r>
    </w:p>
    <w:tbl>
      <w:tblPr>
        <w:tblStyle w:val="25"/>
        <w:tblW w:w="8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74"/>
        <w:gridCol w:w="1098"/>
        <w:gridCol w:w="2126"/>
        <w:gridCol w:w="2660"/>
        <w:gridCol w:w="2277"/>
      </w:tblGrid>
      <w:tr w14:paraId="59E0E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74" w:type="dxa"/>
            <w:vAlign w:val="center"/>
          </w:tcPr>
          <w:p w14:paraId="0DBA27BF">
            <w:pPr>
              <w:jc w:val="center"/>
              <w:rPr>
                <w:sz w:val="24"/>
              </w:rPr>
            </w:pPr>
            <w:r>
              <w:rPr>
                <w:sz w:val="24"/>
              </w:rPr>
              <mc:AlternateContent>
                <mc:Choice Requires="wps">
                  <w:drawing>
                    <wp:anchor distT="0" distB="0" distL="114300" distR="114300" simplePos="0" relativeHeight="251660288" behindDoc="0" locked="0" layoutInCell="0" allowOverlap="1">
                      <wp:simplePos x="0" y="0"/>
                      <wp:positionH relativeFrom="column">
                        <wp:posOffset>-68580</wp:posOffset>
                      </wp:positionH>
                      <wp:positionV relativeFrom="paragraph">
                        <wp:posOffset>-6350</wp:posOffset>
                      </wp:positionV>
                      <wp:extent cx="635" cy="0"/>
                      <wp:effectExtent l="7620" t="12700" r="10795" b="6350"/>
                      <wp:wrapNone/>
                      <wp:docPr id="4" name="Line 4287"/>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wps:spPr>
                            <wps:bodyPr/>
                          </wps:wsp>
                        </a:graphicData>
                      </a:graphic>
                    </wp:anchor>
                  </w:drawing>
                </mc:Choice>
                <mc:Fallback>
                  <w:pict>
                    <v:line id="Line 4287" o:spid="_x0000_s1026" o:spt="20" style="position:absolute;left:0pt;margin-left:-5.4pt;margin-top:-0.5pt;height:0pt;width:0.05pt;z-index:251660288;mso-width-relative:page;mso-height-relative:page;" filled="f" stroked="t" coordsize="21600,21600" o:allowincell="f" o:gfxdata="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N915LUAAAACQEAAA8AAAAAAAAAAQAgAAAAIgAAAGRycy9kb3du&#10;cmV2LnhtbFBLAQIUABQAAAAIAIdO4kAL5AbkygEAAJ4DAAAOAAAAAAAAAAEAIAAAACMBAABkcnMv&#10;ZTJvRG9jLnhtbFBLBQYAAAAABgAGAFkBAABfBQAAAAA=&#10;">
                      <v:fill on="f" focussize="0,0"/>
                      <v:stroke color="#000000" joinstyle="round"/>
                      <v:imagedata o:title=""/>
                      <o:lock v:ext="edit" aspectratio="f"/>
                    </v:line>
                  </w:pict>
                </mc:Fallback>
              </mc:AlternateContent>
            </w:r>
            <w:r>
              <w:rPr>
                <w:rFonts w:hint="eastAsia"/>
                <w:sz w:val="24"/>
              </w:rPr>
              <w:t>内容</w:t>
            </w:r>
            <w:r>
              <w:rPr>
                <w:sz w:val="24"/>
              </w:rPr>
              <w:t xml:space="preserve">     </w:t>
            </w:r>
          </w:p>
          <w:p w14:paraId="0A149F46">
            <w:pPr>
              <w:jc w:val="center"/>
              <w:rPr>
                <w:sz w:val="24"/>
              </w:rPr>
            </w:pPr>
            <w:r>
              <w:rPr>
                <w:rFonts w:hint="eastAsia"/>
                <w:sz w:val="24"/>
              </w:rPr>
              <w:t>类型</w:t>
            </w:r>
          </w:p>
        </w:tc>
        <w:tc>
          <w:tcPr>
            <w:tcW w:w="1098" w:type="dxa"/>
            <w:vAlign w:val="center"/>
          </w:tcPr>
          <w:p w14:paraId="542F0956">
            <w:pPr>
              <w:jc w:val="center"/>
              <w:rPr>
                <w:sz w:val="24"/>
              </w:rPr>
            </w:pPr>
            <w:r>
              <w:rPr>
                <w:rFonts w:hint="eastAsia"/>
                <w:sz w:val="24"/>
              </w:rPr>
              <w:t>排放源</w:t>
            </w:r>
          </w:p>
          <w:p w14:paraId="2B85F7F8">
            <w:pPr>
              <w:jc w:val="center"/>
              <w:rPr>
                <w:sz w:val="24"/>
              </w:rPr>
            </w:pPr>
            <w:r>
              <w:rPr>
                <w:rFonts w:hint="eastAsia"/>
                <w:sz w:val="24"/>
                <w:lang w:eastAsia="zh-CN"/>
              </w:rPr>
              <w:t>（</w:t>
            </w:r>
            <w:r>
              <w:rPr>
                <w:rFonts w:hint="eastAsia"/>
                <w:sz w:val="24"/>
              </w:rPr>
              <w:t>编号</w:t>
            </w:r>
            <w:r>
              <w:rPr>
                <w:rFonts w:hint="eastAsia"/>
                <w:sz w:val="24"/>
                <w:lang w:eastAsia="zh-CN"/>
              </w:rPr>
              <w:t>）</w:t>
            </w:r>
          </w:p>
        </w:tc>
        <w:tc>
          <w:tcPr>
            <w:tcW w:w="2126" w:type="dxa"/>
            <w:vAlign w:val="center"/>
          </w:tcPr>
          <w:p w14:paraId="4D86A2C2">
            <w:pPr>
              <w:jc w:val="center"/>
              <w:rPr>
                <w:sz w:val="24"/>
              </w:rPr>
            </w:pPr>
            <w:r>
              <w:rPr>
                <w:rFonts w:hint="eastAsia"/>
                <w:sz w:val="24"/>
              </w:rPr>
              <w:t>污染物名称</w:t>
            </w:r>
          </w:p>
        </w:tc>
        <w:tc>
          <w:tcPr>
            <w:tcW w:w="2660" w:type="dxa"/>
            <w:vAlign w:val="center"/>
          </w:tcPr>
          <w:p w14:paraId="411ED91F">
            <w:pPr>
              <w:jc w:val="center"/>
              <w:rPr>
                <w:sz w:val="24"/>
              </w:rPr>
            </w:pPr>
            <w:r>
              <w:rPr>
                <w:rFonts w:hint="eastAsia"/>
                <w:sz w:val="24"/>
              </w:rPr>
              <w:t>防治措施</w:t>
            </w:r>
          </w:p>
        </w:tc>
        <w:tc>
          <w:tcPr>
            <w:tcW w:w="2277" w:type="dxa"/>
            <w:vAlign w:val="center"/>
          </w:tcPr>
          <w:p w14:paraId="577C62A3">
            <w:pPr>
              <w:jc w:val="center"/>
              <w:rPr>
                <w:sz w:val="24"/>
              </w:rPr>
            </w:pPr>
            <w:r>
              <w:rPr>
                <w:rFonts w:hint="eastAsia"/>
                <w:sz w:val="24"/>
              </w:rPr>
              <w:t>预期治理效果</w:t>
            </w:r>
          </w:p>
        </w:tc>
      </w:tr>
      <w:tr w14:paraId="05EF8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74" w:type="dxa"/>
            <w:vMerge w:val="restart"/>
            <w:vAlign w:val="center"/>
          </w:tcPr>
          <w:p w14:paraId="10AF9CBF">
            <w:pPr>
              <w:jc w:val="center"/>
              <w:rPr>
                <w:sz w:val="24"/>
              </w:rPr>
            </w:pPr>
            <w:r>
              <w:rPr>
                <w:rFonts w:hint="eastAsia"/>
                <w:sz w:val="24"/>
              </w:rPr>
              <w:t>大气污染物</w:t>
            </w:r>
          </w:p>
        </w:tc>
        <w:tc>
          <w:tcPr>
            <w:tcW w:w="1098" w:type="dxa"/>
            <w:vMerge w:val="restart"/>
            <w:vAlign w:val="center"/>
          </w:tcPr>
          <w:p w14:paraId="3C1CFC64">
            <w:pPr>
              <w:jc w:val="center"/>
              <w:rPr>
                <w:sz w:val="24"/>
              </w:rPr>
            </w:pPr>
            <w:r>
              <w:rPr>
                <w:sz w:val="24"/>
              </w:rPr>
              <w:t>施工期</w:t>
            </w:r>
          </w:p>
        </w:tc>
        <w:tc>
          <w:tcPr>
            <w:tcW w:w="2126" w:type="dxa"/>
            <w:vAlign w:val="center"/>
          </w:tcPr>
          <w:p w14:paraId="3F0B5A3A">
            <w:pPr>
              <w:jc w:val="center"/>
              <w:rPr>
                <w:sz w:val="24"/>
              </w:rPr>
            </w:pPr>
            <w:r>
              <w:rPr>
                <w:sz w:val="24"/>
              </w:rPr>
              <w:t>施工扬尘</w:t>
            </w:r>
          </w:p>
        </w:tc>
        <w:tc>
          <w:tcPr>
            <w:tcW w:w="2660" w:type="dxa"/>
            <w:vAlign w:val="center"/>
          </w:tcPr>
          <w:p w14:paraId="31912B01">
            <w:pPr>
              <w:jc w:val="center"/>
              <w:rPr>
                <w:sz w:val="24"/>
              </w:rPr>
            </w:pPr>
            <w:r>
              <w:rPr>
                <w:sz w:val="24"/>
              </w:rPr>
              <w:t>工地周边围挡、物料堆放覆盖、土方开挖湿法作业、路面硬化、出入车辆清洗、渣土车辆密闭运输“六个百分之百”等方面作出防治措施</w:t>
            </w:r>
          </w:p>
        </w:tc>
        <w:tc>
          <w:tcPr>
            <w:tcW w:w="2277" w:type="dxa"/>
            <w:vAlign w:val="center"/>
          </w:tcPr>
          <w:p w14:paraId="292B873A">
            <w:pPr>
              <w:jc w:val="center"/>
              <w:rPr>
                <w:sz w:val="24"/>
              </w:rPr>
            </w:pPr>
            <w:r>
              <w:rPr>
                <w:sz w:val="24"/>
              </w:rPr>
              <w:t>&lt;1.0mg/m</w:t>
            </w:r>
            <w:r>
              <w:rPr>
                <w:sz w:val="24"/>
                <w:vertAlign w:val="superscript"/>
              </w:rPr>
              <w:t>3</w:t>
            </w:r>
            <w:r>
              <w:rPr>
                <w:sz w:val="24"/>
              </w:rPr>
              <w:t>；量极少</w:t>
            </w:r>
          </w:p>
        </w:tc>
      </w:tr>
      <w:tr w14:paraId="492B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74" w:type="dxa"/>
            <w:vMerge w:val="continue"/>
            <w:vAlign w:val="center"/>
          </w:tcPr>
          <w:p w14:paraId="4B0D215A">
            <w:pPr>
              <w:jc w:val="center"/>
              <w:rPr>
                <w:sz w:val="24"/>
              </w:rPr>
            </w:pPr>
          </w:p>
        </w:tc>
        <w:tc>
          <w:tcPr>
            <w:tcW w:w="1098" w:type="dxa"/>
            <w:vMerge w:val="continue"/>
            <w:vAlign w:val="center"/>
          </w:tcPr>
          <w:p w14:paraId="51C564C4">
            <w:pPr>
              <w:jc w:val="center"/>
              <w:rPr>
                <w:sz w:val="24"/>
              </w:rPr>
            </w:pPr>
          </w:p>
        </w:tc>
        <w:tc>
          <w:tcPr>
            <w:tcW w:w="2126" w:type="dxa"/>
            <w:vAlign w:val="center"/>
          </w:tcPr>
          <w:p w14:paraId="1CB7A2B3">
            <w:pPr>
              <w:jc w:val="center"/>
              <w:rPr>
                <w:sz w:val="24"/>
              </w:rPr>
            </w:pPr>
            <w:r>
              <w:rPr>
                <w:sz w:val="24"/>
              </w:rPr>
              <w:t>汽车尾气</w:t>
            </w:r>
          </w:p>
        </w:tc>
        <w:tc>
          <w:tcPr>
            <w:tcW w:w="2660" w:type="dxa"/>
            <w:vAlign w:val="center"/>
          </w:tcPr>
          <w:p w14:paraId="4BE96B4B">
            <w:pPr>
              <w:jc w:val="center"/>
              <w:rPr>
                <w:sz w:val="24"/>
              </w:rPr>
            </w:pPr>
            <w:r>
              <w:rPr>
                <w:sz w:val="24"/>
                <w:lang w:val="de-DE"/>
              </w:rPr>
              <w:t>量极少，</w:t>
            </w:r>
            <w:r>
              <w:rPr>
                <w:sz w:val="24"/>
              </w:rPr>
              <w:t>自然扩散</w:t>
            </w:r>
          </w:p>
        </w:tc>
        <w:tc>
          <w:tcPr>
            <w:tcW w:w="2277" w:type="dxa"/>
            <w:vAlign w:val="center"/>
          </w:tcPr>
          <w:p w14:paraId="54C5F3E9">
            <w:pPr>
              <w:jc w:val="center"/>
              <w:rPr>
                <w:sz w:val="24"/>
              </w:rPr>
            </w:pPr>
            <w:r>
              <w:rPr>
                <w:sz w:val="24"/>
              </w:rPr>
              <w:t>达标排放</w:t>
            </w:r>
          </w:p>
        </w:tc>
      </w:tr>
      <w:tr w14:paraId="7DF82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continue"/>
            <w:vAlign w:val="center"/>
          </w:tcPr>
          <w:p w14:paraId="234C0614">
            <w:pPr>
              <w:jc w:val="center"/>
              <w:rPr>
                <w:sz w:val="24"/>
              </w:rPr>
            </w:pPr>
          </w:p>
        </w:tc>
        <w:tc>
          <w:tcPr>
            <w:tcW w:w="1098" w:type="dxa"/>
            <w:vMerge w:val="restart"/>
            <w:vAlign w:val="center"/>
          </w:tcPr>
          <w:p w14:paraId="3691F772">
            <w:pPr>
              <w:jc w:val="center"/>
              <w:rPr>
                <w:sz w:val="24"/>
              </w:rPr>
            </w:pPr>
            <w:r>
              <w:rPr>
                <w:sz w:val="24"/>
              </w:rPr>
              <w:t>营运期</w:t>
            </w:r>
          </w:p>
        </w:tc>
        <w:tc>
          <w:tcPr>
            <w:tcW w:w="2126" w:type="dxa"/>
            <w:vAlign w:val="center"/>
          </w:tcPr>
          <w:p w14:paraId="18CEA383">
            <w:pPr>
              <w:jc w:val="center"/>
              <w:rPr>
                <w:sz w:val="24"/>
              </w:rPr>
            </w:pPr>
            <w:r>
              <w:rPr>
                <w:sz w:val="24"/>
              </w:rPr>
              <w:t>锯末粉尘</w:t>
            </w:r>
          </w:p>
        </w:tc>
        <w:tc>
          <w:tcPr>
            <w:tcW w:w="2660" w:type="dxa"/>
            <w:vAlign w:val="center"/>
          </w:tcPr>
          <w:p w14:paraId="4A639CED">
            <w:pPr>
              <w:jc w:val="center"/>
              <w:rPr>
                <w:sz w:val="24"/>
              </w:rPr>
            </w:pPr>
            <w:r>
              <w:rPr>
                <w:sz w:val="24"/>
              </w:rPr>
              <w:t>通风+围挡+清洁清扫</w:t>
            </w:r>
          </w:p>
        </w:tc>
        <w:tc>
          <w:tcPr>
            <w:tcW w:w="2277" w:type="dxa"/>
            <w:vAlign w:val="center"/>
          </w:tcPr>
          <w:p w14:paraId="6A87FCBF">
            <w:pPr>
              <w:jc w:val="center"/>
              <w:rPr>
                <w:sz w:val="24"/>
              </w:rPr>
            </w:pPr>
            <w:r>
              <w:rPr>
                <w:sz w:val="24"/>
              </w:rPr>
              <w:t>达标排放</w:t>
            </w:r>
          </w:p>
        </w:tc>
      </w:tr>
      <w:tr w14:paraId="6FD47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continue"/>
            <w:vAlign w:val="center"/>
          </w:tcPr>
          <w:p w14:paraId="767C5977">
            <w:pPr>
              <w:jc w:val="center"/>
              <w:rPr>
                <w:sz w:val="24"/>
              </w:rPr>
            </w:pPr>
          </w:p>
        </w:tc>
        <w:tc>
          <w:tcPr>
            <w:tcW w:w="1098" w:type="dxa"/>
            <w:vMerge w:val="continue"/>
            <w:vAlign w:val="center"/>
          </w:tcPr>
          <w:p w14:paraId="1B8125F1">
            <w:pPr>
              <w:jc w:val="center"/>
              <w:rPr>
                <w:sz w:val="24"/>
              </w:rPr>
            </w:pPr>
          </w:p>
        </w:tc>
        <w:tc>
          <w:tcPr>
            <w:tcW w:w="2126" w:type="dxa"/>
            <w:vAlign w:val="center"/>
          </w:tcPr>
          <w:p w14:paraId="44993DD5">
            <w:pPr>
              <w:jc w:val="center"/>
              <w:rPr>
                <w:sz w:val="24"/>
              </w:rPr>
            </w:pPr>
            <w:r>
              <w:rPr>
                <w:rFonts w:hint="eastAsia"/>
                <w:sz w:val="24"/>
              </w:rPr>
              <w:t>车辆尾气</w:t>
            </w:r>
          </w:p>
        </w:tc>
        <w:tc>
          <w:tcPr>
            <w:tcW w:w="2660" w:type="dxa"/>
            <w:vAlign w:val="center"/>
          </w:tcPr>
          <w:p w14:paraId="45E5DF75">
            <w:pPr>
              <w:jc w:val="center"/>
              <w:rPr>
                <w:sz w:val="24"/>
              </w:rPr>
            </w:pPr>
            <w:r>
              <w:rPr>
                <w:rFonts w:hint="eastAsia"/>
                <w:sz w:val="24"/>
              </w:rPr>
              <w:t>清洁能源</w:t>
            </w:r>
          </w:p>
        </w:tc>
        <w:tc>
          <w:tcPr>
            <w:tcW w:w="2277" w:type="dxa"/>
            <w:vAlign w:val="center"/>
          </w:tcPr>
          <w:p w14:paraId="1EBA657F">
            <w:pPr>
              <w:jc w:val="center"/>
              <w:rPr>
                <w:sz w:val="24"/>
              </w:rPr>
            </w:pPr>
            <w:r>
              <w:rPr>
                <w:rFonts w:hint="eastAsia"/>
                <w:sz w:val="24"/>
              </w:rPr>
              <w:t>产生量较少，无组织排放</w:t>
            </w:r>
          </w:p>
        </w:tc>
      </w:tr>
      <w:tr w14:paraId="2FBAF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restart"/>
            <w:vAlign w:val="center"/>
          </w:tcPr>
          <w:p w14:paraId="313A34BE">
            <w:pPr>
              <w:jc w:val="center"/>
              <w:rPr>
                <w:sz w:val="24"/>
              </w:rPr>
            </w:pPr>
            <w:r>
              <w:rPr>
                <w:rFonts w:hint="eastAsia"/>
                <w:sz w:val="24"/>
              </w:rPr>
              <w:t>水污染物</w:t>
            </w:r>
          </w:p>
        </w:tc>
        <w:tc>
          <w:tcPr>
            <w:tcW w:w="1098" w:type="dxa"/>
            <w:vAlign w:val="center"/>
          </w:tcPr>
          <w:p w14:paraId="21062B8D">
            <w:pPr>
              <w:spacing w:line="360" w:lineRule="auto"/>
              <w:jc w:val="center"/>
              <w:rPr>
                <w:sz w:val="24"/>
              </w:rPr>
            </w:pPr>
            <w:r>
              <w:rPr>
                <w:sz w:val="24"/>
              </w:rPr>
              <w:t>施工期</w:t>
            </w:r>
          </w:p>
        </w:tc>
        <w:tc>
          <w:tcPr>
            <w:tcW w:w="2126" w:type="dxa"/>
            <w:vAlign w:val="center"/>
          </w:tcPr>
          <w:p w14:paraId="04C1817D">
            <w:pPr>
              <w:jc w:val="center"/>
              <w:rPr>
                <w:sz w:val="24"/>
              </w:rPr>
            </w:pPr>
            <w:r>
              <w:rPr>
                <w:sz w:val="24"/>
              </w:rPr>
              <w:t>施工人员生活污水</w:t>
            </w:r>
          </w:p>
        </w:tc>
        <w:tc>
          <w:tcPr>
            <w:tcW w:w="2660" w:type="dxa"/>
            <w:vAlign w:val="center"/>
          </w:tcPr>
          <w:p w14:paraId="0E9153E8">
            <w:pPr>
              <w:jc w:val="center"/>
              <w:rPr>
                <w:sz w:val="24"/>
              </w:rPr>
            </w:pPr>
            <w:r>
              <w:rPr>
                <w:rFonts w:hint="eastAsia"/>
                <w:sz w:val="24"/>
              </w:rPr>
              <w:t>依托现有设施处理后回用农肥</w:t>
            </w:r>
          </w:p>
        </w:tc>
        <w:tc>
          <w:tcPr>
            <w:tcW w:w="2277" w:type="dxa"/>
            <w:vAlign w:val="center"/>
          </w:tcPr>
          <w:p w14:paraId="784CA74C">
            <w:pPr>
              <w:jc w:val="center"/>
              <w:rPr>
                <w:sz w:val="24"/>
              </w:rPr>
            </w:pPr>
            <w:r>
              <w:rPr>
                <w:rFonts w:hint="eastAsia"/>
                <w:sz w:val="24"/>
              </w:rPr>
              <w:t>妥善处理处置</w:t>
            </w:r>
          </w:p>
        </w:tc>
      </w:tr>
      <w:tr w14:paraId="08B83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continue"/>
            <w:vAlign w:val="center"/>
          </w:tcPr>
          <w:p w14:paraId="3395CAE7">
            <w:pPr>
              <w:jc w:val="center"/>
              <w:rPr>
                <w:sz w:val="24"/>
              </w:rPr>
            </w:pPr>
          </w:p>
        </w:tc>
        <w:tc>
          <w:tcPr>
            <w:tcW w:w="1098" w:type="dxa"/>
            <w:vAlign w:val="center"/>
          </w:tcPr>
          <w:p w14:paraId="1495D57D">
            <w:pPr>
              <w:spacing w:line="360" w:lineRule="auto"/>
              <w:jc w:val="center"/>
              <w:rPr>
                <w:sz w:val="24"/>
              </w:rPr>
            </w:pPr>
            <w:r>
              <w:rPr>
                <w:sz w:val="24"/>
              </w:rPr>
              <w:t>营运期</w:t>
            </w:r>
          </w:p>
        </w:tc>
        <w:tc>
          <w:tcPr>
            <w:tcW w:w="2126" w:type="dxa"/>
            <w:vAlign w:val="center"/>
          </w:tcPr>
          <w:p w14:paraId="532BE085">
            <w:pPr>
              <w:jc w:val="center"/>
              <w:rPr>
                <w:sz w:val="24"/>
              </w:rPr>
            </w:pPr>
            <w:r>
              <w:rPr>
                <w:sz w:val="24"/>
              </w:rPr>
              <w:t>生活污水</w:t>
            </w:r>
          </w:p>
        </w:tc>
        <w:tc>
          <w:tcPr>
            <w:tcW w:w="2660" w:type="dxa"/>
            <w:vAlign w:val="center"/>
          </w:tcPr>
          <w:p w14:paraId="55512C6D">
            <w:pPr>
              <w:jc w:val="center"/>
              <w:rPr>
                <w:sz w:val="24"/>
              </w:rPr>
            </w:pPr>
            <w:r>
              <w:rPr>
                <w:sz w:val="24"/>
              </w:rPr>
              <w:t>依托周边居民现有污水预处理池处理后，回用农肥处理</w:t>
            </w:r>
          </w:p>
        </w:tc>
        <w:tc>
          <w:tcPr>
            <w:tcW w:w="2277" w:type="dxa"/>
            <w:vAlign w:val="center"/>
          </w:tcPr>
          <w:p w14:paraId="262230D5">
            <w:pPr>
              <w:jc w:val="center"/>
              <w:rPr>
                <w:sz w:val="24"/>
              </w:rPr>
            </w:pPr>
            <w:r>
              <w:rPr>
                <w:sz w:val="24"/>
              </w:rPr>
              <w:t>妥善处理处置</w:t>
            </w:r>
          </w:p>
        </w:tc>
      </w:tr>
      <w:tr w14:paraId="4CE7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restart"/>
            <w:vAlign w:val="center"/>
          </w:tcPr>
          <w:p w14:paraId="64CEC1F6">
            <w:pPr>
              <w:jc w:val="left"/>
              <w:rPr>
                <w:sz w:val="24"/>
              </w:rPr>
            </w:pPr>
            <w:r>
              <w:rPr>
                <w:rFonts w:hint="eastAsia"/>
                <w:sz w:val="24"/>
              </w:rPr>
              <w:t>固体废弃物</w:t>
            </w:r>
          </w:p>
        </w:tc>
        <w:tc>
          <w:tcPr>
            <w:tcW w:w="1098" w:type="dxa"/>
            <w:vMerge w:val="restart"/>
            <w:vAlign w:val="center"/>
          </w:tcPr>
          <w:p w14:paraId="6AF3ED74">
            <w:pPr>
              <w:spacing w:line="360" w:lineRule="auto"/>
              <w:jc w:val="center"/>
              <w:rPr>
                <w:sz w:val="24"/>
              </w:rPr>
            </w:pPr>
            <w:r>
              <w:rPr>
                <w:sz w:val="24"/>
              </w:rPr>
              <w:t>施工期</w:t>
            </w:r>
          </w:p>
        </w:tc>
        <w:tc>
          <w:tcPr>
            <w:tcW w:w="2126" w:type="dxa"/>
            <w:vAlign w:val="center"/>
          </w:tcPr>
          <w:p w14:paraId="2AE97B58">
            <w:pPr>
              <w:jc w:val="center"/>
              <w:rPr>
                <w:sz w:val="24"/>
              </w:rPr>
            </w:pPr>
            <w:r>
              <w:rPr>
                <w:sz w:val="24"/>
              </w:rPr>
              <w:t>施工人员生活垃圾</w:t>
            </w:r>
          </w:p>
        </w:tc>
        <w:tc>
          <w:tcPr>
            <w:tcW w:w="2660" w:type="dxa"/>
            <w:vAlign w:val="center"/>
          </w:tcPr>
          <w:p w14:paraId="5A2DB0B7">
            <w:pPr>
              <w:jc w:val="center"/>
              <w:rPr>
                <w:sz w:val="24"/>
              </w:rPr>
            </w:pPr>
            <w:r>
              <w:rPr>
                <w:sz w:val="24"/>
              </w:rPr>
              <w:t>由</w:t>
            </w:r>
            <w:r>
              <w:rPr>
                <w:rFonts w:hint="eastAsia"/>
                <w:sz w:val="24"/>
              </w:rPr>
              <w:t>村委会收集处理</w:t>
            </w:r>
          </w:p>
        </w:tc>
        <w:tc>
          <w:tcPr>
            <w:tcW w:w="2277" w:type="dxa"/>
            <w:vMerge w:val="restart"/>
            <w:vAlign w:val="center"/>
          </w:tcPr>
          <w:p w14:paraId="25E13CD7">
            <w:pPr>
              <w:jc w:val="center"/>
              <w:rPr>
                <w:sz w:val="24"/>
              </w:rPr>
            </w:pPr>
            <w:r>
              <w:rPr>
                <w:sz w:val="24"/>
              </w:rPr>
              <w:t>减量化、资源化、无害化。</w:t>
            </w:r>
          </w:p>
        </w:tc>
      </w:tr>
      <w:tr w14:paraId="0B0FA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continue"/>
            <w:vAlign w:val="center"/>
          </w:tcPr>
          <w:p w14:paraId="77F87B16">
            <w:pPr>
              <w:jc w:val="left"/>
              <w:rPr>
                <w:sz w:val="24"/>
              </w:rPr>
            </w:pPr>
          </w:p>
        </w:tc>
        <w:tc>
          <w:tcPr>
            <w:tcW w:w="1098" w:type="dxa"/>
            <w:vMerge w:val="continue"/>
            <w:vAlign w:val="center"/>
          </w:tcPr>
          <w:p w14:paraId="1297034A">
            <w:pPr>
              <w:spacing w:line="360" w:lineRule="auto"/>
              <w:jc w:val="center"/>
              <w:rPr>
                <w:sz w:val="24"/>
              </w:rPr>
            </w:pPr>
          </w:p>
        </w:tc>
        <w:tc>
          <w:tcPr>
            <w:tcW w:w="2126" w:type="dxa"/>
            <w:vAlign w:val="center"/>
          </w:tcPr>
          <w:p w14:paraId="4665F0F2">
            <w:pPr>
              <w:jc w:val="center"/>
              <w:rPr>
                <w:sz w:val="24"/>
              </w:rPr>
            </w:pPr>
            <w:r>
              <w:rPr>
                <w:sz w:val="24"/>
              </w:rPr>
              <w:t>建筑垃圾及弃渣</w:t>
            </w:r>
          </w:p>
        </w:tc>
        <w:tc>
          <w:tcPr>
            <w:tcW w:w="2660" w:type="dxa"/>
            <w:vAlign w:val="center"/>
          </w:tcPr>
          <w:p w14:paraId="4FD93D31">
            <w:pPr>
              <w:jc w:val="center"/>
              <w:rPr>
                <w:sz w:val="24"/>
              </w:rPr>
            </w:pPr>
            <w:r>
              <w:rPr>
                <w:sz w:val="24"/>
              </w:rPr>
              <w:t>运往政府</w:t>
            </w:r>
            <w:r>
              <w:rPr>
                <w:rFonts w:hint="eastAsia"/>
                <w:sz w:val="24"/>
                <w:lang w:eastAsia="zh-CN"/>
              </w:rPr>
              <w:t>指定</w:t>
            </w:r>
            <w:r>
              <w:rPr>
                <w:sz w:val="24"/>
              </w:rPr>
              <w:t>地点</w:t>
            </w:r>
          </w:p>
        </w:tc>
        <w:tc>
          <w:tcPr>
            <w:tcW w:w="2277" w:type="dxa"/>
            <w:vMerge w:val="continue"/>
            <w:vAlign w:val="center"/>
          </w:tcPr>
          <w:p w14:paraId="5C0D735D">
            <w:pPr>
              <w:jc w:val="center"/>
              <w:rPr>
                <w:sz w:val="24"/>
              </w:rPr>
            </w:pPr>
          </w:p>
        </w:tc>
      </w:tr>
      <w:tr w14:paraId="1A360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continue"/>
            <w:vAlign w:val="center"/>
          </w:tcPr>
          <w:p w14:paraId="484AF196">
            <w:pPr>
              <w:jc w:val="left"/>
              <w:rPr>
                <w:sz w:val="24"/>
              </w:rPr>
            </w:pPr>
          </w:p>
        </w:tc>
        <w:tc>
          <w:tcPr>
            <w:tcW w:w="1098" w:type="dxa"/>
            <w:vMerge w:val="restart"/>
            <w:vAlign w:val="center"/>
          </w:tcPr>
          <w:p w14:paraId="7E22EEF7">
            <w:pPr>
              <w:jc w:val="center"/>
              <w:rPr>
                <w:sz w:val="24"/>
              </w:rPr>
            </w:pPr>
            <w:r>
              <w:rPr>
                <w:sz w:val="24"/>
              </w:rPr>
              <w:t>营运期</w:t>
            </w:r>
          </w:p>
        </w:tc>
        <w:tc>
          <w:tcPr>
            <w:tcW w:w="2126" w:type="dxa"/>
            <w:vAlign w:val="center"/>
          </w:tcPr>
          <w:p w14:paraId="1D367404">
            <w:pPr>
              <w:jc w:val="center"/>
              <w:rPr>
                <w:sz w:val="24"/>
              </w:rPr>
            </w:pPr>
            <w:r>
              <w:rPr>
                <w:kern w:val="0"/>
                <w:sz w:val="24"/>
              </w:rPr>
              <w:t>生活垃圾</w:t>
            </w:r>
          </w:p>
        </w:tc>
        <w:tc>
          <w:tcPr>
            <w:tcW w:w="2660" w:type="dxa"/>
            <w:vAlign w:val="center"/>
          </w:tcPr>
          <w:p w14:paraId="32E6B78B">
            <w:pPr>
              <w:jc w:val="center"/>
              <w:rPr>
                <w:sz w:val="24"/>
              </w:rPr>
            </w:pPr>
            <w:r>
              <w:rPr>
                <w:sz w:val="24"/>
              </w:rPr>
              <w:t>集中收集后委托村委会进行处理</w:t>
            </w:r>
          </w:p>
        </w:tc>
        <w:tc>
          <w:tcPr>
            <w:tcW w:w="2277" w:type="dxa"/>
            <w:vMerge w:val="continue"/>
            <w:vAlign w:val="center"/>
          </w:tcPr>
          <w:p w14:paraId="4D0D81B6">
            <w:pPr>
              <w:jc w:val="center"/>
              <w:rPr>
                <w:sz w:val="24"/>
              </w:rPr>
            </w:pPr>
          </w:p>
        </w:tc>
      </w:tr>
      <w:tr w14:paraId="64A14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continue"/>
            <w:vAlign w:val="center"/>
          </w:tcPr>
          <w:p w14:paraId="02E19B99">
            <w:pPr>
              <w:jc w:val="center"/>
              <w:rPr>
                <w:sz w:val="24"/>
              </w:rPr>
            </w:pPr>
          </w:p>
        </w:tc>
        <w:tc>
          <w:tcPr>
            <w:tcW w:w="1098" w:type="dxa"/>
            <w:vMerge w:val="continue"/>
            <w:vAlign w:val="center"/>
          </w:tcPr>
          <w:p w14:paraId="241AFD06">
            <w:pPr>
              <w:jc w:val="center"/>
              <w:rPr>
                <w:sz w:val="24"/>
              </w:rPr>
            </w:pPr>
          </w:p>
        </w:tc>
        <w:tc>
          <w:tcPr>
            <w:tcW w:w="2126" w:type="dxa"/>
            <w:vAlign w:val="center"/>
          </w:tcPr>
          <w:p w14:paraId="3A698AC0">
            <w:pPr>
              <w:jc w:val="center"/>
              <w:rPr>
                <w:sz w:val="24"/>
              </w:rPr>
            </w:pPr>
            <w:r>
              <w:rPr>
                <w:kern w:val="0"/>
                <w:sz w:val="24"/>
              </w:rPr>
              <w:t>树皮、木材边角料</w:t>
            </w:r>
          </w:p>
        </w:tc>
        <w:tc>
          <w:tcPr>
            <w:tcW w:w="2660" w:type="dxa"/>
            <w:vAlign w:val="center"/>
          </w:tcPr>
          <w:p w14:paraId="587631B9">
            <w:pPr>
              <w:jc w:val="center"/>
              <w:rPr>
                <w:sz w:val="24"/>
              </w:rPr>
            </w:pPr>
            <w:r>
              <w:rPr>
                <w:kern w:val="0"/>
                <w:sz w:val="24"/>
              </w:rPr>
              <w:t>外售综合利用</w:t>
            </w:r>
          </w:p>
        </w:tc>
        <w:tc>
          <w:tcPr>
            <w:tcW w:w="2277" w:type="dxa"/>
            <w:vMerge w:val="continue"/>
            <w:vAlign w:val="center"/>
          </w:tcPr>
          <w:p w14:paraId="7DFCC1BC">
            <w:pPr>
              <w:jc w:val="center"/>
              <w:rPr>
                <w:sz w:val="24"/>
              </w:rPr>
            </w:pPr>
          </w:p>
        </w:tc>
      </w:tr>
      <w:tr w14:paraId="346C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continue"/>
            <w:vAlign w:val="center"/>
          </w:tcPr>
          <w:p w14:paraId="1B6ADB37">
            <w:pPr>
              <w:jc w:val="center"/>
              <w:rPr>
                <w:sz w:val="24"/>
              </w:rPr>
            </w:pPr>
          </w:p>
        </w:tc>
        <w:tc>
          <w:tcPr>
            <w:tcW w:w="1098" w:type="dxa"/>
            <w:vMerge w:val="continue"/>
            <w:vAlign w:val="center"/>
          </w:tcPr>
          <w:p w14:paraId="6D689BF4">
            <w:pPr>
              <w:jc w:val="center"/>
              <w:rPr>
                <w:sz w:val="24"/>
              </w:rPr>
            </w:pPr>
          </w:p>
        </w:tc>
        <w:tc>
          <w:tcPr>
            <w:tcW w:w="2126" w:type="dxa"/>
            <w:vAlign w:val="center"/>
          </w:tcPr>
          <w:p w14:paraId="6133CAB6">
            <w:pPr>
              <w:jc w:val="center"/>
              <w:rPr>
                <w:sz w:val="24"/>
              </w:rPr>
            </w:pPr>
            <w:r>
              <w:rPr>
                <w:kern w:val="0"/>
                <w:sz w:val="24"/>
              </w:rPr>
              <w:t>锯末颗粒</w:t>
            </w:r>
          </w:p>
        </w:tc>
        <w:tc>
          <w:tcPr>
            <w:tcW w:w="2660" w:type="dxa"/>
            <w:vAlign w:val="center"/>
          </w:tcPr>
          <w:p w14:paraId="263914F7">
            <w:pPr>
              <w:jc w:val="center"/>
              <w:rPr>
                <w:sz w:val="24"/>
              </w:rPr>
            </w:pPr>
            <w:r>
              <w:rPr>
                <w:kern w:val="0"/>
                <w:sz w:val="24"/>
              </w:rPr>
              <w:t>外售综合利用</w:t>
            </w:r>
          </w:p>
        </w:tc>
        <w:tc>
          <w:tcPr>
            <w:tcW w:w="2277" w:type="dxa"/>
            <w:vMerge w:val="continue"/>
            <w:vAlign w:val="center"/>
          </w:tcPr>
          <w:p w14:paraId="1AF497B0">
            <w:pPr>
              <w:jc w:val="center"/>
              <w:rPr>
                <w:sz w:val="24"/>
              </w:rPr>
            </w:pPr>
          </w:p>
        </w:tc>
      </w:tr>
      <w:tr w14:paraId="392E3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continue"/>
            <w:vAlign w:val="center"/>
          </w:tcPr>
          <w:p w14:paraId="2A7AA298">
            <w:pPr>
              <w:jc w:val="center"/>
              <w:rPr>
                <w:sz w:val="24"/>
              </w:rPr>
            </w:pPr>
          </w:p>
        </w:tc>
        <w:tc>
          <w:tcPr>
            <w:tcW w:w="1098" w:type="dxa"/>
            <w:vMerge w:val="continue"/>
            <w:vAlign w:val="center"/>
          </w:tcPr>
          <w:p w14:paraId="3DBC62A2">
            <w:pPr>
              <w:jc w:val="center"/>
              <w:rPr>
                <w:kern w:val="0"/>
                <w:sz w:val="24"/>
              </w:rPr>
            </w:pPr>
          </w:p>
        </w:tc>
        <w:tc>
          <w:tcPr>
            <w:tcW w:w="2126" w:type="dxa"/>
            <w:vAlign w:val="center"/>
          </w:tcPr>
          <w:p w14:paraId="7F20AA47">
            <w:pPr>
              <w:jc w:val="center"/>
              <w:rPr>
                <w:sz w:val="24"/>
              </w:rPr>
            </w:pPr>
            <w:r>
              <w:rPr>
                <w:kern w:val="0"/>
                <w:sz w:val="24"/>
              </w:rPr>
              <w:t>废木屑</w:t>
            </w:r>
          </w:p>
        </w:tc>
        <w:tc>
          <w:tcPr>
            <w:tcW w:w="2660" w:type="dxa"/>
            <w:vAlign w:val="center"/>
          </w:tcPr>
          <w:p w14:paraId="1F11C3FC">
            <w:pPr>
              <w:jc w:val="center"/>
              <w:rPr>
                <w:kern w:val="0"/>
                <w:sz w:val="24"/>
              </w:rPr>
            </w:pPr>
            <w:r>
              <w:rPr>
                <w:kern w:val="0"/>
                <w:sz w:val="24"/>
              </w:rPr>
              <w:t>外售综合利用</w:t>
            </w:r>
          </w:p>
        </w:tc>
        <w:tc>
          <w:tcPr>
            <w:tcW w:w="2277" w:type="dxa"/>
            <w:vMerge w:val="continue"/>
            <w:vAlign w:val="center"/>
          </w:tcPr>
          <w:p w14:paraId="2331664C">
            <w:pPr>
              <w:jc w:val="center"/>
              <w:rPr>
                <w:kern w:val="0"/>
                <w:sz w:val="24"/>
              </w:rPr>
            </w:pPr>
          </w:p>
        </w:tc>
      </w:tr>
      <w:tr w14:paraId="25157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continue"/>
            <w:vAlign w:val="center"/>
          </w:tcPr>
          <w:p w14:paraId="2E4F6B88">
            <w:pPr>
              <w:jc w:val="center"/>
              <w:rPr>
                <w:sz w:val="24"/>
              </w:rPr>
            </w:pPr>
          </w:p>
        </w:tc>
        <w:tc>
          <w:tcPr>
            <w:tcW w:w="1098" w:type="dxa"/>
            <w:vMerge w:val="continue"/>
            <w:tcBorders>
              <w:bottom w:val="single" w:color="auto" w:sz="6" w:space="0"/>
            </w:tcBorders>
            <w:vAlign w:val="center"/>
          </w:tcPr>
          <w:p w14:paraId="37DD0830">
            <w:pPr>
              <w:jc w:val="center"/>
              <w:rPr>
                <w:sz w:val="24"/>
              </w:rPr>
            </w:pPr>
          </w:p>
        </w:tc>
        <w:tc>
          <w:tcPr>
            <w:tcW w:w="2126" w:type="dxa"/>
            <w:vAlign w:val="center"/>
          </w:tcPr>
          <w:p w14:paraId="358FF3BA">
            <w:pPr>
              <w:jc w:val="center"/>
              <w:rPr>
                <w:sz w:val="24"/>
              </w:rPr>
            </w:pPr>
            <w:r>
              <w:rPr>
                <w:kern w:val="0"/>
                <w:sz w:val="24"/>
              </w:rPr>
              <w:t>损坏设备零件</w:t>
            </w:r>
          </w:p>
        </w:tc>
        <w:tc>
          <w:tcPr>
            <w:tcW w:w="2660" w:type="dxa"/>
            <w:vAlign w:val="center"/>
          </w:tcPr>
          <w:p w14:paraId="3AD6A483">
            <w:pPr>
              <w:jc w:val="center"/>
              <w:rPr>
                <w:sz w:val="24"/>
              </w:rPr>
            </w:pPr>
            <w:r>
              <w:rPr>
                <w:kern w:val="0"/>
                <w:sz w:val="24"/>
              </w:rPr>
              <w:t>外售综合利用</w:t>
            </w:r>
          </w:p>
        </w:tc>
        <w:tc>
          <w:tcPr>
            <w:tcW w:w="2277" w:type="dxa"/>
            <w:vMerge w:val="continue"/>
            <w:vAlign w:val="center"/>
          </w:tcPr>
          <w:p w14:paraId="6E85FBB0">
            <w:pPr>
              <w:jc w:val="center"/>
              <w:rPr>
                <w:sz w:val="24"/>
              </w:rPr>
            </w:pPr>
          </w:p>
        </w:tc>
      </w:tr>
      <w:tr w14:paraId="47F69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restart"/>
            <w:vAlign w:val="center"/>
          </w:tcPr>
          <w:p w14:paraId="4CF43CB2">
            <w:pPr>
              <w:jc w:val="center"/>
              <w:rPr>
                <w:sz w:val="24"/>
              </w:rPr>
            </w:pPr>
            <w:r>
              <w:rPr>
                <w:rFonts w:hint="eastAsia"/>
                <w:sz w:val="24"/>
              </w:rPr>
              <w:t>噪</w:t>
            </w:r>
          </w:p>
          <w:p w14:paraId="50C96289">
            <w:pPr>
              <w:jc w:val="center"/>
              <w:rPr>
                <w:sz w:val="24"/>
              </w:rPr>
            </w:pPr>
            <w:r>
              <w:rPr>
                <w:rFonts w:hint="eastAsia"/>
                <w:sz w:val="24"/>
              </w:rPr>
              <w:t>声</w:t>
            </w:r>
          </w:p>
        </w:tc>
        <w:tc>
          <w:tcPr>
            <w:tcW w:w="1098" w:type="dxa"/>
            <w:vAlign w:val="center"/>
          </w:tcPr>
          <w:p w14:paraId="58D614DC">
            <w:pPr>
              <w:spacing w:line="400" w:lineRule="exact"/>
              <w:jc w:val="center"/>
              <w:rPr>
                <w:sz w:val="24"/>
              </w:rPr>
            </w:pPr>
            <w:r>
              <w:rPr>
                <w:spacing w:val="-6"/>
                <w:sz w:val="24"/>
              </w:rPr>
              <w:t>施工期</w:t>
            </w:r>
          </w:p>
        </w:tc>
        <w:tc>
          <w:tcPr>
            <w:tcW w:w="2126" w:type="dxa"/>
            <w:vAlign w:val="center"/>
          </w:tcPr>
          <w:p w14:paraId="27EB15C3">
            <w:pPr>
              <w:jc w:val="center"/>
              <w:rPr>
                <w:sz w:val="24"/>
              </w:rPr>
            </w:pPr>
            <w:r>
              <w:rPr>
                <w:sz w:val="24"/>
              </w:rPr>
              <w:t>施工噪声</w:t>
            </w:r>
          </w:p>
        </w:tc>
        <w:tc>
          <w:tcPr>
            <w:tcW w:w="4937" w:type="dxa"/>
            <w:gridSpan w:val="2"/>
            <w:tcBorders>
              <w:top w:val="single" w:color="000000" w:sz="4" w:space="0"/>
            </w:tcBorders>
            <w:vAlign w:val="center"/>
          </w:tcPr>
          <w:p w14:paraId="00AEAB84">
            <w:pPr>
              <w:jc w:val="center"/>
              <w:rPr>
                <w:sz w:val="24"/>
              </w:rPr>
            </w:pPr>
            <w:r>
              <w:rPr>
                <w:sz w:val="24"/>
              </w:rPr>
              <w:t>昼间&lt;70 dB（A），夜间&lt;55 dB（A）</w:t>
            </w:r>
          </w:p>
        </w:tc>
      </w:tr>
      <w:tr w14:paraId="56CC3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continue"/>
            <w:vAlign w:val="center"/>
          </w:tcPr>
          <w:p w14:paraId="58810567">
            <w:pPr>
              <w:jc w:val="center"/>
              <w:rPr>
                <w:sz w:val="24"/>
              </w:rPr>
            </w:pPr>
          </w:p>
        </w:tc>
        <w:tc>
          <w:tcPr>
            <w:tcW w:w="1098" w:type="dxa"/>
            <w:vAlign w:val="center"/>
          </w:tcPr>
          <w:p w14:paraId="68B93228">
            <w:pPr>
              <w:spacing w:line="400" w:lineRule="exact"/>
              <w:jc w:val="center"/>
              <w:rPr>
                <w:sz w:val="24"/>
              </w:rPr>
            </w:pPr>
            <w:r>
              <w:rPr>
                <w:spacing w:val="-6"/>
                <w:sz w:val="24"/>
              </w:rPr>
              <w:t>运营期</w:t>
            </w:r>
          </w:p>
        </w:tc>
        <w:tc>
          <w:tcPr>
            <w:tcW w:w="2126" w:type="dxa"/>
            <w:vAlign w:val="center"/>
          </w:tcPr>
          <w:p w14:paraId="23C61E65">
            <w:pPr>
              <w:jc w:val="center"/>
              <w:rPr>
                <w:sz w:val="24"/>
              </w:rPr>
            </w:pPr>
            <w:r>
              <w:rPr>
                <w:sz w:val="24"/>
              </w:rPr>
              <w:t>设备运行噪声</w:t>
            </w:r>
          </w:p>
        </w:tc>
        <w:tc>
          <w:tcPr>
            <w:tcW w:w="4937" w:type="dxa"/>
            <w:gridSpan w:val="2"/>
            <w:tcBorders>
              <w:top w:val="single" w:color="000000" w:sz="4" w:space="0"/>
            </w:tcBorders>
            <w:vAlign w:val="center"/>
          </w:tcPr>
          <w:p w14:paraId="0288D7D2">
            <w:pPr>
              <w:jc w:val="center"/>
              <w:rPr>
                <w:sz w:val="24"/>
              </w:rPr>
            </w:pPr>
            <w:r>
              <w:rPr>
                <w:sz w:val="24"/>
              </w:rPr>
              <w:t>厂界内：昼间&lt;60dB</w:t>
            </w:r>
            <w:r>
              <w:rPr>
                <w:spacing w:val="-6"/>
                <w:sz w:val="24"/>
              </w:rPr>
              <w:t>（A）</w:t>
            </w:r>
            <w:r>
              <w:rPr>
                <w:sz w:val="24"/>
              </w:rPr>
              <w:t>，夜间&lt;50dB</w:t>
            </w:r>
            <w:r>
              <w:rPr>
                <w:spacing w:val="-6"/>
                <w:sz w:val="24"/>
              </w:rPr>
              <w:t>（A）</w:t>
            </w:r>
          </w:p>
        </w:tc>
      </w:tr>
      <w:tr w14:paraId="3292B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35" w:type="dxa"/>
            <w:gridSpan w:val="5"/>
            <w:vAlign w:val="center"/>
          </w:tcPr>
          <w:p w14:paraId="5A7E0069">
            <w:pPr>
              <w:spacing w:line="360" w:lineRule="auto"/>
              <w:rPr>
                <w:b/>
                <w:bCs/>
                <w:sz w:val="24"/>
              </w:rPr>
            </w:pPr>
            <w:r>
              <w:rPr>
                <w:rFonts w:hint="eastAsia"/>
                <w:b/>
                <w:bCs/>
                <w:sz w:val="24"/>
              </w:rPr>
              <w:t>生态保护措施及预期效果：</w:t>
            </w:r>
          </w:p>
          <w:p w14:paraId="61EF87BC">
            <w:pPr>
              <w:spacing w:line="360" w:lineRule="auto"/>
              <w:ind w:firstLine="480" w:firstLineChars="200"/>
              <w:rPr>
                <w:sz w:val="24"/>
              </w:rPr>
            </w:pPr>
            <w:r>
              <w:rPr>
                <w:rFonts w:hint="eastAsia"/>
                <w:bCs/>
                <w:sz w:val="24"/>
              </w:rPr>
              <w:t>本项目位于峨边彝族自治县平等乡观慈村三组，</w:t>
            </w:r>
            <w:r>
              <w:rPr>
                <w:bCs/>
                <w:sz w:val="24"/>
              </w:rPr>
              <w:t>周边无特殊保护的自然生态保护区和风景名胜区</w:t>
            </w:r>
            <w:r>
              <w:rPr>
                <w:rFonts w:hint="eastAsia"/>
                <w:bCs/>
                <w:sz w:val="24"/>
              </w:rPr>
              <w:t>。项目在现有厂房内进行改建</w:t>
            </w:r>
            <w:r>
              <w:rPr>
                <w:bCs/>
                <w:sz w:val="24"/>
              </w:rPr>
              <w:t>，项目的建设不破坏现有植被，对周边生态环境影响较小。</w:t>
            </w:r>
            <w:r>
              <w:rPr>
                <w:sz w:val="24"/>
              </w:rPr>
              <w:t>项目生产过程中产生的各类污染物均得到有效的处理，不会对周边环境造成污染；本工程对现有的生物群落及动物活动场所不会造成大的影响。区内的动物种类较少，没有珍稀动物的存在，项目的建设不会对动物的活动造成大影响。项目区内的植物也均为常见种类，附近分布很广，项目建设不会造成任何一个物种的灭绝。</w:t>
            </w:r>
          </w:p>
          <w:p w14:paraId="5B73558D">
            <w:pPr>
              <w:spacing w:line="360" w:lineRule="auto"/>
              <w:ind w:firstLine="480" w:firstLineChars="200"/>
              <w:rPr>
                <w:sz w:val="24"/>
              </w:rPr>
            </w:pPr>
            <w:r>
              <w:rPr>
                <w:sz w:val="24"/>
              </w:rPr>
              <w:t>因此，项目的建设对生态环境不会产生较大影响。本项目在营运期对生态环境不会产生明显影响。</w:t>
            </w:r>
          </w:p>
          <w:p w14:paraId="453C1ABF">
            <w:pPr>
              <w:spacing w:line="360" w:lineRule="auto"/>
              <w:ind w:firstLine="480" w:firstLineChars="200"/>
              <w:rPr>
                <w:bCs/>
                <w:sz w:val="24"/>
              </w:rPr>
            </w:pPr>
          </w:p>
          <w:p w14:paraId="2DDAE190">
            <w:pPr>
              <w:spacing w:line="360" w:lineRule="auto"/>
              <w:ind w:firstLine="480" w:firstLineChars="200"/>
              <w:rPr>
                <w:bCs/>
                <w:sz w:val="24"/>
              </w:rPr>
            </w:pPr>
          </w:p>
          <w:p w14:paraId="410C126D">
            <w:pPr>
              <w:spacing w:line="360" w:lineRule="auto"/>
              <w:ind w:firstLine="480" w:firstLineChars="200"/>
              <w:rPr>
                <w:bCs/>
                <w:sz w:val="24"/>
              </w:rPr>
            </w:pPr>
          </w:p>
          <w:p w14:paraId="27AADC42">
            <w:pPr>
              <w:spacing w:line="360" w:lineRule="auto"/>
              <w:ind w:firstLine="480" w:firstLineChars="200"/>
              <w:rPr>
                <w:bCs/>
                <w:sz w:val="24"/>
              </w:rPr>
            </w:pPr>
          </w:p>
          <w:p w14:paraId="5D1173BA">
            <w:pPr>
              <w:spacing w:line="360" w:lineRule="auto"/>
              <w:ind w:firstLine="480" w:firstLineChars="200"/>
              <w:rPr>
                <w:bCs/>
                <w:sz w:val="24"/>
              </w:rPr>
            </w:pPr>
          </w:p>
          <w:p w14:paraId="70F5C52C">
            <w:pPr>
              <w:spacing w:line="360" w:lineRule="auto"/>
              <w:ind w:firstLine="480" w:firstLineChars="200"/>
              <w:rPr>
                <w:bCs/>
                <w:sz w:val="24"/>
              </w:rPr>
            </w:pPr>
          </w:p>
          <w:p w14:paraId="77E02B8B">
            <w:pPr>
              <w:spacing w:line="360" w:lineRule="auto"/>
              <w:ind w:firstLine="480" w:firstLineChars="200"/>
              <w:rPr>
                <w:bCs/>
                <w:sz w:val="24"/>
              </w:rPr>
            </w:pPr>
          </w:p>
          <w:p w14:paraId="2F73CE28">
            <w:pPr>
              <w:spacing w:line="360" w:lineRule="auto"/>
              <w:ind w:firstLine="480" w:firstLineChars="200"/>
              <w:rPr>
                <w:bCs/>
                <w:sz w:val="24"/>
              </w:rPr>
            </w:pPr>
          </w:p>
          <w:p w14:paraId="727D2779">
            <w:pPr>
              <w:spacing w:line="360" w:lineRule="auto"/>
              <w:ind w:firstLine="480" w:firstLineChars="200"/>
              <w:rPr>
                <w:bCs/>
                <w:sz w:val="24"/>
              </w:rPr>
            </w:pPr>
          </w:p>
          <w:p w14:paraId="7546A931">
            <w:pPr>
              <w:spacing w:line="360" w:lineRule="auto"/>
              <w:ind w:firstLine="480" w:firstLineChars="200"/>
              <w:rPr>
                <w:bCs/>
                <w:sz w:val="24"/>
              </w:rPr>
            </w:pPr>
          </w:p>
          <w:p w14:paraId="49F4E163">
            <w:pPr>
              <w:spacing w:line="360" w:lineRule="auto"/>
              <w:ind w:firstLine="480" w:firstLineChars="200"/>
              <w:rPr>
                <w:bCs/>
                <w:sz w:val="24"/>
              </w:rPr>
            </w:pPr>
          </w:p>
          <w:p w14:paraId="3D522827">
            <w:pPr>
              <w:spacing w:line="360" w:lineRule="auto"/>
              <w:ind w:firstLine="480" w:firstLineChars="200"/>
              <w:rPr>
                <w:bCs/>
                <w:sz w:val="24"/>
              </w:rPr>
            </w:pPr>
          </w:p>
          <w:p w14:paraId="0875F1AA">
            <w:pPr>
              <w:spacing w:line="360" w:lineRule="auto"/>
              <w:ind w:firstLine="480" w:firstLineChars="200"/>
              <w:rPr>
                <w:bCs/>
                <w:sz w:val="24"/>
              </w:rPr>
            </w:pPr>
          </w:p>
          <w:p w14:paraId="2BE3E20B">
            <w:pPr>
              <w:spacing w:line="360" w:lineRule="auto"/>
              <w:ind w:firstLine="480" w:firstLineChars="200"/>
              <w:rPr>
                <w:bCs/>
                <w:sz w:val="24"/>
              </w:rPr>
            </w:pPr>
          </w:p>
          <w:p w14:paraId="6767E00B">
            <w:pPr>
              <w:spacing w:line="360" w:lineRule="auto"/>
              <w:ind w:firstLine="480" w:firstLineChars="200"/>
              <w:rPr>
                <w:bCs/>
                <w:sz w:val="24"/>
              </w:rPr>
            </w:pPr>
          </w:p>
          <w:p w14:paraId="1919F0D2">
            <w:pPr>
              <w:spacing w:line="360" w:lineRule="auto"/>
              <w:ind w:firstLine="480" w:firstLineChars="200"/>
              <w:rPr>
                <w:bCs/>
                <w:sz w:val="24"/>
              </w:rPr>
            </w:pPr>
          </w:p>
          <w:p w14:paraId="746D1CA4">
            <w:pPr>
              <w:spacing w:line="360" w:lineRule="auto"/>
              <w:ind w:firstLine="480" w:firstLineChars="200"/>
              <w:rPr>
                <w:bCs/>
                <w:sz w:val="24"/>
              </w:rPr>
            </w:pPr>
          </w:p>
          <w:p w14:paraId="62F7FBA5">
            <w:pPr>
              <w:spacing w:line="360" w:lineRule="auto"/>
              <w:ind w:firstLine="480" w:firstLineChars="200"/>
              <w:rPr>
                <w:bCs/>
                <w:sz w:val="24"/>
              </w:rPr>
            </w:pPr>
          </w:p>
          <w:p w14:paraId="1DAE35E7">
            <w:pPr>
              <w:spacing w:line="360" w:lineRule="auto"/>
              <w:ind w:firstLine="480" w:firstLineChars="200"/>
              <w:rPr>
                <w:bCs/>
                <w:sz w:val="24"/>
              </w:rPr>
            </w:pPr>
          </w:p>
          <w:p w14:paraId="79AAC24C">
            <w:pPr>
              <w:spacing w:line="360" w:lineRule="auto"/>
              <w:ind w:firstLine="480" w:firstLineChars="200"/>
              <w:rPr>
                <w:bCs/>
                <w:sz w:val="24"/>
              </w:rPr>
            </w:pPr>
          </w:p>
          <w:p w14:paraId="662BFBB9">
            <w:pPr>
              <w:spacing w:line="360" w:lineRule="auto"/>
              <w:ind w:firstLine="480" w:firstLineChars="200"/>
              <w:rPr>
                <w:bCs/>
                <w:sz w:val="24"/>
              </w:rPr>
            </w:pPr>
          </w:p>
          <w:p w14:paraId="74E532FC">
            <w:pPr>
              <w:spacing w:line="360" w:lineRule="auto"/>
              <w:ind w:firstLine="480" w:firstLineChars="200"/>
              <w:rPr>
                <w:bCs/>
                <w:sz w:val="24"/>
              </w:rPr>
            </w:pPr>
          </w:p>
          <w:p w14:paraId="50429DBE">
            <w:pPr>
              <w:spacing w:line="360" w:lineRule="auto"/>
              <w:ind w:firstLine="480" w:firstLineChars="200"/>
              <w:rPr>
                <w:bCs/>
                <w:sz w:val="24"/>
              </w:rPr>
            </w:pPr>
          </w:p>
          <w:p w14:paraId="70E09B76">
            <w:pPr>
              <w:spacing w:line="360" w:lineRule="auto"/>
              <w:ind w:firstLine="480" w:firstLineChars="200"/>
              <w:rPr>
                <w:bCs/>
                <w:sz w:val="24"/>
              </w:rPr>
            </w:pPr>
          </w:p>
          <w:p w14:paraId="1B792465">
            <w:pPr>
              <w:spacing w:line="360" w:lineRule="auto"/>
              <w:ind w:firstLine="480" w:firstLineChars="200"/>
              <w:rPr>
                <w:bCs/>
                <w:sz w:val="24"/>
              </w:rPr>
            </w:pPr>
          </w:p>
          <w:p w14:paraId="748B3AF2">
            <w:pPr>
              <w:spacing w:line="360" w:lineRule="auto"/>
              <w:ind w:firstLine="480" w:firstLineChars="200"/>
              <w:rPr>
                <w:bCs/>
                <w:sz w:val="24"/>
              </w:rPr>
            </w:pPr>
          </w:p>
          <w:p w14:paraId="072BB385">
            <w:pPr>
              <w:spacing w:line="360" w:lineRule="auto"/>
              <w:ind w:firstLine="480" w:firstLineChars="200"/>
              <w:rPr>
                <w:bCs/>
                <w:sz w:val="24"/>
              </w:rPr>
            </w:pPr>
          </w:p>
        </w:tc>
      </w:tr>
    </w:tbl>
    <w:p w14:paraId="35AA9AC5">
      <w:pPr>
        <w:pStyle w:val="2"/>
        <w:spacing w:before="0" w:after="0"/>
        <w:rPr>
          <w:b w:val="0"/>
          <w:sz w:val="32"/>
          <w:szCs w:val="32"/>
        </w:rPr>
      </w:pPr>
      <w:r>
        <w:rPr>
          <w:b w:val="0"/>
          <w:sz w:val="32"/>
          <w:szCs w:val="32"/>
        </w:rPr>
        <w:br w:type="page"/>
      </w:r>
      <w:r>
        <w:rPr>
          <w:rFonts w:hint="eastAsia"/>
          <w:bCs w:val="0"/>
          <w:kern w:val="2"/>
          <w:sz w:val="32"/>
          <w:szCs w:val="32"/>
        </w:rPr>
        <w:t>结论与建议</w:t>
      </w:r>
      <w:r>
        <w:rPr>
          <w:bCs w:val="0"/>
          <w:kern w:val="2"/>
          <w:sz w:val="32"/>
          <w:szCs w:val="32"/>
        </w:rPr>
        <w:t xml:space="preserve"> </w:t>
      </w:r>
      <w:r>
        <w:rPr>
          <w:bCs w:val="0"/>
          <w:sz w:val="32"/>
          <w:szCs w:val="32"/>
        </w:rPr>
        <w:t xml:space="preserve">                                   </w:t>
      </w:r>
      <w:r>
        <w:rPr>
          <w:rFonts w:hint="eastAsia"/>
          <w:bCs w:val="0"/>
          <w:sz w:val="32"/>
          <w:szCs w:val="32"/>
          <w:lang w:eastAsia="zh-CN"/>
        </w:rPr>
        <w:t>（</w:t>
      </w:r>
      <w:r>
        <w:rPr>
          <w:rFonts w:hint="eastAsia"/>
          <w:bCs w:val="0"/>
          <w:sz w:val="30"/>
          <w:szCs w:val="30"/>
        </w:rPr>
        <w:t>表九</w:t>
      </w:r>
      <w:r>
        <w:rPr>
          <w:rFonts w:hint="eastAsia"/>
          <w:bCs w:val="0"/>
          <w:sz w:val="30"/>
          <w:szCs w:val="30"/>
          <w:lang w:eastAsia="zh-CN"/>
        </w:rPr>
        <w:t>）</w:t>
      </w:r>
    </w:p>
    <w:tbl>
      <w:tblPr>
        <w:tblStyle w:val="2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072"/>
      </w:tblGrid>
      <w:tr w14:paraId="699DE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072" w:type="dxa"/>
          </w:tcPr>
          <w:p w14:paraId="6D004CFB">
            <w:pPr>
              <w:spacing w:line="360" w:lineRule="auto"/>
              <w:rPr>
                <w:b/>
                <w:bCs/>
                <w:sz w:val="28"/>
                <w:szCs w:val="28"/>
              </w:rPr>
            </w:pPr>
            <w:r>
              <w:rPr>
                <w:rFonts w:hint="eastAsia"/>
                <w:b/>
                <w:bCs/>
                <w:sz w:val="28"/>
                <w:szCs w:val="28"/>
              </w:rPr>
              <w:t>一、结论</w:t>
            </w:r>
          </w:p>
          <w:p w14:paraId="3F963C15">
            <w:pPr>
              <w:spacing w:line="360" w:lineRule="auto"/>
              <w:ind w:firstLine="480" w:firstLineChars="200"/>
              <w:textAlignment w:val="baseline"/>
              <w:rPr>
                <w:sz w:val="24"/>
              </w:rPr>
            </w:pPr>
            <w:r>
              <w:rPr>
                <w:rFonts w:hint="eastAsia"/>
                <w:bCs/>
                <w:sz w:val="24"/>
              </w:rPr>
              <w:t>峨边永亮木材加工厂新建项目选址峨边彝族自治县平等乡观慈村三组（中心坐标东经：</w:t>
            </w:r>
            <w:r>
              <w:rPr>
                <w:bCs/>
                <w:sz w:val="24"/>
              </w:rPr>
              <w:t>103.5304°</w:t>
            </w:r>
            <w:r>
              <w:rPr>
                <w:rFonts w:hint="eastAsia"/>
                <w:bCs/>
                <w:sz w:val="24"/>
              </w:rPr>
              <w:t>，北纬：</w:t>
            </w:r>
            <w:r>
              <w:rPr>
                <w:bCs/>
                <w:sz w:val="24"/>
              </w:rPr>
              <w:t>29.1505°</w:t>
            </w:r>
            <w:r>
              <w:rPr>
                <w:rFonts w:hint="eastAsia"/>
                <w:bCs/>
                <w:sz w:val="24"/>
              </w:rPr>
              <w:t>），项目拟建地块的土地使用权类型为建设用地。</w:t>
            </w:r>
            <w:r>
              <w:rPr>
                <w:rFonts w:hint="eastAsia"/>
                <w:sz w:val="24"/>
              </w:rPr>
              <w:t>本项目利用自有建设用地</w:t>
            </w:r>
            <w:r>
              <w:rPr>
                <w:kern w:val="0"/>
                <w:sz w:val="24"/>
              </w:rPr>
              <w:t>6101.1m</w:t>
            </w:r>
            <w:r>
              <w:rPr>
                <w:kern w:val="0"/>
                <w:sz w:val="24"/>
                <w:vertAlign w:val="superscript"/>
              </w:rPr>
              <w:t>2</w:t>
            </w:r>
            <w:r>
              <w:rPr>
                <w:rFonts w:hint="eastAsia"/>
                <w:sz w:val="24"/>
              </w:rPr>
              <w:t>，新建</w:t>
            </w:r>
            <w:r>
              <w:rPr>
                <w:rFonts w:hint="eastAsia"/>
                <w:bCs/>
                <w:sz w:val="24"/>
              </w:rPr>
              <w:t>木材粗加工项目</w:t>
            </w:r>
            <w:r>
              <w:rPr>
                <w:rFonts w:hint="eastAsia"/>
                <w:sz w:val="24"/>
              </w:rPr>
              <w:t>，配套建设抓木机、圆木机、边皮锯、多片锯、带锯、修边锯、削片机、圆盘锯、叉车等生产设备及配套附属设备，形成年产粗加工木材</w:t>
            </w:r>
            <w:r>
              <w:rPr>
                <w:sz w:val="24"/>
              </w:rPr>
              <w:t>15000</w:t>
            </w:r>
            <w:r>
              <w:rPr>
                <w:rFonts w:hint="eastAsia"/>
                <w:sz w:val="24"/>
              </w:rPr>
              <w:t>立方米的产能。</w:t>
            </w:r>
            <w:r>
              <w:rPr>
                <w:rFonts w:hint="eastAsia"/>
                <w:bCs/>
                <w:sz w:val="24"/>
              </w:rPr>
              <w:t>经过评价形成结论如下：</w:t>
            </w:r>
          </w:p>
          <w:p w14:paraId="018BD80F">
            <w:pPr>
              <w:spacing w:line="360" w:lineRule="auto"/>
              <w:ind w:firstLine="480" w:firstLineChars="200"/>
              <w:rPr>
                <w:b/>
                <w:sz w:val="24"/>
              </w:rPr>
            </w:pPr>
            <w:r>
              <w:rPr>
                <w:b/>
                <w:sz w:val="24"/>
              </w:rPr>
              <w:t>1</w:t>
            </w:r>
            <w:r>
              <w:rPr>
                <w:rFonts w:hint="eastAsia"/>
                <w:b/>
                <w:sz w:val="24"/>
              </w:rPr>
              <w:t>、政策符合性</w:t>
            </w:r>
          </w:p>
          <w:p w14:paraId="3DB8D3D1">
            <w:pPr>
              <w:widowControl/>
              <w:spacing w:line="360" w:lineRule="auto"/>
              <w:ind w:firstLine="480" w:firstLineChars="200"/>
              <w:rPr>
                <w:sz w:val="24"/>
              </w:rPr>
            </w:pPr>
            <w:r>
              <w:rPr>
                <w:rFonts w:hint="eastAsia"/>
                <w:sz w:val="24"/>
              </w:rPr>
              <w:t>根据国民经济行业分类与代码（</w:t>
            </w:r>
            <w:r>
              <w:rPr>
                <w:sz w:val="24"/>
              </w:rPr>
              <w:t>GB/T4754</w:t>
            </w:r>
            <w:r>
              <w:rPr>
                <w:rFonts w:hint="eastAsia"/>
                <w:sz w:val="24"/>
              </w:rPr>
              <w:t>－</w:t>
            </w:r>
            <w:r>
              <w:rPr>
                <w:sz w:val="24"/>
              </w:rPr>
              <w:t>2011</w:t>
            </w:r>
            <w:r>
              <w:rPr>
                <w:rFonts w:hint="eastAsia"/>
                <w:sz w:val="24"/>
              </w:rPr>
              <w:t>），本项目属于</w:t>
            </w:r>
            <w:r>
              <w:rPr>
                <w:rFonts w:hint="eastAsia"/>
                <w:b/>
                <w:sz w:val="24"/>
              </w:rPr>
              <w:t>C2011锯材加工</w:t>
            </w:r>
            <w:r>
              <w:rPr>
                <w:rFonts w:hint="eastAsia"/>
                <w:sz w:val="24"/>
              </w:rPr>
              <w:t>，根据</w:t>
            </w:r>
            <w:r>
              <w:rPr>
                <w:rFonts w:hint="eastAsia"/>
                <w:sz w:val="24"/>
                <w:lang w:eastAsia="zh-CN"/>
              </w:rPr>
              <w:t>中华人民共和国</w:t>
            </w:r>
            <w:r>
              <w:rPr>
                <w:rFonts w:hint="eastAsia"/>
                <w:sz w:val="24"/>
              </w:rPr>
              <w:t>国家发展和改革委员会</w:t>
            </w:r>
            <w:r>
              <w:rPr>
                <w:sz w:val="24"/>
              </w:rPr>
              <w:t xml:space="preserve"> </w:t>
            </w:r>
            <w:r>
              <w:rPr>
                <w:rFonts w:hint="eastAsia"/>
                <w:sz w:val="24"/>
              </w:rPr>
              <w:t>第</w:t>
            </w:r>
            <w:r>
              <w:rPr>
                <w:sz w:val="24"/>
              </w:rPr>
              <w:t xml:space="preserve"> 29 </w:t>
            </w:r>
            <w:r>
              <w:rPr>
                <w:rFonts w:hint="eastAsia"/>
                <w:sz w:val="24"/>
              </w:rPr>
              <w:t>号令</w:t>
            </w:r>
            <w:r>
              <w:rPr>
                <w:sz w:val="24"/>
              </w:rPr>
              <w:t xml:space="preserve"> </w:t>
            </w:r>
            <w:r>
              <w:rPr>
                <w:rFonts w:hint="eastAsia"/>
                <w:sz w:val="24"/>
              </w:rPr>
              <w:t>《国产业结构调整指导目录（</w:t>
            </w:r>
            <w:r>
              <w:rPr>
                <w:sz w:val="24"/>
              </w:rPr>
              <w:t>2019</w:t>
            </w:r>
            <w:r>
              <w:rPr>
                <w:rFonts w:hint="eastAsia"/>
                <w:sz w:val="24"/>
              </w:rPr>
              <w:t>年本）》，本项目产品为枕木等非一次性木制品，不属于“限制类</w:t>
            </w:r>
            <w:r>
              <w:rPr>
                <w:sz w:val="24"/>
              </w:rPr>
              <w:t xml:space="preserve"> </w:t>
            </w:r>
            <w:r>
              <w:rPr>
                <w:rFonts w:hint="eastAsia"/>
                <w:sz w:val="24"/>
              </w:rPr>
              <w:t xml:space="preserve">一、农林类 </w:t>
            </w:r>
            <w:r>
              <w:rPr>
                <w:sz w:val="24"/>
              </w:rPr>
              <w:t>8</w:t>
            </w:r>
            <w:r>
              <w:rPr>
                <w:rFonts w:hint="eastAsia"/>
                <w:sz w:val="24"/>
              </w:rPr>
              <w:t>、以优质林木为原料的一次性木制品与木制包装的生产和使用以及木竹加工综合利用率偏低的木竹加工项目”。因此，本项目不属于鼓励类、限制类、淘汰类。根据国务院《促进产业结构调整暂行规定》（国发</w:t>
            </w:r>
            <w:r>
              <w:rPr>
                <w:rFonts w:hint="eastAsia"/>
                <w:sz w:val="24"/>
                <w:lang w:eastAsia="zh-CN"/>
              </w:rPr>
              <w:t>〔2005〕40号</w:t>
            </w:r>
            <w:r>
              <w:rPr>
                <w:rFonts w:hint="eastAsia"/>
                <w:sz w:val="24"/>
              </w:rPr>
              <w:t>）第十三条“不属于鼓励类、限制类和淘汰类，且符合国家有关</w:t>
            </w:r>
            <w:r>
              <w:rPr>
                <w:rFonts w:hint="eastAsia"/>
                <w:sz w:val="24"/>
                <w:lang w:eastAsia="zh-CN"/>
              </w:rPr>
              <w:t>法律法规</w:t>
            </w:r>
            <w:r>
              <w:rPr>
                <w:rFonts w:hint="eastAsia"/>
                <w:sz w:val="24"/>
              </w:rPr>
              <w:t>和政策规定，为允许类”，因此，本项目属于</w:t>
            </w:r>
            <w:r>
              <w:rPr>
                <w:rFonts w:hint="eastAsia"/>
                <w:b/>
                <w:bCs/>
                <w:sz w:val="24"/>
              </w:rPr>
              <w:t>允许类</w:t>
            </w:r>
            <w:r>
              <w:rPr>
                <w:rFonts w:hint="eastAsia"/>
                <w:sz w:val="24"/>
              </w:rPr>
              <w:t>。</w:t>
            </w:r>
          </w:p>
          <w:p w14:paraId="76A2D6A8">
            <w:pPr>
              <w:widowControl/>
              <w:spacing w:line="360" w:lineRule="auto"/>
              <w:ind w:firstLine="480" w:firstLineChars="200"/>
              <w:rPr>
                <w:sz w:val="24"/>
              </w:rPr>
            </w:pPr>
            <w:r>
              <w:rPr>
                <w:rFonts w:hint="eastAsia"/>
                <w:sz w:val="24"/>
              </w:rPr>
              <w:t>同时，峨边彝族自治县发展和改革局以《四川省技术改造投资项目备案表》（</w:t>
            </w:r>
            <w:r>
              <w:rPr>
                <w:rFonts w:hint="eastAsia"/>
                <w:spacing w:val="-6"/>
                <w:kern w:val="0"/>
                <w:sz w:val="24"/>
              </w:rPr>
              <w:t>川投资备【2017-511132-02-03-225992】FGQB-0138号</w:t>
            </w:r>
            <w:r>
              <w:rPr>
                <w:rFonts w:hint="eastAsia"/>
                <w:sz w:val="24"/>
              </w:rPr>
              <w:t>）对本项目进行立项，允许本项目实施。具体见附件</w:t>
            </w:r>
            <w:r>
              <w:rPr>
                <w:sz w:val="24"/>
              </w:rPr>
              <w:t>2</w:t>
            </w:r>
            <w:r>
              <w:rPr>
                <w:rFonts w:hint="eastAsia"/>
                <w:sz w:val="24"/>
              </w:rPr>
              <w:t>。</w:t>
            </w:r>
          </w:p>
          <w:p w14:paraId="12DAA2A0">
            <w:pPr>
              <w:widowControl/>
              <w:spacing w:line="360" w:lineRule="auto"/>
              <w:ind w:firstLine="480" w:firstLineChars="200"/>
              <w:rPr>
                <w:b/>
                <w:sz w:val="24"/>
              </w:rPr>
            </w:pPr>
            <w:r>
              <w:rPr>
                <w:rFonts w:hint="eastAsia"/>
                <w:b/>
                <w:sz w:val="24"/>
              </w:rPr>
              <w:t>综上所述，本项目的建设符合国家现行的产业政策。</w:t>
            </w:r>
          </w:p>
          <w:p w14:paraId="689D959C">
            <w:pPr>
              <w:spacing w:line="360" w:lineRule="auto"/>
              <w:ind w:firstLine="480" w:firstLineChars="200"/>
              <w:rPr>
                <w:b/>
                <w:sz w:val="24"/>
              </w:rPr>
            </w:pPr>
            <w:r>
              <w:rPr>
                <w:b/>
                <w:sz w:val="24"/>
              </w:rPr>
              <w:t>2</w:t>
            </w:r>
            <w:r>
              <w:rPr>
                <w:rFonts w:hint="eastAsia"/>
                <w:b/>
                <w:sz w:val="24"/>
              </w:rPr>
              <w:t>、规划选址合理性分析</w:t>
            </w:r>
          </w:p>
          <w:p w14:paraId="00817870">
            <w:pPr>
              <w:spacing w:line="360" w:lineRule="auto"/>
              <w:ind w:firstLine="480" w:firstLineChars="200"/>
              <w:rPr>
                <w:sz w:val="24"/>
              </w:rPr>
            </w:pPr>
            <w:r>
              <w:rPr>
                <w:rFonts w:hint="eastAsia"/>
                <w:bCs/>
                <w:sz w:val="24"/>
              </w:rPr>
              <w:t>项目选址峨边彝族自治县平等乡观慈村三组（中心坐标东经：</w:t>
            </w:r>
            <w:r>
              <w:rPr>
                <w:bCs/>
                <w:sz w:val="24"/>
              </w:rPr>
              <w:t>103.5304°</w:t>
            </w:r>
            <w:r>
              <w:rPr>
                <w:rFonts w:hint="eastAsia"/>
                <w:bCs/>
                <w:sz w:val="24"/>
              </w:rPr>
              <w:t>，北纬：</w:t>
            </w:r>
            <w:r>
              <w:rPr>
                <w:bCs/>
                <w:sz w:val="24"/>
              </w:rPr>
              <w:t>29.1505°</w:t>
            </w:r>
            <w:r>
              <w:rPr>
                <w:rFonts w:hint="eastAsia"/>
                <w:bCs/>
                <w:sz w:val="24"/>
              </w:rPr>
              <w:t>），</w:t>
            </w:r>
            <w:r>
              <w:rPr>
                <w:rFonts w:hint="eastAsia"/>
                <w:sz w:val="24"/>
              </w:rPr>
              <w:t>利用现有自有场地进行建设</w:t>
            </w:r>
            <w:r>
              <w:rPr>
                <w:rFonts w:hint="eastAsia"/>
                <w:bCs/>
                <w:sz w:val="24"/>
              </w:rPr>
              <w:t>。本项目拟建地块的土地使用权类型为建设用地，因此本项目的建设符合用地性质。</w:t>
            </w:r>
            <w:r>
              <w:rPr>
                <w:rFonts w:hint="eastAsia"/>
                <w:sz w:val="24"/>
              </w:rPr>
              <w:t>经分析符合</w:t>
            </w:r>
            <w:r>
              <w:rPr>
                <w:sz w:val="24"/>
              </w:rPr>
              <w:t>“</w:t>
            </w:r>
            <w:r>
              <w:rPr>
                <w:rFonts w:hint="eastAsia"/>
                <w:sz w:val="24"/>
              </w:rPr>
              <w:t>三线一单</w:t>
            </w:r>
            <w:r>
              <w:rPr>
                <w:sz w:val="24"/>
              </w:rPr>
              <w:t>”</w:t>
            </w:r>
            <w:r>
              <w:rPr>
                <w:rFonts w:hint="eastAsia"/>
                <w:sz w:val="24"/>
              </w:rPr>
              <w:t>制度和“</w:t>
            </w:r>
            <w:r>
              <w:rPr>
                <w:rFonts w:hint="eastAsia"/>
                <w:bCs/>
                <w:sz w:val="24"/>
              </w:rPr>
              <w:t>乐山市打赢蓝天保卫战等九个实施方案</w:t>
            </w:r>
            <w:r>
              <w:rPr>
                <w:rFonts w:hint="eastAsia"/>
                <w:sz w:val="24"/>
              </w:rPr>
              <w:t>”要求，项目外环境关系简单，项目周边外环境关系简单，本项目主要为锯材加工项目，利用现有已建厂房、设备，不进行大型土建工程；本项目仅进行原木物理加工，无脱脂烘干工艺，无上漆工艺，项目对环境的影响主要为噪声，经采取环保措施后，能实现达标排放。</w:t>
            </w:r>
          </w:p>
          <w:p w14:paraId="57DDC786">
            <w:pPr>
              <w:spacing w:line="360" w:lineRule="auto"/>
              <w:ind w:right="77" w:rightChars="37" w:firstLine="480" w:firstLineChars="200"/>
              <w:rPr>
                <w:sz w:val="24"/>
              </w:rPr>
            </w:pPr>
            <w:r>
              <w:rPr>
                <w:rFonts w:hint="eastAsia"/>
                <w:sz w:val="24"/>
              </w:rPr>
              <w:t>另外，</w:t>
            </w:r>
            <w:r>
              <w:rPr>
                <w:rFonts w:hint="eastAsia"/>
                <w:kern w:val="0"/>
                <w:sz w:val="24"/>
              </w:rPr>
              <w:t>项目区域交通较为完善，</w:t>
            </w:r>
            <w:r>
              <w:rPr>
                <w:rFonts w:hint="eastAsia"/>
                <w:sz w:val="24"/>
              </w:rPr>
              <w:t>项目</w:t>
            </w:r>
            <w:r>
              <w:rPr>
                <w:rFonts w:hint="eastAsia"/>
                <w:kern w:val="0"/>
                <w:sz w:val="24"/>
              </w:rPr>
              <w:t>选址无明显的环境制约因素，本工程评价区域内不涉及生态保护区、自然保护区、风景旅游区等环境敏感区，</w:t>
            </w:r>
            <w:r>
              <w:rPr>
                <w:rFonts w:hint="eastAsia"/>
                <w:sz w:val="24"/>
              </w:rPr>
              <w:t>从环保角度看该项目</w:t>
            </w:r>
            <w:r>
              <w:rPr>
                <w:rFonts w:hint="eastAsia"/>
                <w:b/>
                <w:sz w:val="24"/>
              </w:rPr>
              <w:t>选址合理</w:t>
            </w:r>
            <w:r>
              <w:rPr>
                <w:rFonts w:hint="eastAsia"/>
                <w:sz w:val="24"/>
              </w:rPr>
              <w:t>。</w:t>
            </w:r>
          </w:p>
          <w:p w14:paraId="723C56EC">
            <w:pPr>
              <w:spacing w:line="360" w:lineRule="auto"/>
              <w:ind w:right="77" w:rightChars="37" w:firstLine="480" w:firstLineChars="200"/>
              <w:rPr>
                <w:sz w:val="24"/>
                <w:u w:val="single"/>
              </w:rPr>
            </w:pPr>
            <w:r>
              <w:rPr>
                <w:rFonts w:hint="eastAsia"/>
                <w:sz w:val="24"/>
              </w:rPr>
              <w:t>综上所述，项目选址无明显的环境制约因素，从环保角度看该项目选址合理。</w:t>
            </w:r>
          </w:p>
          <w:p w14:paraId="0FDF9B44">
            <w:pPr>
              <w:spacing w:line="360" w:lineRule="auto"/>
              <w:ind w:firstLine="480" w:firstLineChars="200"/>
              <w:rPr>
                <w:b/>
                <w:sz w:val="24"/>
              </w:rPr>
            </w:pPr>
            <w:r>
              <w:rPr>
                <w:b/>
                <w:sz w:val="24"/>
              </w:rPr>
              <w:t>3</w:t>
            </w:r>
            <w:r>
              <w:rPr>
                <w:rFonts w:hint="eastAsia"/>
                <w:b/>
                <w:sz w:val="24"/>
              </w:rPr>
              <w:t>、区域环境质量状况结论</w:t>
            </w:r>
          </w:p>
          <w:p w14:paraId="1054392D">
            <w:pPr>
              <w:spacing w:line="360" w:lineRule="auto"/>
              <w:ind w:firstLine="480" w:firstLineChars="200"/>
              <w:rPr>
                <w:sz w:val="24"/>
              </w:rPr>
            </w:pPr>
            <w:r>
              <w:rPr>
                <w:rFonts w:hint="eastAsia"/>
                <w:sz w:val="24"/>
              </w:rPr>
              <w:t>（</w:t>
            </w:r>
            <w:r>
              <w:rPr>
                <w:sz w:val="24"/>
              </w:rPr>
              <w:t>1</w:t>
            </w:r>
            <w:r>
              <w:rPr>
                <w:rFonts w:hint="eastAsia"/>
                <w:sz w:val="24"/>
              </w:rPr>
              <w:t>）大气环境</w:t>
            </w:r>
          </w:p>
          <w:p w14:paraId="06739EF2">
            <w:pPr>
              <w:adjustRightInd w:val="0"/>
              <w:snapToGrid w:val="0"/>
              <w:spacing w:line="360" w:lineRule="auto"/>
              <w:ind w:right="77" w:rightChars="37" w:firstLine="480" w:firstLineChars="200"/>
              <w:jc w:val="left"/>
              <w:rPr>
                <w:sz w:val="24"/>
              </w:rPr>
            </w:pPr>
            <w:r>
              <w:rPr>
                <w:sz w:val="24"/>
              </w:rPr>
              <w:t>根据《乐山市2019年环境质量公报》全市11个</w:t>
            </w:r>
            <w:r>
              <w:rPr>
                <w:rFonts w:hint="eastAsia"/>
                <w:sz w:val="24"/>
                <w:lang w:eastAsia="zh-CN"/>
              </w:rPr>
              <w:t>县（市、区）</w:t>
            </w:r>
            <w:r>
              <w:rPr>
                <w:sz w:val="24"/>
              </w:rPr>
              <w:t>环境空气中二氧化硫、二氧化氮、臭氧</w:t>
            </w:r>
            <w:r>
              <w:rPr>
                <w:rFonts w:hint="eastAsia"/>
                <w:sz w:val="24"/>
              </w:rPr>
              <w:t>、</w:t>
            </w:r>
            <w:r>
              <w:rPr>
                <w:sz w:val="24"/>
              </w:rPr>
              <w:t>一氧化碳和</w:t>
            </w:r>
            <w:r>
              <w:rPr>
                <w:rFonts w:hint="eastAsia"/>
                <w:sz w:val="24"/>
              </w:rPr>
              <w:t>可吸入颗粒物</w:t>
            </w:r>
            <w:r>
              <w:rPr>
                <w:sz w:val="24"/>
              </w:rPr>
              <w:t>年均浓度分别为12.9μg/m</w:t>
            </w:r>
            <w:r>
              <w:rPr>
                <w:sz w:val="24"/>
                <w:vertAlign w:val="superscript"/>
              </w:rPr>
              <w:t>3</w:t>
            </w:r>
            <w:r>
              <w:rPr>
                <w:sz w:val="24"/>
              </w:rPr>
              <w:t>、24.0μg/m</w:t>
            </w:r>
            <w:r>
              <w:rPr>
                <w:sz w:val="24"/>
                <w:vertAlign w:val="superscript"/>
              </w:rPr>
              <w:t>3</w:t>
            </w:r>
            <w:r>
              <w:rPr>
                <w:sz w:val="24"/>
              </w:rPr>
              <w:t>、121.4μg/m</w:t>
            </w:r>
            <w:r>
              <w:rPr>
                <w:sz w:val="24"/>
                <w:vertAlign w:val="superscript"/>
              </w:rPr>
              <w:t>3</w:t>
            </w:r>
            <w:r>
              <w:rPr>
                <w:rFonts w:hint="eastAsia"/>
                <w:sz w:val="24"/>
              </w:rPr>
              <w:t>、</w:t>
            </w:r>
            <w:r>
              <w:rPr>
                <w:sz w:val="24"/>
              </w:rPr>
              <w:t>1.4μg/m</w:t>
            </w:r>
            <w:r>
              <w:rPr>
                <w:sz w:val="24"/>
                <w:vertAlign w:val="superscript"/>
              </w:rPr>
              <w:t>3</w:t>
            </w:r>
            <w:r>
              <w:rPr>
                <w:sz w:val="24"/>
              </w:rPr>
              <w:t>和61.7mg/m</w:t>
            </w:r>
            <w:r>
              <w:rPr>
                <w:sz w:val="24"/>
                <w:vertAlign w:val="superscript"/>
              </w:rPr>
              <w:t>3</w:t>
            </w:r>
            <w:r>
              <w:rPr>
                <w:sz w:val="24"/>
              </w:rPr>
              <w:t>，均优于国家环境空气二级标准；细颗粒物平均浓度为39.1μg/m</w:t>
            </w:r>
            <w:r>
              <w:rPr>
                <w:sz w:val="24"/>
                <w:vertAlign w:val="superscript"/>
              </w:rPr>
              <w:t>3</w:t>
            </w:r>
            <w:r>
              <w:rPr>
                <w:sz w:val="24"/>
              </w:rPr>
              <w:t>，超过国家环境空气二级标准。项目所在</w:t>
            </w:r>
            <w:r>
              <w:rPr>
                <w:rFonts w:hint="eastAsia"/>
                <w:sz w:val="24"/>
              </w:rPr>
              <w:t>乐山</w:t>
            </w:r>
            <w:r>
              <w:rPr>
                <w:sz w:val="24"/>
              </w:rPr>
              <w:t>区域环境空气质量不达标，属于不达标区。</w:t>
            </w:r>
          </w:p>
          <w:p w14:paraId="49DF8F46">
            <w:pPr>
              <w:adjustRightInd w:val="0"/>
              <w:snapToGrid w:val="0"/>
              <w:spacing w:line="360" w:lineRule="auto"/>
              <w:ind w:right="77" w:rightChars="37" w:firstLine="480" w:firstLineChars="200"/>
              <w:jc w:val="left"/>
              <w:rPr>
                <w:sz w:val="24"/>
              </w:rPr>
            </w:pPr>
            <w:r>
              <w:rPr>
                <w:rFonts w:hint="eastAsia"/>
                <w:sz w:val="24"/>
              </w:rPr>
              <w:t>根据补充数据，峨边区域大气环境良好，能够满足《环境空气质量标准》（GB 3095-2012）中的二级浓度限值。</w:t>
            </w:r>
          </w:p>
          <w:p w14:paraId="7FB76F20">
            <w:pPr>
              <w:widowControl/>
              <w:spacing w:line="360" w:lineRule="auto"/>
              <w:ind w:firstLine="480" w:firstLineChars="200"/>
              <w:rPr>
                <w:sz w:val="24"/>
              </w:rPr>
            </w:pPr>
            <w:r>
              <w:rPr>
                <w:sz w:val="24"/>
              </w:rPr>
              <w:t>根据</w:t>
            </w:r>
            <w:r>
              <w:rPr>
                <w:rFonts w:hint="eastAsia"/>
                <w:sz w:val="24"/>
              </w:rPr>
              <w:t>《峨边彝族自治县环境空气质量限期达标规划（</w:t>
            </w:r>
            <w:r>
              <w:rPr>
                <w:sz w:val="24"/>
              </w:rPr>
              <w:t>2018年</w:t>
            </w:r>
            <w:r>
              <w:rPr>
                <w:rFonts w:hint="eastAsia"/>
                <w:sz w:val="24"/>
                <w:lang w:eastAsia="zh-CN"/>
              </w:rPr>
              <w:t>—</w:t>
            </w:r>
            <w:r>
              <w:rPr>
                <w:sz w:val="24"/>
              </w:rPr>
              <w:t>2025年）》</w:t>
            </w:r>
            <w:r>
              <w:rPr>
                <w:rFonts w:hint="eastAsia"/>
                <w:sz w:val="24"/>
              </w:rPr>
              <w:t>，采取通过调整能源结构、升级产业结构、优化空间布局、强化污染减排等手段，逐步推进大气污染源头控制；以矿山、建材、铁合金、化工、扬尘、机动车、餐饮、秸秆燃烧为重点污染源，推进多污染源综合控制；针对</w:t>
            </w:r>
            <w:r>
              <w:rPr>
                <w:sz w:val="24"/>
              </w:rPr>
              <w:t>SO2、NOx、PM、VOCs等大气污染物，推进多污染物协同控制，同时把对NH</w:t>
            </w:r>
            <w:r>
              <w:rPr>
                <w:sz w:val="24"/>
                <w:vertAlign w:val="subscript"/>
              </w:rPr>
              <w:t>3</w:t>
            </w:r>
            <w:r>
              <w:rPr>
                <w:sz w:val="24"/>
              </w:rPr>
              <w:t>的排放控制纳入政策视野。在2020年、2022年、2024年对空气质量达标规划实施情况开展跟踪评价，查找不足，有针对性地提出改进措施，</w:t>
            </w:r>
            <w:r>
              <w:rPr>
                <w:rFonts w:hint="eastAsia"/>
                <w:sz w:val="24"/>
              </w:rPr>
              <w:t>逐步实现城市空气质量达标。</w:t>
            </w:r>
          </w:p>
          <w:p w14:paraId="675D6740">
            <w:pPr>
              <w:spacing w:line="360" w:lineRule="auto"/>
              <w:ind w:firstLine="480" w:firstLineChars="200"/>
            </w:pPr>
            <w:r>
              <w:rPr>
                <w:rFonts w:hint="eastAsia"/>
                <w:bCs/>
                <w:sz w:val="24"/>
              </w:rPr>
              <w:t>同时，根据四川蜀环环境检测有限责任公司（蜀环检字</w:t>
            </w:r>
            <w:r>
              <w:rPr>
                <w:rFonts w:hint="eastAsia"/>
                <w:bCs/>
                <w:sz w:val="24"/>
                <w:lang w:eastAsia="zh-CN"/>
              </w:rPr>
              <w:t>〔2020〕26号</w:t>
            </w:r>
            <w:r>
              <w:rPr>
                <w:rFonts w:hint="eastAsia"/>
                <w:bCs/>
                <w:sz w:val="24"/>
              </w:rPr>
              <w:t>）检测结果显示项目厂界四周无组织废气中颗粒物的检测结果符合《大气污染物综合排放标准》（GB16297-1996）表2（其他）排放限值要求，区域大气环境良好。</w:t>
            </w:r>
          </w:p>
          <w:p w14:paraId="5D0CC93E">
            <w:pPr>
              <w:spacing w:line="360" w:lineRule="auto"/>
              <w:ind w:firstLine="480" w:firstLineChars="200"/>
              <w:rPr>
                <w:sz w:val="24"/>
              </w:rPr>
            </w:pPr>
            <w:r>
              <w:rPr>
                <w:rFonts w:hint="eastAsia"/>
                <w:sz w:val="24"/>
              </w:rPr>
              <w:t>调查结果表明，项目所在区域空气质量不达标，要求项目落实环保措施使其对区域环境影响较小。</w:t>
            </w:r>
          </w:p>
          <w:p w14:paraId="4E913BB8">
            <w:pPr>
              <w:spacing w:line="360" w:lineRule="auto"/>
              <w:ind w:firstLine="480" w:firstLineChars="200"/>
              <w:rPr>
                <w:sz w:val="24"/>
              </w:rPr>
            </w:pPr>
            <w:r>
              <w:rPr>
                <w:rFonts w:hint="eastAsia"/>
                <w:sz w:val="24"/>
              </w:rPr>
              <w:t>（</w:t>
            </w:r>
            <w:r>
              <w:rPr>
                <w:sz w:val="24"/>
              </w:rPr>
              <w:t>2</w:t>
            </w:r>
            <w:r>
              <w:rPr>
                <w:rFonts w:hint="eastAsia"/>
                <w:sz w:val="24"/>
              </w:rPr>
              <w:t>）水环境</w:t>
            </w:r>
          </w:p>
          <w:p w14:paraId="6546713E">
            <w:pPr>
              <w:widowControl/>
              <w:spacing w:line="360" w:lineRule="auto"/>
              <w:ind w:firstLine="480" w:firstLineChars="200"/>
              <w:jc w:val="left"/>
              <w:rPr>
                <w:sz w:val="24"/>
              </w:rPr>
            </w:pPr>
            <w:r>
              <w:rPr>
                <w:sz w:val="24"/>
              </w:rPr>
              <w:t>根据《乐山市2019年环境质量公报》数据显示：</w:t>
            </w:r>
            <w:r>
              <w:rPr>
                <w:rFonts w:hint="eastAsia"/>
                <w:sz w:val="24"/>
              </w:rPr>
              <w:t>乐山市10个国控、省控地表水断面中，监测断面总体达标率为90%；青衣江、大渡河、马边河、龙溪河水质优，岷江乐山段水质良好，茫溪河水质受到中度污染。</w:t>
            </w:r>
          </w:p>
          <w:p w14:paraId="5A733D46">
            <w:pPr>
              <w:spacing w:line="360" w:lineRule="auto"/>
              <w:ind w:firstLine="480" w:firstLineChars="200"/>
              <w:rPr>
                <w:bCs/>
                <w:sz w:val="24"/>
                <w:szCs w:val="20"/>
              </w:rPr>
            </w:pPr>
            <w:r>
              <w:rPr>
                <w:rFonts w:hint="eastAsia"/>
                <w:sz w:val="24"/>
              </w:rPr>
              <w:t>同时，</w:t>
            </w:r>
            <w:r>
              <w:rPr>
                <w:sz w:val="24"/>
              </w:rPr>
              <w:t>根据</w:t>
            </w:r>
            <w:r>
              <w:rPr>
                <w:bCs/>
                <w:sz w:val="24"/>
                <w:szCs w:val="20"/>
              </w:rPr>
              <w:t>《乐山市地表水水质质量月报（2020年6月）》：2020年6月，岷江干流乐山段及其主要支流地表水水质监测结果表明：市中区悦来渡口、月波、李码头、马鞍山、木城镇、姜公堰断面水质均达到国家规定的《地表水环境质量标准》(GB3838-2002) Ⅲ类水域标准，水质状况良好。本项目所在区域相关大渡河流域水质状况为Ⅱ类水质，水质良好。</w:t>
            </w:r>
          </w:p>
          <w:p w14:paraId="120299E6">
            <w:pPr>
              <w:spacing w:line="360" w:lineRule="auto"/>
              <w:ind w:firstLine="480" w:firstLineChars="200"/>
              <w:rPr>
                <w:bCs/>
                <w:sz w:val="24"/>
                <w:szCs w:val="20"/>
              </w:rPr>
            </w:pPr>
            <w:r>
              <w:rPr>
                <w:bCs/>
                <w:sz w:val="24"/>
                <w:szCs w:val="20"/>
              </w:rPr>
              <w:t>本项目所在区域相关水域为大渡河，由《乐山市201</w:t>
            </w:r>
            <w:r>
              <w:rPr>
                <w:sz w:val="24"/>
              </w:rPr>
              <w:t>9年环境质量公报</w:t>
            </w:r>
            <w:r>
              <w:rPr>
                <w:rFonts w:hint="eastAsia"/>
                <w:sz w:val="24"/>
                <w:lang w:eastAsia="zh-CN"/>
              </w:rPr>
              <w:t>》《</w:t>
            </w:r>
            <w:r>
              <w:rPr>
                <w:bCs/>
                <w:sz w:val="24"/>
                <w:szCs w:val="20"/>
              </w:rPr>
              <w:t>乐山市地表水水质质量月报（2020年6月）》，项目所在大渡河水域为Ⅲ类水体，任有环境容量，且本项目无废水外排，地表水环境质量状况良好。</w:t>
            </w:r>
          </w:p>
          <w:p w14:paraId="16899C08">
            <w:pPr>
              <w:spacing w:line="360" w:lineRule="auto"/>
              <w:ind w:firstLine="480" w:firstLineChars="200"/>
              <w:rPr>
                <w:b/>
                <w:sz w:val="24"/>
              </w:rPr>
            </w:pPr>
            <w:r>
              <w:rPr>
                <w:rFonts w:hint="eastAsia"/>
                <w:sz w:val="24"/>
              </w:rPr>
              <w:t>（</w:t>
            </w:r>
            <w:r>
              <w:rPr>
                <w:sz w:val="24"/>
              </w:rPr>
              <w:t>3</w:t>
            </w:r>
            <w:r>
              <w:rPr>
                <w:rFonts w:hint="eastAsia"/>
                <w:sz w:val="24"/>
              </w:rPr>
              <w:t>）声环境</w:t>
            </w:r>
          </w:p>
          <w:p w14:paraId="3833942E">
            <w:pPr>
              <w:spacing w:line="360" w:lineRule="auto"/>
              <w:ind w:firstLine="480" w:firstLineChars="200"/>
              <w:rPr>
                <w:bCs/>
                <w:sz w:val="24"/>
              </w:rPr>
            </w:pPr>
            <w:r>
              <w:rPr>
                <w:rFonts w:hint="eastAsia"/>
                <w:sz w:val="24"/>
                <w:szCs w:val="20"/>
              </w:rPr>
              <w:t>根据四川蜀环环境检测有限责任公司（蜀环检字</w:t>
            </w:r>
            <w:r>
              <w:rPr>
                <w:rFonts w:hint="eastAsia"/>
                <w:sz w:val="24"/>
                <w:szCs w:val="20"/>
                <w:lang w:eastAsia="zh-CN"/>
              </w:rPr>
              <w:t>〔2020〕26号</w:t>
            </w:r>
            <w:r>
              <w:rPr>
                <w:rFonts w:hint="eastAsia"/>
                <w:sz w:val="24"/>
                <w:szCs w:val="20"/>
              </w:rPr>
              <w:t>）检测结果显示：</w:t>
            </w:r>
            <w:r>
              <w:rPr>
                <w:rFonts w:hint="eastAsia"/>
                <w:bCs/>
                <w:sz w:val="24"/>
              </w:rPr>
              <w:t>项目厂界工业企业厂界环境噪声检测结果符合《工业企业厂界环境噪声排放标准》（GB12348-2008）2类标准限值，项目声环境质量状况良好。</w:t>
            </w:r>
            <w:r>
              <w:rPr>
                <w:bCs/>
                <w:sz w:val="24"/>
              </w:rPr>
              <w:t>自</w:t>
            </w:r>
            <w:r>
              <w:rPr>
                <w:rFonts w:hint="eastAsia"/>
                <w:bCs/>
                <w:sz w:val="24"/>
              </w:rPr>
              <w:t>留</w:t>
            </w:r>
            <w:r>
              <w:rPr>
                <w:bCs/>
                <w:sz w:val="24"/>
              </w:rPr>
              <w:t>建设用地</w:t>
            </w:r>
            <w:r>
              <w:rPr>
                <w:sz w:val="24"/>
              </w:rPr>
              <w:t>进行建设，厂房、办公生活设施及其他公辅设施均利旧。施工期对环境的影响随着施工期结束而停止。</w:t>
            </w:r>
          </w:p>
          <w:p w14:paraId="2DC8882C">
            <w:pPr>
              <w:spacing w:line="360" w:lineRule="auto"/>
              <w:ind w:firstLine="480" w:firstLineChars="200"/>
              <w:rPr>
                <w:b/>
                <w:sz w:val="24"/>
              </w:rPr>
            </w:pPr>
            <w:r>
              <w:rPr>
                <w:b/>
                <w:sz w:val="24"/>
              </w:rPr>
              <w:t>5</w:t>
            </w:r>
            <w:r>
              <w:rPr>
                <w:rFonts w:hint="eastAsia"/>
                <w:b/>
                <w:sz w:val="24"/>
              </w:rPr>
              <w:t>、环境影响评价结论</w:t>
            </w:r>
          </w:p>
          <w:p w14:paraId="011CC333">
            <w:pPr>
              <w:snapToGrid w:val="0"/>
              <w:spacing w:line="360" w:lineRule="auto"/>
              <w:ind w:firstLine="480" w:firstLineChars="200"/>
              <w:rPr>
                <w:b/>
                <w:sz w:val="24"/>
              </w:rPr>
            </w:pPr>
            <w:r>
              <w:rPr>
                <w:rFonts w:hint="eastAsia" w:ascii="宋体" w:hAnsi="宋体" w:cs="宋体"/>
                <w:b/>
                <w:kern w:val="0"/>
                <w:sz w:val="24"/>
              </w:rPr>
              <w:t>①</w:t>
            </w:r>
            <w:r>
              <w:rPr>
                <w:rFonts w:hint="eastAsia"/>
                <w:b/>
                <w:sz w:val="24"/>
              </w:rPr>
              <w:t>施工期环境影响分析结论</w:t>
            </w:r>
          </w:p>
          <w:p w14:paraId="01DBAB0D">
            <w:pPr>
              <w:spacing w:line="360" w:lineRule="auto"/>
              <w:ind w:firstLine="470" w:firstLineChars="196"/>
              <w:rPr>
                <w:sz w:val="24"/>
              </w:rPr>
            </w:pPr>
            <w:r>
              <w:rPr>
                <w:rFonts w:hint="eastAsia"/>
                <w:sz w:val="24"/>
              </w:rPr>
              <w:t>本项目施工期量小时间很短，施工环境影响将随施工期的结束而消失。本评价主要对运营期进行环境影响分析并得出结论。</w:t>
            </w:r>
          </w:p>
          <w:p w14:paraId="0EA86F91">
            <w:pPr>
              <w:spacing w:line="360" w:lineRule="auto"/>
              <w:ind w:firstLine="470" w:firstLineChars="196"/>
              <w:rPr>
                <w:b/>
                <w:sz w:val="24"/>
              </w:rPr>
            </w:pPr>
            <w:r>
              <w:rPr>
                <w:rFonts w:hint="eastAsia" w:ascii="宋体" w:hAnsi="宋体" w:cs="宋体"/>
                <w:b/>
                <w:sz w:val="24"/>
              </w:rPr>
              <w:t>②</w:t>
            </w:r>
            <w:r>
              <w:rPr>
                <w:rFonts w:hint="eastAsia"/>
                <w:b/>
                <w:sz w:val="24"/>
              </w:rPr>
              <w:t>营运期环境影响分析结论</w:t>
            </w:r>
          </w:p>
          <w:p w14:paraId="6ECCC2F3">
            <w:pPr>
              <w:spacing w:line="360" w:lineRule="auto"/>
              <w:ind w:firstLine="480" w:firstLineChars="200"/>
              <w:rPr>
                <w:sz w:val="24"/>
              </w:rPr>
            </w:pPr>
            <w:r>
              <w:rPr>
                <w:rFonts w:hint="eastAsia"/>
                <w:sz w:val="24"/>
              </w:rPr>
              <w:t>（</w:t>
            </w:r>
            <w:r>
              <w:rPr>
                <w:sz w:val="24"/>
              </w:rPr>
              <w:t>1</w:t>
            </w:r>
            <w:r>
              <w:rPr>
                <w:rFonts w:hint="eastAsia"/>
                <w:sz w:val="24"/>
              </w:rPr>
              <w:t>）地表水环境影响分析结论</w:t>
            </w:r>
          </w:p>
          <w:p w14:paraId="51917348">
            <w:pPr>
              <w:spacing w:line="480" w:lineRule="exact"/>
              <w:ind w:firstLine="480" w:firstLineChars="200"/>
              <w:rPr>
                <w:bCs/>
                <w:sz w:val="24"/>
              </w:rPr>
            </w:pPr>
            <w:r>
              <w:rPr>
                <w:rFonts w:hint="eastAsia"/>
                <w:bCs/>
                <w:sz w:val="24"/>
              </w:rPr>
              <w:t>本项目实行</w:t>
            </w:r>
            <w:r>
              <w:rPr>
                <w:bCs/>
                <w:color w:val="FF0000"/>
                <w:sz w:val="24"/>
              </w:rPr>
              <w:t>“清污分流、雨污分流”制</w:t>
            </w:r>
            <w:r>
              <w:rPr>
                <w:rFonts w:hint="eastAsia"/>
                <w:color w:val="FF0000"/>
                <w:sz w:val="24"/>
              </w:rPr>
              <w:t>，雨水通过雨水沟外排；</w:t>
            </w:r>
            <w:r>
              <w:rPr>
                <w:rFonts w:hint="eastAsia"/>
                <w:bCs/>
                <w:sz w:val="24"/>
              </w:rPr>
              <w:t>营运期无生产废水产生，主要为职工生活办公污水。项目生活污水依托已建污水预处理池处理后定期清掏用作农田施肥，确保废水妥善处理处置。因此，项目建设对周围水环境影响较小。</w:t>
            </w:r>
          </w:p>
          <w:p w14:paraId="34E4ED06">
            <w:pPr>
              <w:spacing w:line="480" w:lineRule="exact"/>
              <w:ind w:firstLine="480" w:firstLineChars="200"/>
              <w:rPr>
                <w:sz w:val="24"/>
                <w:szCs w:val="20"/>
                <w:u w:val="single"/>
              </w:rPr>
            </w:pPr>
            <w:r>
              <w:rPr>
                <w:rFonts w:hint="eastAsia"/>
                <w:sz w:val="24"/>
                <w:u w:val="single"/>
              </w:rPr>
              <w:t>故，本项目废水不会对项目所在区域地表水环境质量造成明显影响。</w:t>
            </w:r>
          </w:p>
          <w:p w14:paraId="4D65BDF8">
            <w:pPr>
              <w:spacing w:line="360" w:lineRule="auto"/>
              <w:ind w:firstLine="480" w:firstLineChars="200"/>
              <w:rPr>
                <w:sz w:val="24"/>
              </w:rPr>
            </w:pPr>
            <w:r>
              <w:rPr>
                <w:rFonts w:hint="eastAsia"/>
                <w:sz w:val="24"/>
              </w:rPr>
              <w:t>（</w:t>
            </w:r>
            <w:r>
              <w:rPr>
                <w:sz w:val="24"/>
              </w:rPr>
              <w:t>2</w:t>
            </w:r>
            <w:r>
              <w:rPr>
                <w:rFonts w:hint="eastAsia"/>
                <w:sz w:val="24"/>
              </w:rPr>
              <w:t>）大气环境影响分析结论</w:t>
            </w:r>
          </w:p>
          <w:p w14:paraId="5335B52D">
            <w:pPr>
              <w:spacing w:line="480" w:lineRule="exact"/>
              <w:ind w:firstLine="480" w:firstLineChars="200"/>
              <w:rPr>
                <w:kern w:val="0"/>
                <w:sz w:val="24"/>
                <w:szCs w:val="20"/>
              </w:rPr>
            </w:pPr>
            <w:r>
              <w:rPr>
                <w:rFonts w:hint="eastAsia"/>
                <w:kern w:val="0"/>
                <w:sz w:val="24"/>
              </w:rPr>
              <w:t>建设项目所在地区环境空气功能区划为二类区，项目营运期废气主要为汽车尾气，锯末粉尘等。运输车辆采用清洁能源</w:t>
            </w:r>
            <w:r>
              <w:rPr>
                <w:kern w:val="0"/>
                <w:sz w:val="24"/>
              </w:rPr>
              <w:t>0#</w:t>
            </w:r>
            <w:r>
              <w:rPr>
                <w:rFonts w:hint="eastAsia"/>
                <w:kern w:val="0"/>
                <w:sz w:val="24"/>
              </w:rPr>
              <w:t>柴油或汽油做能源，通过</w:t>
            </w:r>
            <w:r>
              <w:rPr>
                <w:rFonts w:hint="eastAsia"/>
                <w:bCs/>
                <w:sz w:val="24"/>
              </w:rPr>
              <w:t>加强对进出车辆的管理，要求车辆停车后立即熄火，减少怠速情况发生。加之厂区扩散条件良好，产生的车辆尾气随空气扩散后对区域大气环境影响较小。</w:t>
            </w:r>
          </w:p>
          <w:p w14:paraId="5089F318">
            <w:pPr>
              <w:spacing w:line="480" w:lineRule="exact"/>
              <w:ind w:firstLine="480" w:firstLineChars="200"/>
              <w:rPr>
                <w:sz w:val="24"/>
              </w:rPr>
            </w:pPr>
            <w:r>
              <w:rPr>
                <w:rFonts w:hint="eastAsia"/>
                <w:kern w:val="0"/>
                <w:sz w:val="24"/>
              </w:rPr>
              <w:t>本项目生产过程中废气主要为锯末粉尘，</w:t>
            </w:r>
            <w:r>
              <w:rPr>
                <w:rFonts w:hint="eastAsia"/>
                <w:sz w:val="24"/>
              </w:rPr>
              <w:t>呈无组织排放，因原木的含水率为</w:t>
            </w:r>
            <w:r>
              <w:rPr>
                <w:sz w:val="24"/>
              </w:rPr>
              <w:t>40</w:t>
            </w:r>
            <w:r>
              <w:rPr>
                <w:rFonts w:hint="eastAsia"/>
                <w:sz w:val="24"/>
              </w:rPr>
              <w:t>％～</w:t>
            </w:r>
            <w:r>
              <w:rPr>
                <w:sz w:val="24"/>
              </w:rPr>
              <w:t>55</w:t>
            </w:r>
            <w:r>
              <w:rPr>
                <w:rFonts w:hint="eastAsia"/>
                <w:sz w:val="24"/>
              </w:rPr>
              <w:t>％，含水率较高，加工时不易起尘；逸散的少量粉尘在重力作用下自然沉降。且项目车间为开敞式，扩散条件好，经过大气扩散，可实现达标排放。</w:t>
            </w:r>
          </w:p>
          <w:p w14:paraId="4E745045">
            <w:pPr>
              <w:spacing w:line="480" w:lineRule="exact"/>
              <w:ind w:firstLine="480" w:firstLineChars="200"/>
              <w:rPr>
                <w:sz w:val="24"/>
              </w:rPr>
            </w:pPr>
            <w:r>
              <w:rPr>
                <w:rFonts w:hint="eastAsia" w:ascii="宋体" w:hAnsi="宋体" w:cs="宋体"/>
                <w:sz w:val="24"/>
              </w:rPr>
              <w:t>本项目Pmax最大值出现为矩形面源排放的TSPPmax值为4.9066%,Cmax为44.159μg/m³,根据《环境影响评价技术导则 大气环境》（HJ2.2-2018）分级判据，确定本项目大气环境影响评价工作等级为二级，评价范围边长取5km。</w:t>
            </w:r>
          </w:p>
          <w:p w14:paraId="31B53080">
            <w:pPr>
              <w:spacing w:line="360" w:lineRule="auto"/>
              <w:ind w:firstLine="480" w:firstLineChars="200"/>
              <w:rPr>
                <w:sz w:val="24"/>
                <w:u w:val="single"/>
              </w:rPr>
            </w:pPr>
            <w:r>
              <w:rPr>
                <w:rFonts w:hint="eastAsia"/>
                <w:sz w:val="24"/>
                <w:u w:val="single"/>
              </w:rPr>
              <w:t>综上所述，本项目采取治理措施后，大气污染物可实现达标排放，对区域大气环境影响较小。</w:t>
            </w:r>
          </w:p>
          <w:p w14:paraId="7E373168">
            <w:pPr>
              <w:spacing w:line="360" w:lineRule="auto"/>
              <w:ind w:left="480"/>
              <w:rPr>
                <w:sz w:val="24"/>
              </w:rPr>
            </w:pPr>
            <w:r>
              <w:rPr>
                <w:rFonts w:hint="eastAsia"/>
                <w:sz w:val="24"/>
              </w:rPr>
              <w:t>（</w:t>
            </w:r>
            <w:r>
              <w:rPr>
                <w:sz w:val="24"/>
              </w:rPr>
              <w:t>3</w:t>
            </w:r>
            <w:r>
              <w:rPr>
                <w:rFonts w:hint="eastAsia"/>
                <w:sz w:val="24"/>
              </w:rPr>
              <w:t>）声环境影响分析结论</w:t>
            </w:r>
          </w:p>
          <w:p w14:paraId="266F51FA">
            <w:pPr>
              <w:spacing w:line="360" w:lineRule="auto"/>
              <w:ind w:firstLine="480" w:firstLineChars="200"/>
              <w:rPr>
                <w:kern w:val="0"/>
                <w:sz w:val="24"/>
              </w:rPr>
            </w:pPr>
            <w:r>
              <w:rPr>
                <w:rFonts w:hint="eastAsia"/>
                <w:kern w:val="0"/>
                <w:sz w:val="24"/>
              </w:rPr>
              <w:t>本项目噪声主要为设备运行噪声，项目采取项目提出的防护措施后，能够达到《工业企业厂界环境噪声排放标准》（</w:t>
            </w:r>
            <w:r>
              <w:rPr>
                <w:kern w:val="0"/>
                <w:sz w:val="24"/>
              </w:rPr>
              <w:t>GB12348-2008</w:t>
            </w:r>
            <w:r>
              <w:rPr>
                <w:rFonts w:hint="eastAsia"/>
                <w:kern w:val="0"/>
                <w:sz w:val="24"/>
              </w:rPr>
              <w:t>）中相应的标准要求，且项目周边噪声背景值较小，要求企业落实加强噪声防治，以减轻区域噪声污染。</w:t>
            </w:r>
          </w:p>
          <w:p w14:paraId="17A8AC94">
            <w:pPr>
              <w:spacing w:line="360" w:lineRule="auto"/>
              <w:ind w:firstLine="480" w:firstLineChars="200"/>
              <w:rPr>
                <w:kern w:val="0"/>
                <w:sz w:val="24"/>
                <w:u w:val="single"/>
              </w:rPr>
            </w:pPr>
            <w:r>
              <w:rPr>
                <w:rFonts w:hint="eastAsia"/>
                <w:kern w:val="0"/>
                <w:sz w:val="24"/>
                <w:u w:val="single"/>
              </w:rPr>
              <w:t>因此项目噪声对区域声环境影响较小。</w:t>
            </w:r>
          </w:p>
          <w:p w14:paraId="3CF16B8E">
            <w:pPr>
              <w:spacing w:line="360" w:lineRule="auto"/>
              <w:ind w:firstLine="480" w:firstLineChars="200"/>
              <w:rPr>
                <w:kern w:val="0"/>
                <w:sz w:val="24"/>
              </w:rPr>
            </w:pPr>
            <w:r>
              <w:rPr>
                <w:rFonts w:hint="eastAsia"/>
                <w:kern w:val="0"/>
                <w:sz w:val="24"/>
              </w:rPr>
              <w:t>另外建议建设单位采取一些降噪措施，如加强设备日常检修和维护，以保证各设备正常运转，以免由于设备故障原因产生较大噪声。</w:t>
            </w:r>
          </w:p>
          <w:p w14:paraId="14B7EC7F">
            <w:pPr>
              <w:spacing w:line="360" w:lineRule="auto"/>
              <w:ind w:firstLine="480" w:firstLineChars="200"/>
              <w:rPr>
                <w:sz w:val="24"/>
              </w:rPr>
            </w:pPr>
            <w:r>
              <w:rPr>
                <w:rFonts w:hint="eastAsia"/>
                <w:sz w:val="24"/>
              </w:rPr>
              <w:t>（</w:t>
            </w:r>
            <w:r>
              <w:rPr>
                <w:sz w:val="24"/>
              </w:rPr>
              <w:t>4</w:t>
            </w:r>
            <w:r>
              <w:rPr>
                <w:rFonts w:hint="eastAsia"/>
                <w:sz w:val="24"/>
              </w:rPr>
              <w:t>）固废环境影响分析结论</w:t>
            </w:r>
          </w:p>
          <w:p w14:paraId="6EF889AB">
            <w:pPr>
              <w:spacing w:line="480" w:lineRule="exact"/>
              <w:ind w:firstLine="460" w:firstLineChars="192"/>
              <w:rPr>
                <w:sz w:val="24"/>
                <w:lang w:val="en-GB"/>
              </w:rPr>
            </w:pPr>
            <w:r>
              <w:rPr>
                <w:rFonts w:hint="eastAsia"/>
                <w:sz w:val="24"/>
              </w:rPr>
              <w:t>项目生活垃圾</w:t>
            </w:r>
            <w:r>
              <w:rPr>
                <w:rFonts w:hint="eastAsia"/>
                <w:sz w:val="24"/>
                <w:lang w:val="en-GB"/>
              </w:rPr>
              <w:t>经塑料垃圾桶收集后，</w:t>
            </w:r>
            <w:r>
              <w:rPr>
                <w:rFonts w:hint="eastAsia"/>
                <w:bCs/>
                <w:sz w:val="24"/>
              </w:rPr>
              <w:t>自行清运至平等乡垃圾收集点，由村委会收集处理</w:t>
            </w:r>
            <w:r>
              <w:rPr>
                <w:rFonts w:hint="eastAsia"/>
                <w:sz w:val="24"/>
              </w:rPr>
              <w:t>；断料、锯料生产过程中产生的树皮、木材边角料、锯末颗粒、废木屑及损坏的零件均外卖综合利用</w:t>
            </w:r>
            <w:r>
              <w:rPr>
                <w:rFonts w:hint="eastAsia"/>
                <w:sz w:val="24"/>
                <w:lang w:val="en-GB"/>
              </w:rPr>
              <w:t>。</w:t>
            </w:r>
          </w:p>
          <w:p w14:paraId="4FC6548A">
            <w:pPr>
              <w:spacing w:line="480" w:lineRule="exact"/>
              <w:ind w:firstLine="460" w:firstLineChars="192"/>
              <w:rPr>
                <w:sz w:val="24"/>
                <w:szCs w:val="20"/>
                <w:u w:val="single"/>
              </w:rPr>
            </w:pPr>
            <w:r>
              <w:rPr>
                <w:rFonts w:hint="eastAsia"/>
                <w:sz w:val="24"/>
                <w:u w:val="single"/>
              </w:rPr>
              <w:t>固废均得到妥善处理，不会造成二次污染。项目固体废弃物对周围环境较小。</w:t>
            </w:r>
          </w:p>
          <w:p w14:paraId="4C62C2E3">
            <w:pPr>
              <w:adjustRightInd w:val="0"/>
              <w:snapToGrid w:val="0"/>
              <w:spacing w:line="480" w:lineRule="exact"/>
              <w:ind w:firstLine="480" w:firstLineChars="200"/>
              <w:jc w:val="left"/>
              <w:rPr>
                <w:sz w:val="24"/>
              </w:rPr>
            </w:pPr>
            <w:r>
              <w:rPr>
                <w:sz w:val="24"/>
              </w:rPr>
              <w:t>（5）土壤环境环境影响分析结论</w:t>
            </w:r>
          </w:p>
          <w:p w14:paraId="03DB5F47">
            <w:pPr>
              <w:adjustRightInd w:val="0"/>
              <w:snapToGrid w:val="0"/>
              <w:spacing w:line="480" w:lineRule="exact"/>
              <w:ind w:firstLine="480" w:firstLineChars="200"/>
              <w:jc w:val="left"/>
              <w:rPr>
                <w:sz w:val="24"/>
              </w:rPr>
            </w:pPr>
            <w:r>
              <w:rPr>
                <w:sz w:val="24"/>
              </w:rPr>
              <w:t>根据《环境影响评价技术导则土壤环境（试行）》（HJ964-2018）附录 A，项目属于</w:t>
            </w:r>
            <w:r>
              <w:rPr>
                <w:sz w:val="24"/>
              </w:rPr>
              <w:fldChar w:fldCharType="begin"/>
            </w:r>
            <w:r>
              <w:rPr>
                <w:sz w:val="24"/>
              </w:rPr>
              <w:instrText xml:space="preserve"> = 3 \* ROMAN </w:instrText>
            </w:r>
            <w:r>
              <w:rPr>
                <w:sz w:val="24"/>
              </w:rPr>
              <w:fldChar w:fldCharType="separate"/>
            </w:r>
            <w:r>
              <w:rPr>
                <w:rFonts w:hint="eastAsia"/>
                <w:sz w:val="24"/>
                <w:lang w:eastAsia="zh-CN"/>
              </w:rPr>
              <w:t>Ⅲ</w:t>
            </w:r>
            <w:r>
              <w:rPr>
                <w:sz w:val="24"/>
              </w:rPr>
              <w:fldChar w:fldCharType="end"/>
            </w:r>
            <w:r>
              <w:rPr>
                <w:sz w:val="24"/>
              </w:rPr>
              <w:t>类建设项目，占地规模小型，土地性质为</w:t>
            </w:r>
            <w:r>
              <w:rPr>
                <w:rFonts w:hint="eastAsia"/>
                <w:sz w:val="24"/>
              </w:rPr>
              <w:t>不</w:t>
            </w:r>
            <w:r>
              <w:rPr>
                <w:sz w:val="24"/>
              </w:rPr>
              <w:t>敏感，经分析本项目不需要开展土壤环境影响评价。</w:t>
            </w:r>
          </w:p>
          <w:p w14:paraId="06A60FDF">
            <w:pPr>
              <w:spacing w:line="480" w:lineRule="exact"/>
              <w:ind w:firstLine="460" w:firstLineChars="192"/>
              <w:rPr>
                <w:kern w:val="0"/>
                <w:sz w:val="24"/>
                <w:szCs w:val="20"/>
              </w:rPr>
            </w:pPr>
            <w:r>
              <w:rPr>
                <w:rFonts w:hint="eastAsia"/>
                <w:kern w:val="0"/>
                <w:sz w:val="24"/>
              </w:rPr>
              <w:t>（6）风险环境影响分析结论</w:t>
            </w:r>
          </w:p>
          <w:p w14:paraId="295C9A39">
            <w:pPr>
              <w:spacing w:line="480" w:lineRule="exact"/>
              <w:ind w:firstLine="480" w:firstLineChars="200"/>
              <w:rPr>
                <w:bCs/>
                <w:sz w:val="24"/>
              </w:rPr>
            </w:pPr>
            <w:r>
              <w:rPr>
                <w:rFonts w:hint="eastAsia"/>
                <w:sz w:val="24"/>
              </w:rPr>
              <w:t>本项目物料不</w:t>
            </w:r>
            <w:r>
              <w:rPr>
                <w:rFonts w:hint="eastAsia"/>
                <w:bCs/>
                <w:sz w:val="24"/>
              </w:rPr>
              <w:t>构成重大危险源，在严格落实本报告提出的各项事故防范和应急措施、加强管理的前提下，可最大限度地减少可能发生的环境风险，并在风险事故发生后，及时采取风险防范措施及应急预案，可以使风险事故对环境的危害得到有效控制，将事故风险控制在可以接受的范围内。</w:t>
            </w:r>
          </w:p>
          <w:p w14:paraId="571F4AB1">
            <w:pPr>
              <w:spacing w:line="480" w:lineRule="exact"/>
              <w:ind w:firstLine="480" w:firstLineChars="200"/>
              <w:rPr>
                <w:bCs/>
                <w:sz w:val="24"/>
                <w:u w:val="single"/>
              </w:rPr>
            </w:pPr>
            <w:r>
              <w:rPr>
                <w:rFonts w:hint="eastAsia"/>
                <w:bCs/>
                <w:sz w:val="24"/>
                <w:u w:val="single"/>
              </w:rPr>
              <w:t>采取有效的风险应急预案，对工程风险事故的环境影响控制在可接受范围内。</w:t>
            </w:r>
          </w:p>
          <w:p w14:paraId="66814A01">
            <w:pPr>
              <w:spacing w:line="360" w:lineRule="auto"/>
              <w:ind w:firstLine="480" w:firstLineChars="200"/>
              <w:rPr>
                <w:b/>
                <w:sz w:val="24"/>
              </w:rPr>
            </w:pPr>
            <w:r>
              <w:rPr>
                <w:b/>
                <w:sz w:val="24"/>
              </w:rPr>
              <w:t>6</w:t>
            </w:r>
            <w:r>
              <w:rPr>
                <w:rFonts w:hint="eastAsia"/>
                <w:b/>
                <w:sz w:val="24"/>
              </w:rPr>
              <w:t>、环保投资</w:t>
            </w:r>
          </w:p>
          <w:p w14:paraId="0901032D">
            <w:pPr>
              <w:spacing w:line="360" w:lineRule="auto"/>
              <w:ind w:firstLine="480" w:firstLineChars="200"/>
              <w:rPr>
                <w:sz w:val="24"/>
              </w:rPr>
            </w:pPr>
            <w:r>
              <w:rPr>
                <w:rFonts w:hint="eastAsia"/>
                <w:sz w:val="24"/>
              </w:rPr>
              <w:t>本项目环保投资共计</w:t>
            </w:r>
            <w:r>
              <w:rPr>
                <w:sz w:val="24"/>
              </w:rPr>
              <w:t>2.75</w:t>
            </w:r>
            <w:r>
              <w:rPr>
                <w:rFonts w:hint="eastAsia"/>
                <w:sz w:val="24"/>
              </w:rPr>
              <w:t>万元对现有污染进行治理，实施这些环保措施后，可有效解决项目营运期污染物排放问题，其环保措施有效可行。</w:t>
            </w:r>
          </w:p>
          <w:p w14:paraId="06E37DAA">
            <w:pPr>
              <w:spacing w:line="480" w:lineRule="exact"/>
              <w:ind w:firstLine="480" w:firstLineChars="200"/>
              <w:rPr>
                <w:bCs/>
                <w:sz w:val="24"/>
                <w:szCs w:val="20"/>
              </w:rPr>
            </w:pPr>
            <w:r>
              <w:rPr>
                <w:b/>
                <w:bCs/>
                <w:sz w:val="24"/>
              </w:rPr>
              <w:t>7</w:t>
            </w:r>
            <w:r>
              <w:rPr>
                <w:rFonts w:hint="eastAsia"/>
                <w:b/>
                <w:bCs/>
                <w:sz w:val="24"/>
              </w:rPr>
              <w:t>、</w:t>
            </w:r>
            <w:r>
              <w:rPr>
                <w:rFonts w:hint="eastAsia"/>
                <w:b/>
                <w:sz w:val="24"/>
              </w:rPr>
              <w:t>总量控制</w:t>
            </w:r>
          </w:p>
          <w:p w14:paraId="60588B98">
            <w:pPr>
              <w:spacing w:line="480" w:lineRule="exact"/>
              <w:ind w:firstLine="480" w:firstLineChars="200"/>
              <w:rPr>
                <w:bCs/>
                <w:sz w:val="24"/>
              </w:rPr>
            </w:pPr>
            <w:r>
              <w:rPr>
                <w:rFonts w:hint="eastAsia"/>
                <w:bCs/>
                <w:sz w:val="24"/>
              </w:rPr>
              <w:t>根据本项目的具体情况，结合国家污染物排放总量控制原则，本项目生活污水经预处理后回用农肥，不直接外排，不涉及废水总量排放指标；废气仅运输车辆和机械设备运行时产生少量无组织废气，以及锯末粉尘，不涉及废气总量排放指标。故本项目无总量控制指标。</w:t>
            </w:r>
          </w:p>
          <w:p w14:paraId="3FF01FD5">
            <w:pPr>
              <w:spacing w:line="360" w:lineRule="auto"/>
              <w:ind w:firstLine="480" w:firstLineChars="200"/>
              <w:rPr>
                <w:b/>
                <w:bCs/>
                <w:sz w:val="24"/>
              </w:rPr>
            </w:pPr>
            <w:r>
              <w:rPr>
                <w:b/>
                <w:bCs/>
                <w:sz w:val="24"/>
              </w:rPr>
              <w:t>8</w:t>
            </w:r>
            <w:r>
              <w:rPr>
                <w:rFonts w:hint="eastAsia"/>
                <w:b/>
                <w:bCs/>
                <w:sz w:val="24"/>
              </w:rPr>
              <w:t>、可行性结论</w:t>
            </w:r>
          </w:p>
          <w:p w14:paraId="2049AA4D">
            <w:pPr>
              <w:spacing w:line="360" w:lineRule="auto"/>
              <w:ind w:firstLine="489" w:firstLineChars="204"/>
              <w:rPr>
                <w:sz w:val="24"/>
              </w:rPr>
            </w:pPr>
            <w:r>
              <w:rPr>
                <w:rFonts w:hint="eastAsia"/>
                <w:sz w:val="24"/>
              </w:rPr>
              <w:t>本项目建设符合“三线一单”规划要求，符合国家产业政策，项目污染物能够达标排放，区域环境质量能维持现状，只要厂方重视环保工作，认真落实评价提出的各项污染防治对策，加强对污染物的治理工作，做到环保工作专人分管，责任到人，加强对各类污染源的管理，落实环保治理所需要的资金，则该项目的实施，可以做到在较高的生产效益的同时，又能达到环境保护的目标。</w:t>
            </w:r>
            <w:r>
              <w:rPr>
                <w:rFonts w:hint="eastAsia"/>
                <w:b/>
                <w:bCs/>
                <w:sz w:val="24"/>
              </w:rPr>
              <w:t>项目建设从环境保护方面看是可行的。</w:t>
            </w:r>
          </w:p>
          <w:p w14:paraId="7D088147">
            <w:pPr>
              <w:spacing w:line="360" w:lineRule="auto"/>
              <w:ind w:firstLine="489" w:firstLineChars="204"/>
              <w:rPr>
                <w:b/>
                <w:sz w:val="24"/>
              </w:rPr>
            </w:pPr>
            <w:r>
              <w:rPr>
                <w:b/>
                <w:sz w:val="24"/>
              </w:rPr>
              <w:t>8</w:t>
            </w:r>
            <w:r>
              <w:rPr>
                <w:rFonts w:hint="eastAsia"/>
                <w:b/>
                <w:sz w:val="24"/>
              </w:rPr>
              <w:t>、建议</w:t>
            </w:r>
          </w:p>
          <w:p w14:paraId="4A54772E">
            <w:pPr>
              <w:spacing w:line="360" w:lineRule="auto"/>
              <w:ind w:firstLine="482"/>
              <w:rPr>
                <w:sz w:val="24"/>
              </w:rPr>
            </w:pPr>
            <w:r>
              <w:rPr>
                <w:rFonts w:hint="eastAsia"/>
                <w:sz w:val="24"/>
              </w:rPr>
              <w:t>（</w:t>
            </w:r>
            <w:r>
              <w:rPr>
                <w:sz w:val="24"/>
              </w:rPr>
              <w:t>1</w:t>
            </w:r>
            <w:r>
              <w:rPr>
                <w:rFonts w:hint="eastAsia"/>
                <w:sz w:val="24"/>
              </w:rPr>
              <w:t>）严格落实本环评提出的污染防治措施，并保证设施良好运行，保证达到预计效果；</w:t>
            </w:r>
          </w:p>
          <w:p w14:paraId="256CF941">
            <w:pPr>
              <w:spacing w:line="360" w:lineRule="auto"/>
              <w:ind w:firstLine="482"/>
              <w:rPr>
                <w:sz w:val="24"/>
              </w:rPr>
            </w:pPr>
            <w:r>
              <w:rPr>
                <w:rFonts w:hint="eastAsia"/>
                <w:sz w:val="24"/>
              </w:rPr>
              <w:t>（</w:t>
            </w:r>
            <w:r>
              <w:rPr>
                <w:sz w:val="24"/>
              </w:rPr>
              <w:t>2</w:t>
            </w:r>
            <w:r>
              <w:rPr>
                <w:rFonts w:hint="eastAsia"/>
                <w:sz w:val="24"/>
              </w:rPr>
              <w:t>）企业应加强环保设施的日常管理、维护，建立健全环保设施的运行管理制度，定期检查制度、设备维护和检修制度，确保环保设施的高效、正常运转，尽量减少和避免事故排放。在当地环保部门的指导下，定期对污染源进行监测，并建立污染源管理档案，确保噪声达标排放。</w:t>
            </w:r>
          </w:p>
          <w:p w14:paraId="60A2E869">
            <w:pPr>
              <w:pStyle w:val="12"/>
              <w:spacing w:line="360" w:lineRule="auto"/>
              <w:ind w:firstLine="480" w:firstLineChars="200"/>
              <w:rPr>
                <w:sz w:val="24"/>
              </w:rPr>
            </w:pPr>
            <w:r>
              <w:rPr>
                <w:rFonts w:hint="eastAsia"/>
                <w:sz w:val="24"/>
              </w:rPr>
              <w:t>（3）条件允许的情况下，建议业主采用无尘锯。</w:t>
            </w:r>
          </w:p>
          <w:p w14:paraId="79B4110E">
            <w:pPr>
              <w:spacing w:line="360" w:lineRule="auto"/>
              <w:ind w:firstLine="482"/>
              <w:rPr>
                <w:sz w:val="24"/>
              </w:rPr>
            </w:pPr>
            <w:r>
              <w:rPr>
                <w:rFonts w:hint="eastAsia"/>
                <w:sz w:val="24"/>
              </w:rPr>
              <w:t>（</w:t>
            </w:r>
            <w:r>
              <w:rPr>
                <w:sz w:val="24"/>
              </w:rPr>
              <w:t>4</w:t>
            </w:r>
            <w:r>
              <w:rPr>
                <w:rFonts w:hint="eastAsia"/>
                <w:sz w:val="24"/>
              </w:rPr>
              <w:t>）企业应落实功能分区，做好分区防渗措施。</w:t>
            </w:r>
          </w:p>
          <w:p w14:paraId="64BAEE04">
            <w:pPr>
              <w:pStyle w:val="12"/>
              <w:spacing w:line="360" w:lineRule="auto"/>
              <w:rPr>
                <w:rFonts w:ascii="Times New Roman" w:hAnsi="Times New Roman"/>
                <w:sz w:val="24"/>
                <w:szCs w:val="24"/>
              </w:rPr>
            </w:pPr>
          </w:p>
          <w:p w14:paraId="724A028A">
            <w:pPr>
              <w:pStyle w:val="12"/>
              <w:spacing w:line="360" w:lineRule="auto"/>
              <w:rPr>
                <w:rFonts w:ascii="Times New Roman" w:hAnsi="Times New Roman"/>
                <w:sz w:val="24"/>
                <w:szCs w:val="24"/>
              </w:rPr>
            </w:pPr>
          </w:p>
          <w:p w14:paraId="1C506856">
            <w:pPr>
              <w:pStyle w:val="12"/>
              <w:spacing w:line="360" w:lineRule="auto"/>
              <w:rPr>
                <w:rFonts w:ascii="Times New Roman" w:hAnsi="Times New Roman"/>
                <w:sz w:val="24"/>
                <w:szCs w:val="24"/>
              </w:rPr>
            </w:pPr>
          </w:p>
          <w:p w14:paraId="53BF7CFD">
            <w:pPr>
              <w:pStyle w:val="12"/>
              <w:spacing w:line="360" w:lineRule="auto"/>
              <w:rPr>
                <w:rFonts w:ascii="Times New Roman" w:hAnsi="Times New Roman"/>
                <w:sz w:val="24"/>
                <w:szCs w:val="24"/>
              </w:rPr>
            </w:pPr>
          </w:p>
          <w:p w14:paraId="742AD644">
            <w:pPr>
              <w:pStyle w:val="12"/>
              <w:spacing w:line="360" w:lineRule="auto"/>
              <w:rPr>
                <w:rFonts w:ascii="Times New Roman" w:hAnsi="Times New Roman"/>
                <w:sz w:val="24"/>
                <w:szCs w:val="24"/>
              </w:rPr>
            </w:pPr>
          </w:p>
          <w:p w14:paraId="67836BDC">
            <w:pPr>
              <w:pStyle w:val="12"/>
              <w:spacing w:line="360" w:lineRule="auto"/>
              <w:rPr>
                <w:rFonts w:ascii="Times New Roman" w:hAnsi="Times New Roman"/>
                <w:sz w:val="24"/>
                <w:szCs w:val="24"/>
              </w:rPr>
            </w:pPr>
          </w:p>
          <w:p w14:paraId="7BB7EDA3">
            <w:pPr>
              <w:spacing w:line="600" w:lineRule="exact"/>
              <w:jc w:val="center"/>
              <w:outlineLvl w:val="0"/>
              <w:rPr>
                <w:b/>
                <w:bCs/>
                <w:sz w:val="30"/>
                <w:szCs w:val="30"/>
              </w:rPr>
            </w:pPr>
          </w:p>
          <w:p w14:paraId="5E1C0DDA">
            <w:pPr>
              <w:spacing w:line="600" w:lineRule="exact"/>
              <w:jc w:val="center"/>
              <w:outlineLvl w:val="0"/>
              <w:rPr>
                <w:b/>
                <w:bCs/>
                <w:sz w:val="30"/>
                <w:szCs w:val="30"/>
              </w:rPr>
            </w:pPr>
            <w:r>
              <w:rPr>
                <w:rFonts w:hint="eastAsia"/>
                <w:b/>
                <w:bCs/>
                <w:sz w:val="30"/>
                <w:szCs w:val="30"/>
              </w:rPr>
              <w:t>注</w:t>
            </w:r>
            <w:r>
              <w:rPr>
                <w:b/>
                <w:bCs/>
                <w:sz w:val="30"/>
                <w:szCs w:val="30"/>
              </w:rPr>
              <w:t xml:space="preserve">     </w:t>
            </w:r>
            <w:r>
              <w:rPr>
                <w:rFonts w:hint="eastAsia"/>
                <w:b/>
                <w:bCs/>
                <w:sz w:val="30"/>
                <w:szCs w:val="30"/>
              </w:rPr>
              <w:t>释</w:t>
            </w:r>
          </w:p>
          <w:p w14:paraId="754C5735">
            <w:pPr>
              <w:spacing w:line="276" w:lineRule="auto"/>
              <w:ind w:firstLine="480" w:firstLineChars="200"/>
              <w:outlineLvl w:val="0"/>
              <w:rPr>
                <w:sz w:val="24"/>
              </w:rPr>
            </w:pPr>
            <w:r>
              <w:rPr>
                <w:rFonts w:hint="eastAsia"/>
                <w:sz w:val="24"/>
              </w:rPr>
              <w:t>一、本报告表应附以下附件、附图：</w:t>
            </w:r>
          </w:p>
          <w:p w14:paraId="0CBA857E">
            <w:pPr>
              <w:spacing w:line="276" w:lineRule="auto"/>
              <w:ind w:firstLine="420" w:firstLineChars="200"/>
              <w:rPr>
                <w:b/>
                <w:szCs w:val="21"/>
              </w:rPr>
            </w:pPr>
            <w:r>
              <w:rPr>
                <w:rFonts w:hint="eastAsia"/>
                <w:b/>
                <w:szCs w:val="21"/>
              </w:rPr>
              <w:t>附件</w:t>
            </w:r>
          </w:p>
          <w:p w14:paraId="6A9FE25A">
            <w:pPr>
              <w:spacing w:line="276" w:lineRule="auto"/>
              <w:ind w:firstLine="928" w:firstLineChars="442"/>
              <w:rPr>
                <w:szCs w:val="21"/>
              </w:rPr>
            </w:pPr>
            <w:r>
              <w:rPr>
                <w:rFonts w:hint="eastAsia"/>
                <w:szCs w:val="21"/>
              </w:rPr>
              <w:t>附件</w:t>
            </w:r>
            <w:r>
              <w:rPr>
                <w:szCs w:val="21"/>
              </w:rPr>
              <w:t>1</w:t>
            </w:r>
            <w:r>
              <w:rPr>
                <w:rFonts w:hint="eastAsia"/>
                <w:szCs w:val="21"/>
              </w:rPr>
              <w:t>：委托书</w:t>
            </w:r>
          </w:p>
          <w:p w14:paraId="12BB7DA6">
            <w:pPr>
              <w:spacing w:line="276" w:lineRule="auto"/>
              <w:ind w:firstLine="928" w:firstLineChars="442"/>
              <w:rPr>
                <w:szCs w:val="21"/>
              </w:rPr>
            </w:pPr>
            <w:r>
              <w:rPr>
                <w:rFonts w:hint="eastAsia"/>
                <w:szCs w:val="21"/>
              </w:rPr>
              <w:t>附件</w:t>
            </w:r>
            <w:r>
              <w:rPr>
                <w:szCs w:val="21"/>
              </w:rPr>
              <w:t>2</w:t>
            </w:r>
            <w:r>
              <w:rPr>
                <w:rFonts w:hint="eastAsia"/>
                <w:szCs w:val="21"/>
              </w:rPr>
              <w:t>：立项文件</w:t>
            </w:r>
          </w:p>
          <w:p w14:paraId="3DD012CF">
            <w:pPr>
              <w:spacing w:line="276" w:lineRule="auto"/>
              <w:ind w:firstLine="928" w:firstLineChars="442"/>
              <w:rPr>
                <w:szCs w:val="21"/>
              </w:rPr>
            </w:pPr>
            <w:r>
              <w:rPr>
                <w:rFonts w:hint="eastAsia"/>
                <w:szCs w:val="21"/>
              </w:rPr>
              <w:t>附件</w:t>
            </w:r>
            <w:r>
              <w:rPr>
                <w:szCs w:val="21"/>
              </w:rPr>
              <w:t>3</w:t>
            </w:r>
            <w:r>
              <w:rPr>
                <w:rFonts w:hint="eastAsia"/>
                <w:szCs w:val="21"/>
              </w:rPr>
              <w:t>：原料采伐许可证</w:t>
            </w:r>
          </w:p>
          <w:p w14:paraId="726E704E">
            <w:pPr>
              <w:spacing w:line="276" w:lineRule="auto"/>
              <w:ind w:firstLine="928" w:firstLineChars="442"/>
              <w:rPr>
                <w:szCs w:val="21"/>
              </w:rPr>
            </w:pPr>
            <w:r>
              <w:rPr>
                <w:rFonts w:hint="eastAsia"/>
                <w:szCs w:val="21"/>
              </w:rPr>
              <w:t>附件</w:t>
            </w:r>
            <w:r>
              <w:rPr>
                <w:szCs w:val="21"/>
              </w:rPr>
              <w:t>4</w:t>
            </w:r>
            <w:r>
              <w:rPr>
                <w:rFonts w:hint="eastAsia"/>
                <w:szCs w:val="21"/>
              </w:rPr>
              <w:t>：检测报告</w:t>
            </w:r>
          </w:p>
          <w:p w14:paraId="0B358733">
            <w:pPr>
              <w:spacing w:line="276" w:lineRule="auto"/>
              <w:ind w:firstLine="928" w:firstLineChars="442"/>
              <w:rPr>
                <w:szCs w:val="21"/>
              </w:rPr>
            </w:pPr>
          </w:p>
          <w:p w14:paraId="1F905C56">
            <w:pPr>
              <w:spacing w:line="276" w:lineRule="auto"/>
              <w:ind w:firstLine="420" w:firstLineChars="200"/>
              <w:rPr>
                <w:b/>
                <w:szCs w:val="21"/>
              </w:rPr>
            </w:pPr>
            <w:r>
              <w:rPr>
                <w:rFonts w:hint="eastAsia"/>
                <w:b/>
                <w:szCs w:val="21"/>
              </w:rPr>
              <w:t>附图</w:t>
            </w:r>
          </w:p>
          <w:p w14:paraId="00331A8D">
            <w:pPr>
              <w:spacing w:line="276" w:lineRule="auto"/>
              <w:ind w:firstLine="928" w:firstLineChars="442"/>
              <w:rPr>
                <w:szCs w:val="21"/>
              </w:rPr>
            </w:pPr>
            <w:r>
              <w:rPr>
                <w:rFonts w:hint="eastAsia"/>
                <w:szCs w:val="21"/>
              </w:rPr>
              <w:t>附图</w:t>
            </w:r>
            <w:r>
              <w:rPr>
                <w:szCs w:val="21"/>
              </w:rPr>
              <w:t>1</w:t>
            </w:r>
            <w:r>
              <w:rPr>
                <w:rFonts w:hint="eastAsia"/>
                <w:szCs w:val="21"/>
              </w:rPr>
              <w:t>：项目地理位置图</w:t>
            </w:r>
          </w:p>
          <w:p w14:paraId="438E3564">
            <w:pPr>
              <w:spacing w:line="276" w:lineRule="auto"/>
              <w:ind w:firstLine="928" w:firstLineChars="442"/>
              <w:rPr>
                <w:szCs w:val="21"/>
              </w:rPr>
            </w:pPr>
            <w:r>
              <w:rPr>
                <w:rFonts w:hint="eastAsia"/>
                <w:szCs w:val="21"/>
              </w:rPr>
              <w:t>附图</w:t>
            </w:r>
            <w:r>
              <w:rPr>
                <w:szCs w:val="21"/>
              </w:rPr>
              <w:t>2</w:t>
            </w:r>
            <w:r>
              <w:rPr>
                <w:rFonts w:hint="eastAsia"/>
                <w:szCs w:val="21"/>
              </w:rPr>
              <w:t>：项目平面布置图</w:t>
            </w:r>
          </w:p>
          <w:p w14:paraId="41A31093">
            <w:pPr>
              <w:spacing w:line="276" w:lineRule="auto"/>
              <w:ind w:firstLine="928" w:firstLineChars="442"/>
              <w:rPr>
                <w:szCs w:val="21"/>
              </w:rPr>
            </w:pPr>
            <w:r>
              <w:rPr>
                <w:rFonts w:hint="eastAsia"/>
                <w:szCs w:val="21"/>
              </w:rPr>
              <w:t>附图</w:t>
            </w:r>
            <w:r>
              <w:rPr>
                <w:szCs w:val="21"/>
              </w:rPr>
              <w:t>3</w:t>
            </w:r>
            <w:r>
              <w:rPr>
                <w:rFonts w:hint="eastAsia"/>
                <w:szCs w:val="21"/>
              </w:rPr>
              <w:t>：项目外环境及监测布点图</w:t>
            </w:r>
          </w:p>
          <w:p w14:paraId="27BFB810">
            <w:pPr>
              <w:spacing w:line="276" w:lineRule="auto"/>
              <w:ind w:firstLine="924" w:firstLineChars="440"/>
              <w:rPr>
                <w:szCs w:val="21"/>
              </w:rPr>
            </w:pPr>
            <w:r>
              <w:rPr>
                <w:rFonts w:hint="eastAsia"/>
                <w:szCs w:val="21"/>
              </w:rPr>
              <w:t>附图</w:t>
            </w:r>
            <w:r>
              <w:rPr>
                <w:szCs w:val="21"/>
              </w:rPr>
              <w:t>4</w:t>
            </w:r>
            <w:r>
              <w:rPr>
                <w:rFonts w:hint="eastAsia"/>
                <w:szCs w:val="21"/>
              </w:rPr>
              <w:t>：项目现场勘察图</w:t>
            </w:r>
          </w:p>
          <w:p w14:paraId="0104FD6E">
            <w:pPr>
              <w:spacing w:line="276" w:lineRule="auto"/>
              <w:ind w:firstLine="480" w:firstLineChars="200"/>
              <w:outlineLvl w:val="0"/>
              <w:rPr>
                <w:sz w:val="24"/>
              </w:rPr>
            </w:pPr>
            <w:r>
              <w:rPr>
                <w:rFonts w:hint="eastAsia"/>
                <w:sz w:val="24"/>
              </w:rPr>
              <w:t>二、如果本报告表不能说明项目产生的污染对环境造成的影响，应进行专项评价。根据建设项目的特点和当地环境特征，应选下列</w:t>
            </w:r>
            <w:r>
              <w:rPr>
                <w:sz w:val="24"/>
              </w:rPr>
              <w:t>1-2</w:t>
            </w:r>
            <w:r>
              <w:rPr>
                <w:rFonts w:hint="eastAsia"/>
                <w:sz w:val="24"/>
              </w:rPr>
              <w:t>项进行专项评价。</w:t>
            </w:r>
          </w:p>
          <w:p w14:paraId="377B209B">
            <w:pPr>
              <w:spacing w:line="276" w:lineRule="auto"/>
              <w:ind w:firstLine="560" w:firstLineChars="200"/>
              <w:rPr>
                <w:szCs w:val="21"/>
              </w:rPr>
            </w:pPr>
            <w:r>
              <w:rPr>
                <w:sz w:val="28"/>
                <w:szCs w:val="28"/>
              </w:rPr>
              <w:t xml:space="preserve">  </w:t>
            </w:r>
            <w:r>
              <w:rPr>
                <w:szCs w:val="21"/>
              </w:rPr>
              <w:t>1</w:t>
            </w:r>
            <w:r>
              <w:rPr>
                <w:rFonts w:hint="eastAsia"/>
                <w:szCs w:val="21"/>
              </w:rPr>
              <w:t>、大气环境影响专项评价</w:t>
            </w:r>
          </w:p>
          <w:p w14:paraId="099EA445">
            <w:pPr>
              <w:spacing w:line="276" w:lineRule="auto"/>
              <w:ind w:firstLine="420" w:firstLineChars="200"/>
              <w:rPr>
                <w:szCs w:val="21"/>
              </w:rPr>
            </w:pPr>
            <w:r>
              <w:rPr>
                <w:szCs w:val="21"/>
              </w:rPr>
              <w:t xml:space="preserve">    2</w:t>
            </w:r>
            <w:r>
              <w:rPr>
                <w:rFonts w:hint="eastAsia"/>
                <w:szCs w:val="21"/>
              </w:rPr>
              <w:t>、水环境影响专项评价（包括地表水和地下水）</w:t>
            </w:r>
          </w:p>
          <w:p w14:paraId="26108E5C">
            <w:pPr>
              <w:spacing w:line="276" w:lineRule="auto"/>
              <w:ind w:firstLine="420" w:firstLineChars="200"/>
              <w:rPr>
                <w:szCs w:val="21"/>
              </w:rPr>
            </w:pPr>
            <w:r>
              <w:rPr>
                <w:szCs w:val="21"/>
              </w:rPr>
              <w:t xml:space="preserve">    3</w:t>
            </w:r>
            <w:r>
              <w:rPr>
                <w:rFonts w:hint="eastAsia"/>
                <w:szCs w:val="21"/>
              </w:rPr>
              <w:t>、生态环境影响专项评价</w:t>
            </w:r>
          </w:p>
          <w:p w14:paraId="6432281A">
            <w:pPr>
              <w:spacing w:line="276" w:lineRule="auto"/>
              <w:ind w:firstLine="420" w:firstLineChars="200"/>
              <w:rPr>
                <w:szCs w:val="21"/>
              </w:rPr>
            </w:pPr>
            <w:r>
              <w:rPr>
                <w:szCs w:val="21"/>
              </w:rPr>
              <w:t xml:space="preserve">    4</w:t>
            </w:r>
            <w:r>
              <w:rPr>
                <w:rFonts w:hint="eastAsia"/>
                <w:szCs w:val="21"/>
              </w:rPr>
              <w:t>、声环境影响专项评价</w:t>
            </w:r>
          </w:p>
          <w:p w14:paraId="73394EA0">
            <w:pPr>
              <w:spacing w:line="276" w:lineRule="auto"/>
              <w:ind w:firstLine="420" w:firstLineChars="200"/>
              <w:rPr>
                <w:szCs w:val="21"/>
              </w:rPr>
            </w:pPr>
            <w:r>
              <w:rPr>
                <w:szCs w:val="21"/>
              </w:rPr>
              <w:t xml:space="preserve">    5</w:t>
            </w:r>
            <w:r>
              <w:rPr>
                <w:rFonts w:hint="eastAsia"/>
                <w:szCs w:val="21"/>
              </w:rPr>
              <w:t>、土壤环境影响专项评价</w:t>
            </w:r>
          </w:p>
          <w:p w14:paraId="788A4084">
            <w:pPr>
              <w:spacing w:line="276" w:lineRule="auto"/>
              <w:ind w:firstLine="420" w:firstLineChars="200"/>
              <w:rPr>
                <w:szCs w:val="21"/>
              </w:rPr>
            </w:pPr>
            <w:r>
              <w:rPr>
                <w:szCs w:val="21"/>
              </w:rPr>
              <w:t xml:space="preserve">    6</w:t>
            </w:r>
            <w:r>
              <w:rPr>
                <w:rFonts w:hint="eastAsia"/>
                <w:szCs w:val="21"/>
              </w:rPr>
              <w:t>、固体废弃物影响专项评价</w:t>
            </w:r>
          </w:p>
          <w:p w14:paraId="6AD9F379">
            <w:pPr>
              <w:spacing w:line="276" w:lineRule="auto"/>
              <w:ind w:firstLine="480" w:firstLineChars="200"/>
              <w:rPr>
                <w:sz w:val="24"/>
              </w:rPr>
            </w:pPr>
            <w:r>
              <w:rPr>
                <w:rFonts w:hint="eastAsia"/>
                <w:sz w:val="24"/>
              </w:rPr>
              <w:t>以上专项评价未包括的可另列专项，专项评价按照《环境影响评价技术导则》中的要求进行。</w:t>
            </w:r>
          </w:p>
          <w:p w14:paraId="465E5BF9">
            <w:pPr>
              <w:spacing w:line="360" w:lineRule="auto"/>
              <w:rPr>
                <w:sz w:val="24"/>
              </w:rPr>
            </w:pPr>
          </w:p>
          <w:p w14:paraId="2CFB3267">
            <w:pPr>
              <w:spacing w:line="360" w:lineRule="auto"/>
              <w:rPr>
                <w:sz w:val="24"/>
              </w:rPr>
            </w:pPr>
          </w:p>
          <w:p w14:paraId="6CF8A17E">
            <w:pPr>
              <w:spacing w:line="360" w:lineRule="auto"/>
              <w:rPr>
                <w:sz w:val="24"/>
              </w:rPr>
            </w:pPr>
          </w:p>
          <w:p w14:paraId="3AC7979B">
            <w:pPr>
              <w:spacing w:line="360" w:lineRule="auto"/>
              <w:rPr>
                <w:sz w:val="24"/>
              </w:rPr>
            </w:pPr>
          </w:p>
          <w:p w14:paraId="1E773211">
            <w:pPr>
              <w:spacing w:line="360" w:lineRule="auto"/>
              <w:rPr>
                <w:sz w:val="24"/>
              </w:rPr>
            </w:pPr>
          </w:p>
          <w:p w14:paraId="7A80C592">
            <w:pPr>
              <w:spacing w:line="360" w:lineRule="auto"/>
              <w:rPr>
                <w:sz w:val="24"/>
              </w:rPr>
            </w:pPr>
          </w:p>
          <w:p w14:paraId="7B2E43CB">
            <w:pPr>
              <w:spacing w:line="360" w:lineRule="auto"/>
              <w:rPr>
                <w:sz w:val="24"/>
              </w:rPr>
            </w:pPr>
          </w:p>
          <w:p w14:paraId="47F0529B">
            <w:pPr>
              <w:spacing w:line="360" w:lineRule="auto"/>
              <w:rPr>
                <w:sz w:val="24"/>
              </w:rPr>
            </w:pPr>
          </w:p>
        </w:tc>
      </w:tr>
    </w:tbl>
    <w:p w14:paraId="6AF82B9A">
      <w:pPr>
        <w:spacing w:line="360" w:lineRule="auto"/>
        <w:textAlignment w:val="baseline"/>
        <w:rPr>
          <w:sz w:val="24"/>
        </w:rPr>
      </w:pPr>
    </w:p>
    <w:sectPr>
      <w:footerReference r:id="rId5" w:type="default"/>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TimesNewRoman">
    <w:altName w:val="Times New Roman"/>
    <w:panose1 w:val="00000000000000000000"/>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华文仿宋">
    <w:altName w:val="仿宋"/>
    <w:panose1 w:val="02010600040101010101"/>
    <w:charset w:val="86"/>
    <w:family w:val="auto"/>
    <w:pitch w:val="default"/>
    <w:sig w:usb0="00000000" w:usb1="00000000" w:usb2="00000010" w:usb3="00000000" w:csb0="0004009F" w:csb1="00000000"/>
  </w:font>
  <w:font w:name="等线">
    <w:altName w:val="微软雅黑"/>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Wingdings 2">
    <w:altName w:val="Wingdings"/>
    <w:panose1 w:val="05020102010507070707"/>
    <w:charset w:val="02"/>
    <w:family w:val="roman"/>
    <w:pitch w:val="default"/>
    <w:sig w:usb0="00000000" w:usb1="00000000" w:usb2="00000000" w:usb3="00000000" w:csb0="80000000" w:csb1="00000000"/>
  </w:font>
  <w:font w:name="TimesNewRomanPSMT">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28864">
    <w:pPr>
      <w:pStyle w:val="16"/>
    </w:pPr>
  </w:p>
  <w:p w14:paraId="7527443C">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EA12F">
    <w:pPr>
      <w:pStyle w:val="16"/>
      <w:jc w:val="center"/>
    </w:pPr>
    <w:r>
      <w:fldChar w:fldCharType="begin"/>
    </w:r>
    <w:r>
      <w:instrText xml:space="preserve">PAGE   \* MERGEFORMAT</w:instrText>
    </w:r>
    <w:r>
      <w:fldChar w:fldCharType="separate"/>
    </w:r>
    <w:r>
      <w:rPr>
        <w:lang w:val="zh-CN"/>
      </w:rPr>
      <w:t>47</w:t>
    </w:r>
    <w:r>
      <w:rPr>
        <w:lang w:val="zh-CN"/>
      </w:rPr>
      <w:fldChar w:fldCharType="end"/>
    </w:r>
  </w:p>
  <w:p w14:paraId="417A4BF6">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E0974">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2B6BA9"/>
    <w:multiLevelType w:val="multilevel"/>
    <w:tmpl w:val="392B6BA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0"/>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4D"/>
    <w:rsid w:val="00000171"/>
    <w:rsid w:val="00000C04"/>
    <w:rsid w:val="00000C96"/>
    <w:rsid w:val="00000F40"/>
    <w:rsid w:val="000028F8"/>
    <w:rsid w:val="000034F9"/>
    <w:rsid w:val="0000388A"/>
    <w:rsid w:val="00003A70"/>
    <w:rsid w:val="0000474E"/>
    <w:rsid w:val="00004842"/>
    <w:rsid w:val="00005BB4"/>
    <w:rsid w:val="000066B4"/>
    <w:rsid w:val="00006F9B"/>
    <w:rsid w:val="0000720E"/>
    <w:rsid w:val="00007ED9"/>
    <w:rsid w:val="0001168E"/>
    <w:rsid w:val="00012113"/>
    <w:rsid w:val="000132B4"/>
    <w:rsid w:val="00013893"/>
    <w:rsid w:val="00014517"/>
    <w:rsid w:val="00014D68"/>
    <w:rsid w:val="0001545B"/>
    <w:rsid w:val="00016237"/>
    <w:rsid w:val="000164D4"/>
    <w:rsid w:val="0001681F"/>
    <w:rsid w:val="00016D6E"/>
    <w:rsid w:val="00017E33"/>
    <w:rsid w:val="000200AE"/>
    <w:rsid w:val="00020460"/>
    <w:rsid w:val="00020998"/>
    <w:rsid w:val="00020FA1"/>
    <w:rsid w:val="00021A38"/>
    <w:rsid w:val="00021F7D"/>
    <w:rsid w:val="000226FB"/>
    <w:rsid w:val="000228B8"/>
    <w:rsid w:val="00025318"/>
    <w:rsid w:val="00026508"/>
    <w:rsid w:val="000276DC"/>
    <w:rsid w:val="00027807"/>
    <w:rsid w:val="000305C3"/>
    <w:rsid w:val="00031E50"/>
    <w:rsid w:val="00032A0C"/>
    <w:rsid w:val="000330E5"/>
    <w:rsid w:val="00033A3E"/>
    <w:rsid w:val="00034E39"/>
    <w:rsid w:val="0003500A"/>
    <w:rsid w:val="00035CD1"/>
    <w:rsid w:val="000366E8"/>
    <w:rsid w:val="00037E85"/>
    <w:rsid w:val="00040384"/>
    <w:rsid w:val="00041012"/>
    <w:rsid w:val="000421D5"/>
    <w:rsid w:val="000424B4"/>
    <w:rsid w:val="000430D9"/>
    <w:rsid w:val="000437BE"/>
    <w:rsid w:val="00044038"/>
    <w:rsid w:val="000448FD"/>
    <w:rsid w:val="00044C83"/>
    <w:rsid w:val="00045904"/>
    <w:rsid w:val="00045A55"/>
    <w:rsid w:val="00045CE0"/>
    <w:rsid w:val="00045CFB"/>
    <w:rsid w:val="00045F99"/>
    <w:rsid w:val="0004641D"/>
    <w:rsid w:val="000464E2"/>
    <w:rsid w:val="00046AC3"/>
    <w:rsid w:val="00046C96"/>
    <w:rsid w:val="00047453"/>
    <w:rsid w:val="000478F3"/>
    <w:rsid w:val="000503DE"/>
    <w:rsid w:val="00050926"/>
    <w:rsid w:val="00050A30"/>
    <w:rsid w:val="00050D33"/>
    <w:rsid w:val="00050E73"/>
    <w:rsid w:val="000513D0"/>
    <w:rsid w:val="00052760"/>
    <w:rsid w:val="00052A2E"/>
    <w:rsid w:val="00053E0A"/>
    <w:rsid w:val="00053FC6"/>
    <w:rsid w:val="0005508E"/>
    <w:rsid w:val="00055801"/>
    <w:rsid w:val="00055FCE"/>
    <w:rsid w:val="0005635A"/>
    <w:rsid w:val="00056D60"/>
    <w:rsid w:val="00056E0D"/>
    <w:rsid w:val="00057D32"/>
    <w:rsid w:val="00060F8D"/>
    <w:rsid w:val="000629F1"/>
    <w:rsid w:val="00062D4A"/>
    <w:rsid w:val="000630FD"/>
    <w:rsid w:val="00063678"/>
    <w:rsid w:val="00063ECA"/>
    <w:rsid w:val="0006429C"/>
    <w:rsid w:val="000648C4"/>
    <w:rsid w:val="00064FAF"/>
    <w:rsid w:val="000658A1"/>
    <w:rsid w:val="00067507"/>
    <w:rsid w:val="0006796E"/>
    <w:rsid w:val="00070E93"/>
    <w:rsid w:val="00071068"/>
    <w:rsid w:val="00071A99"/>
    <w:rsid w:val="0007203A"/>
    <w:rsid w:val="0007241D"/>
    <w:rsid w:val="0007270C"/>
    <w:rsid w:val="00072938"/>
    <w:rsid w:val="00072CB2"/>
    <w:rsid w:val="00072EDE"/>
    <w:rsid w:val="0007386F"/>
    <w:rsid w:val="000745C1"/>
    <w:rsid w:val="000753E7"/>
    <w:rsid w:val="000755DF"/>
    <w:rsid w:val="00075A91"/>
    <w:rsid w:val="00076E00"/>
    <w:rsid w:val="0007743A"/>
    <w:rsid w:val="000779AB"/>
    <w:rsid w:val="00077A0F"/>
    <w:rsid w:val="000800C0"/>
    <w:rsid w:val="000806CA"/>
    <w:rsid w:val="00081719"/>
    <w:rsid w:val="0008192A"/>
    <w:rsid w:val="00081CCA"/>
    <w:rsid w:val="00081D51"/>
    <w:rsid w:val="00081E7C"/>
    <w:rsid w:val="0008215B"/>
    <w:rsid w:val="000825FE"/>
    <w:rsid w:val="0008286A"/>
    <w:rsid w:val="00082938"/>
    <w:rsid w:val="000834B5"/>
    <w:rsid w:val="00083811"/>
    <w:rsid w:val="00083875"/>
    <w:rsid w:val="00083F8A"/>
    <w:rsid w:val="00084475"/>
    <w:rsid w:val="00085C1C"/>
    <w:rsid w:val="00087B3B"/>
    <w:rsid w:val="00087C42"/>
    <w:rsid w:val="00090515"/>
    <w:rsid w:val="00090628"/>
    <w:rsid w:val="00090E92"/>
    <w:rsid w:val="00091643"/>
    <w:rsid w:val="0009181F"/>
    <w:rsid w:val="00092227"/>
    <w:rsid w:val="00094256"/>
    <w:rsid w:val="0009603E"/>
    <w:rsid w:val="00096CCD"/>
    <w:rsid w:val="000A014D"/>
    <w:rsid w:val="000A12E5"/>
    <w:rsid w:val="000A20F9"/>
    <w:rsid w:val="000A2964"/>
    <w:rsid w:val="000A3F2B"/>
    <w:rsid w:val="000A5BA7"/>
    <w:rsid w:val="000A5BF9"/>
    <w:rsid w:val="000A5F7D"/>
    <w:rsid w:val="000A6B53"/>
    <w:rsid w:val="000A6F39"/>
    <w:rsid w:val="000A7416"/>
    <w:rsid w:val="000B16C6"/>
    <w:rsid w:val="000B1B06"/>
    <w:rsid w:val="000B1C19"/>
    <w:rsid w:val="000B1DBA"/>
    <w:rsid w:val="000B1FF8"/>
    <w:rsid w:val="000B2271"/>
    <w:rsid w:val="000B297B"/>
    <w:rsid w:val="000B2B26"/>
    <w:rsid w:val="000B2BB6"/>
    <w:rsid w:val="000B3C67"/>
    <w:rsid w:val="000B4131"/>
    <w:rsid w:val="000B47AA"/>
    <w:rsid w:val="000B496A"/>
    <w:rsid w:val="000B4CC3"/>
    <w:rsid w:val="000B6039"/>
    <w:rsid w:val="000B61E0"/>
    <w:rsid w:val="000B6938"/>
    <w:rsid w:val="000B712B"/>
    <w:rsid w:val="000B7811"/>
    <w:rsid w:val="000B7832"/>
    <w:rsid w:val="000C35A3"/>
    <w:rsid w:val="000C3C23"/>
    <w:rsid w:val="000C4A71"/>
    <w:rsid w:val="000C4B6B"/>
    <w:rsid w:val="000C4C10"/>
    <w:rsid w:val="000C5605"/>
    <w:rsid w:val="000C57BA"/>
    <w:rsid w:val="000C5EC0"/>
    <w:rsid w:val="000C79E9"/>
    <w:rsid w:val="000D0906"/>
    <w:rsid w:val="000D09DC"/>
    <w:rsid w:val="000D0D22"/>
    <w:rsid w:val="000D1D2C"/>
    <w:rsid w:val="000D1F2B"/>
    <w:rsid w:val="000D2C82"/>
    <w:rsid w:val="000D2F3B"/>
    <w:rsid w:val="000D3801"/>
    <w:rsid w:val="000D3815"/>
    <w:rsid w:val="000D432F"/>
    <w:rsid w:val="000D47E6"/>
    <w:rsid w:val="000D49A6"/>
    <w:rsid w:val="000D4C47"/>
    <w:rsid w:val="000D4D13"/>
    <w:rsid w:val="000D5A3C"/>
    <w:rsid w:val="000D5D0B"/>
    <w:rsid w:val="000D7352"/>
    <w:rsid w:val="000D78D5"/>
    <w:rsid w:val="000D7FE7"/>
    <w:rsid w:val="000E03EF"/>
    <w:rsid w:val="000E1E7E"/>
    <w:rsid w:val="000E2422"/>
    <w:rsid w:val="000E298D"/>
    <w:rsid w:val="000E321F"/>
    <w:rsid w:val="000E3464"/>
    <w:rsid w:val="000E35D9"/>
    <w:rsid w:val="000E43F0"/>
    <w:rsid w:val="000E5319"/>
    <w:rsid w:val="000E5466"/>
    <w:rsid w:val="000E589D"/>
    <w:rsid w:val="000E6308"/>
    <w:rsid w:val="000E6DBC"/>
    <w:rsid w:val="000E700F"/>
    <w:rsid w:val="000E7B2A"/>
    <w:rsid w:val="000F0E0E"/>
    <w:rsid w:val="000F1593"/>
    <w:rsid w:val="000F24D8"/>
    <w:rsid w:val="000F3406"/>
    <w:rsid w:val="000F344F"/>
    <w:rsid w:val="000F3917"/>
    <w:rsid w:val="000F3C17"/>
    <w:rsid w:val="000F49DE"/>
    <w:rsid w:val="000F597C"/>
    <w:rsid w:val="000F7280"/>
    <w:rsid w:val="000F79B3"/>
    <w:rsid w:val="00100774"/>
    <w:rsid w:val="00100E5E"/>
    <w:rsid w:val="001012A5"/>
    <w:rsid w:val="001013B9"/>
    <w:rsid w:val="00101622"/>
    <w:rsid w:val="00101EBE"/>
    <w:rsid w:val="00102EBB"/>
    <w:rsid w:val="0010390B"/>
    <w:rsid w:val="00103F13"/>
    <w:rsid w:val="00103FE1"/>
    <w:rsid w:val="001040A0"/>
    <w:rsid w:val="00104125"/>
    <w:rsid w:val="001042DE"/>
    <w:rsid w:val="00104E8B"/>
    <w:rsid w:val="00105A7F"/>
    <w:rsid w:val="00105DDA"/>
    <w:rsid w:val="00106A5D"/>
    <w:rsid w:val="00106E41"/>
    <w:rsid w:val="001077BC"/>
    <w:rsid w:val="001112B7"/>
    <w:rsid w:val="001116C2"/>
    <w:rsid w:val="00111B10"/>
    <w:rsid w:val="00111EA4"/>
    <w:rsid w:val="001120ED"/>
    <w:rsid w:val="00112AD4"/>
    <w:rsid w:val="00112E60"/>
    <w:rsid w:val="0011354E"/>
    <w:rsid w:val="0011365D"/>
    <w:rsid w:val="001136E9"/>
    <w:rsid w:val="001137C4"/>
    <w:rsid w:val="00113975"/>
    <w:rsid w:val="001155D5"/>
    <w:rsid w:val="00115AAE"/>
    <w:rsid w:val="00115ABB"/>
    <w:rsid w:val="0011742A"/>
    <w:rsid w:val="00117774"/>
    <w:rsid w:val="00117AE7"/>
    <w:rsid w:val="001209EA"/>
    <w:rsid w:val="00121E44"/>
    <w:rsid w:val="00122471"/>
    <w:rsid w:val="00122F5F"/>
    <w:rsid w:val="00124D20"/>
    <w:rsid w:val="00125271"/>
    <w:rsid w:val="001254DE"/>
    <w:rsid w:val="001259D2"/>
    <w:rsid w:val="00125BD2"/>
    <w:rsid w:val="00125F81"/>
    <w:rsid w:val="00126535"/>
    <w:rsid w:val="00126E13"/>
    <w:rsid w:val="001272A6"/>
    <w:rsid w:val="001277C6"/>
    <w:rsid w:val="00127AEA"/>
    <w:rsid w:val="00127B76"/>
    <w:rsid w:val="001303AE"/>
    <w:rsid w:val="0013082F"/>
    <w:rsid w:val="00130BD8"/>
    <w:rsid w:val="0013137B"/>
    <w:rsid w:val="00132161"/>
    <w:rsid w:val="0013244E"/>
    <w:rsid w:val="00132626"/>
    <w:rsid w:val="00133031"/>
    <w:rsid w:val="0013315A"/>
    <w:rsid w:val="00133598"/>
    <w:rsid w:val="001336A5"/>
    <w:rsid w:val="00133BDB"/>
    <w:rsid w:val="0013410C"/>
    <w:rsid w:val="00134961"/>
    <w:rsid w:val="00135864"/>
    <w:rsid w:val="001362E9"/>
    <w:rsid w:val="0013758E"/>
    <w:rsid w:val="00137CEE"/>
    <w:rsid w:val="001409AE"/>
    <w:rsid w:val="00140C27"/>
    <w:rsid w:val="001412EF"/>
    <w:rsid w:val="00141EA7"/>
    <w:rsid w:val="001425F4"/>
    <w:rsid w:val="0014340F"/>
    <w:rsid w:val="001437DA"/>
    <w:rsid w:val="00145B05"/>
    <w:rsid w:val="0014616D"/>
    <w:rsid w:val="0014619C"/>
    <w:rsid w:val="00147328"/>
    <w:rsid w:val="001474B4"/>
    <w:rsid w:val="00150BA1"/>
    <w:rsid w:val="00151304"/>
    <w:rsid w:val="001526BA"/>
    <w:rsid w:val="001526F6"/>
    <w:rsid w:val="001543C3"/>
    <w:rsid w:val="00157E4D"/>
    <w:rsid w:val="00160C2E"/>
    <w:rsid w:val="00160C4E"/>
    <w:rsid w:val="00161054"/>
    <w:rsid w:val="00162257"/>
    <w:rsid w:val="00162401"/>
    <w:rsid w:val="00163DF5"/>
    <w:rsid w:val="00163FA3"/>
    <w:rsid w:val="001640D9"/>
    <w:rsid w:val="001648C3"/>
    <w:rsid w:val="0016511B"/>
    <w:rsid w:val="0016527C"/>
    <w:rsid w:val="001663D3"/>
    <w:rsid w:val="0016690D"/>
    <w:rsid w:val="00166A4A"/>
    <w:rsid w:val="00166B65"/>
    <w:rsid w:val="00166EDE"/>
    <w:rsid w:val="00171D80"/>
    <w:rsid w:val="00172A27"/>
    <w:rsid w:val="00172D4C"/>
    <w:rsid w:val="00174DD8"/>
    <w:rsid w:val="0017525A"/>
    <w:rsid w:val="001757DD"/>
    <w:rsid w:val="00176275"/>
    <w:rsid w:val="00176447"/>
    <w:rsid w:val="00176453"/>
    <w:rsid w:val="00176977"/>
    <w:rsid w:val="00177781"/>
    <w:rsid w:val="00177D52"/>
    <w:rsid w:val="0018015C"/>
    <w:rsid w:val="0018344E"/>
    <w:rsid w:val="0018442D"/>
    <w:rsid w:val="0018450A"/>
    <w:rsid w:val="001845D6"/>
    <w:rsid w:val="00184BD1"/>
    <w:rsid w:val="00186555"/>
    <w:rsid w:val="00187820"/>
    <w:rsid w:val="00187CB6"/>
    <w:rsid w:val="00187FC6"/>
    <w:rsid w:val="001921AF"/>
    <w:rsid w:val="001927B4"/>
    <w:rsid w:val="00194F95"/>
    <w:rsid w:val="001955F8"/>
    <w:rsid w:val="0019571B"/>
    <w:rsid w:val="00195DBC"/>
    <w:rsid w:val="0019652E"/>
    <w:rsid w:val="001966B7"/>
    <w:rsid w:val="00196F95"/>
    <w:rsid w:val="001979F2"/>
    <w:rsid w:val="001A025B"/>
    <w:rsid w:val="001A0A70"/>
    <w:rsid w:val="001A107E"/>
    <w:rsid w:val="001A1E6A"/>
    <w:rsid w:val="001A23A6"/>
    <w:rsid w:val="001A2E21"/>
    <w:rsid w:val="001A4821"/>
    <w:rsid w:val="001A4A80"/>
    <w:rsid w:val="001A589A"/>
    <w:rsid w:val="001A5A22"/>
    <w:rsid w:val="001A7301"/>
    <w:rsid w:val="001A7EB6"/>
    <w:rsid w:val="001B04A1"/>
    <w:rsid w:val="001B0B0C"/>
    <w:rsid w:val="001B0B6F"/>
    <w:rsid w:val="001B120A"/>
    <w:rsid w:val="001B12AD"/>
    <w:rsid w:val="001B1AE4"/>
    <w:rsid w:val="001B1BB1"/>
    <w:rsid w:val="001B1E15"/>
    <w:rsid w:val="001B27F0"/>
    <w:rsid w:val="001B292F"/>
    <w:rsid w:val="001B3041"/>
    <w:rsid w:val="001B3207"/>
    <w:rsid w:val="001B3D5B"/>
    <w:rsid w:val="001B424C"/>
    <w:rsid w:val="001B454B"/>
    <w:rsid w:val="001B47A8"/>
    <w:rsid w:val="001B53C1"/>
    <w:rsid w:val="001B5DB5"/>
    <w:rsid w:val="001B6A80"/>
    <w:rsid w:val="001B6D8F"/>
    <w:rsid w:val="001B78E1"/>
    <w:rsid w:val="001B7B2F"/>
    <w:rsid w:val="001B7F3B"/>
    <w:rsid w:val="001C031C"/>
    <w:rsid w:val="001C0415"/>
    <w:rsid w:val="001C1C89"/>
    <w:rsid w:val="001C2249"/>
    <w:rsid w:val="001C22FF"/>
    <w:rsid w:val="001C2857"/>
    <w:rsid w:val="001C2B49"/>
    <w:rsid w:val="001C37E8"/>
    <w:rsid w:val="001C3BC6"/>
    <w:rsid w:val="001C3FAD"/>
    <w:rsid w:val="001C4245"/>
    <w:rsid w:val="001C4618"/>
    <w:rsid w:val="001C4674"/>
    <w:rsid w:val="001C5278"/>
    <w:rsid w:val="001C5962"/>
    <w:rsid w:val="001C5CE5"/>
    <w:rsid w:val="001C6102"/>
    <w:rsid w:val="001C6B04"/>
    <w:rsid w:val="001C768D"/>
    <w:rsid w:val="001C7D10"/>
    <w:rsid w:val="001D0BA0"/>
    <w:rsid w:val="001D1060"/>
    <w:rsid w:val="001D2218"/>
    <w:rsid w:val="001D248A"/>
    <w:rsid w:val="001D2AAD"/>
    <w:rsid w:val="001D2F7B"/>
    <w:rsid w:val="001D3AA7"/>
    <w:rsid w:val="001D412E"/>
    <w:rsid w:val="001D4C2E"/>
    <w:rsid w:val="001D7473"/>
    <w:rsid w:val="001D7BEF"/>
    <w:rsid w:val="001E025F"/>
    <w:rsid w:val="001E05CC"/>
    <w:rsid w:val="001E07F4"/>
    <w:rsid w:val="001E0E03"/>
    <w:rsid w:val="001E1EAD"/>
    <w:rsid w:val="001E24DF"/>
    <w:rsid w:val="001E2A6F"/>
    <w:rsid w:val="001E2AC1"/>
    <w:rsid w:val="001E2C91"/>
    <w:rsid w:val="001E321A"/>
    <w:rsid w:val="001E3B97"/>
    <w:rsid w:val="001E492B"/>
    <w:rsid w:val="001E5E4A"/>
    <w:rsid w:val="001E623A"/>
    <w:rsid w:val="001E6305"/>
    <w:rsid w:val="001E6E8A"/>
    <w:rsid w:val="001E7568"/>
    <w:rsid w:val="001E76B4"/>
    <w:rsid w:val="001E7921"/>
    <w:rsid w:val="001F1F99"/>
    <w:rsid w:val="001F2F86"/>
    <w:rsid w:val="001F46E4"/>
    <w:rsid w:val="001F4B63"/>
    <w:rsid w:val="001F5191"/>
    <w:rsid w:val="001F593D"/>
    <w:rsid w:val="001F5AA3"/>
    <w:rsid w:val="001F63F8"/>
    <w:rsid w:val="001F6863"/>
    <w:rsid w:val="001F6FDE"/>
    <w:rsid w:val="001F7464"/>
    <w:rsid w:val="00200451"/>
    <w:rsid w:val="002008C2"/>
    <w:rsid w:val="0020133B"/>
    <w:rsid w:val="002015E1"/>
    <w:rsid w:val="00201C00"/>
    <w:rsid w:val="00202016"/>
    <w:rsid w:val="00204314"/>
    <w:rsid w:val="002045F1"/>
    <w:rsid w:val="002052CA"/>
    <w:rsid w:val="00205A0A"/>
    <w:rsid w:val="00205F24"/>
    <w:rsid w:val="00206078"/>
    <w:rsid w:val="00206228"/>
    <w:rsid w:val="00206EBA"/>
    <w:rsid w:val="002070BD"/>
    <w:rsid w:val="002070E1"/>
    <w:rsid w:val="00207755"/>
    <w:rsid w:val="00207BBE"/>
    <w:rsid w:val="00210D06"/>
    <w:rsid w:val="00211855"/>
    <w:rsid w:val="002121D6"/>
    <w:rsid w:val="00212200"/>
    <w:rsid w:val="00212E38"/>
    <w:rsid w:val="00213030"/>
    <w:rsid w:val="00213950"/>
    <w:rsid w:val="002145AB"/>
    <w:rsid w:val="002145E3"/>
    <w:rsid w:val="00215BA2"/>
    <w:rsid w:val="00215F07"/>
    <w:rsid w:val="002160F7"/>
    <w:rsid w:val="002170F3"/>
    <w:rsid w:val="002170FF"/>
    <w:rsid w:val="00217110"/>
    <w:rsid w:val="002171C0"/>
    <w:rsid w:val="0021799E"/>
    <w:rsid w:val="00217A0B"/>
    <w:rsid w:val="00217B17"/>
    <w:rsid w:val="002200A7"/>
    <w:rsid w:val="00220E74"/>
    <w:rsid w:val="0022220E"/>
    <w:rsid w:val="00222367"/>
    <w:rsid w:val="00224BB3"/>
    <w:rsid w:val="00224F38"/>
    <w:rsid w:val="00225EA6"/>
    <w:rsid w:val="00225F4C"/>
    <w:rsid w:val="002262DA"/>
    <w:rsid w:val="0022671A"/>
    <w:rsid w:val="00226B36"/>
    <w:rsid w:val="00227518"/>
    <w:rsid w:val="00227E66"/>
    <w:rsid w:val="002303D8"/>
    <w:rsid w:val="00230F4A"/>
    <w:rsid w:val="00230FF2"/>
    <w:rsid w:val="0023118C"/>
    <w:rsid w:val="002317A6"/>
    <w:rsid w:val="00231D70"/>
    <w:rsid w:val="00232443"/>
    <w:rsid w:val="002328A3"/>
    <w:rsid w:val="002357FE"/>
    <w:rsid w:val="00235B18"/>
    <w:rsid w:val="00235CBE"/>
    <w:rsid w:val="00235EC4"/>
    <w:rsid w:val="002360D4"/>
    <w:rsid w:val="00236FBF"/>
    <w:rsid w:val="0023709F"/>
    <w:rsid w:val="00237414"/>
    <w:rsid w:val="00237A4D"/>
    <w:rsid w:val="002408DF"/>
    <w:rsid w:val="00241060"/>
    <w:rsid w:val="002411AB"/>
    <w:rsid w:val="00241561"/>
    <w:rsid w:val="00241E23"/>
    <w:rsid w:val="00241F47"/>
    <w:rsid w:val="00241FB7"/>
    <w:rsid w:val="00242653"/>
    <w:rsid w:val="00242CE6"/>
    <w:rsid w:val="0024456A"/>
    <w:rsid w:val="00245130"/>
    <w:rsid w:val="00245209"/>
    <w:rsid w:val="002453ED"/>
    <w:rsid w:val="00246A3D"/>
    <w:rsid w:val="00247EAB"/>
    <w:rsid w:val="00250AD0"/>
    <w:rsid w:val="00250B18"/>
    <w:rsid w:val="00250D6E"/>
    <w:rsid w:val="002512DC"/>
    <w:rsid w:val="00251841"/>
    <w:rsid w:val="002521C1"/>
    <w:rsid w:val="002532C7"/>
    <w:rsid w:val="00253304"/>
    <w:rsid w:val="00253DCC"/>
    <w:rsid w:val="00254947"/>
    <w:rsid w:val="00255307"/>
    <w:rsid w:val="0025645C"/>
    <w:rsid w:val="00256943"/>
    <w:rsid w:val="00256D25"/>
    <w:rsid w:val="00257710"/>
    <w:rsid w:val="00257FE7"/>
    <w:rsid w:val="00260148"/>
    <w:rsid w:val="00260C9D"/>
    <w:rsid w:val="00261857"/>
    <w:rsid w:val="00261D03"/>
    <w:rsid w:val="002620DC"/>
    <w:rsid w:val="00262B83"/>
    <w:rsid w:val="00262C4E"/>
    <w:rsid w:val="00262CE7"/>
    <w:rsid w:val="00262E81"/>
    <w:rsid w:val="002675EE"/>
    <w:rsid w:val="00271B0B"/>
    <w:rsid w:val="00272D1B"/>
    <w:rsid w:val="00273387"/>
    <w:rsid w:val="002738C6"/>
    <w:rsid w:val="00273EB1"/>
    <w:rsid w:val="002743D7"/>
    <w:rsid w:val="0027441D"/>
    <w:rsid w:val="00274695"/>
    <w:rsid w:val="0027545D"/>
    <w:rsid w:val="002756CE"/>
    <w:rsid w:val="00275BC6"/>
    <w:rsid w:val="00275E88"/>
    <w:rsid w:val="00276C28"/>
    <w:rsid w:val="00277015"/>
    <w:rsid w:val="0027776A"/>
    <w:rsid w:val="00277E36"/>
    <w:rsid w:val="00281DB8"/>
    <w:rsid w:val="00283E50"/>
    <w:rsid w:val="002851C8"/>
    <w:rsid w:val="0028592E"/>
    <w:rsid w:val="00286B67"/>
    <w:rsid w:val="0029000F"/>
    <w:rsid w:val="002900F0"/>
    <w:rsid w:val="002901B8"/>
    <w:rsid w:val="00290244"/>
    <w:rsid w:val="0029142B"/>
    <w:rsid w:val="0029146D"/>
    <w:rsid w:val="00291944"/>
    <w:rsid w:val="00292D0B"/>
    <w:rsid w:val="0029318D"/>
    <w:rsid w:val="0029344C"/>
    <w:rsid w:val="00293B6C"/>
    <w:rsid w:val="00293E48"/>
    <w:rsid w:val="002951D3"/>
    <w:rsid w:val="0029568E"/>
    <w:rsid w:val="002959FE"/>
    <w:rsid w:val="002963F6"/>
    <w:rsid w:val="00296818"/>
    <w:rsid w:val="002974BA"/>
    <w:rsid w:val="002A118F"/>
    <w:rsid w:val="002A26C5"/>
    <w:rsid w:val="002A4193"/>
    <w:rsid w:val="002A4425"/>
    <w:rsid w:val="002A4907"/>
    <w:rsid w:val="002A494D"/>
    <w:rsid w:val="002A501C"/>
    <w:rsid w:val="002A503C"/>
    <w:rsid w:val="002A631F"/>
    <w:rsid w:val="002A7230"/>
    <w:rsid w:val="002A75D7"/>
    <w:rsid w:val="002A773F"/>
    <w:rsid w:val="002A79E6"/>
    <w:rsid w:val="002A7DAF"/>
    <w:rsid w:val="002B005E"/>
    <w:rsid w:val="002B0290"/>
    <w:rsid w:val="002B0326"/>
    <w:rsid w:val="002B0390"/>
    <w:rsid w:val="002B14A8"/>
    <w:rsid w:val="002B1738"/>
    <w:rsid w:val="002B1A3A"/>
    <w:rsid w:val="002B1CCF"/>
    <w:rsid w:val="002B2032"/>
    <w:rsid w:val="002B2C79"/>
    <w:rsid w:val="002B38D3"/>
    <w:rsid w:val="002B3DCF"/>
    <w:rsid w:val="002B41E2"/>
    <w:rsid w:val="002B47E6"/>
    <w:rsid w:val="002B4B44"/>
    <w:rsid w:val="002B4C16"/>
    <w:rsid w:val="002B4E4E"/>
    <w:rsid w:val="002B5526"/>
    <w:rsid w:val="002B55F9"/>
    <w:rsid w:val="002B5C9C"/>
    <w:rsid w:val="002B63F1"/>
    <w:rsid w:val="002B652E"/>
    <w:rsid w:val="002B6D3A"/>
    <w:rsid w:val="002B6FDD"/>
    <w:rsid w:val="002B7462"/>
    <w:rsid w:val="002B76ED"/>
    <w:rsid w:val="002B7801"/>
    <w:rsid w:val="002C01D5"/>
    <w:rsid w:val="002C1118"/>
    <w:rsid w:val="002C2CAA"/>
    <w:rsid w:val="002C2DE4"/>
    <w:rsid w:val="002C2F3F"/>
    <w:rsid w:val="002C3642"/>
    <w:rsid w:val="002C394E"/>
    <w:rsid w:val="002C43AF"/>
    <w:rsid w:val="002C4C67"/>
    <w:rsid w:val="002C4EA0"/>
    <w:rsid w:val="002C5A58"/>
    <w:rsid w:val="002C5B89"/>
    <w:rsid w:val="002C683E"/>
    <w:rsid w:val="002C6A83"/>
    <w:rsid w:val="002C773F"/>
    <w:rsid w:val="002D0A6D"/>
    <w:rsid w:val="002D0B13"/>
    <w:rsid w:val="002D1114"/>
    <w:rsid w:val="002D2468"/>
    <w:rsid w:val="002D4283"/>
    <w:rsid w:val="002D44BA"/>
    <w:rsid w:val="002D4721"/>
    <w:rsid w:val="002D4A56"/>
    <w:rsid w:val="002D5193"/>
    <w:rsid w:val="002D564B"/>
    <w:rsid w:val="002D64A4"/>
    <w:rsid w:val="002D668B"/>
    <w:rsid w:val="002D6A6F"/>
    <w:rsid w:val="002D6AA6"/>
    <w:rsid w:val="002D6E87"/>
    <w:rsid w:val="002D715C"/>
    <w:rsid w:val="002D77CE"/>
    <w:rsid w:val="002E0FF0"/>
    <w:rsid w:val="002E1103"/>
    <w:rsid w:val="002E1A2B"/>
    <w:rsid w:val="002E2743"/>
    <w:rsid w:val="002E29F3"/>
    <w:rsid w:val="002E31F7"/>
    <w:rsid w:val="002E3348"/>
    <w:rsid w:val="002E4A35"/>
    <w:rsid w:val="002E54D5"/>
    <w:rsid w:val="002E553C"/>
    <w:rsid w:val="002E5966"/>
    <w:rsid w:val="002E6435"/>
    <w:rsid w:val="002E75B6"/>
    <w:rsid w:val="002E7A78"/>
    <w:rsid w:val="002E7A7F"/>
    <w:rsid w:val="002E7E66"/>
    <w:rsid w:val="002F0594"/>
    <w:rsid w:val="002F202D"/>
    <w:rsid w:val="002F35B2"/>
    <w:rsid w:val="002F5114"/>
    <w:rsid w:val="002F5292"/>
    <w:rsid w:val="002F5F6F"/>
    <w:rsid w:val="002F65D5"/>
    <w:rsid w:val="0030152F"/>
    <w:rsid w:val="00301DB9"/>
    <w:rsid w:val="0030285E"/>
    <w:rsid w:val="003038CC"/>
    <w:rsid w:val="003052E2"/>
    <w:rsid w:val="00306A32"/>
    <w:rsid w:val="00310796"/>
    <w:rsid w:val="003113AE"/>
    <w:rsid w:val="003119A2"/>
    <w:rsid w:val="00311D16"/>
    <w:rsid w:val="00312974"/>
    <w:rsid w:val="003146BF"/>
    <w:rsid w:val="00314738"/>
    <w:rsid w:val="00314D54"/>
    <w:rsid w:val="00315325"/>
    <w:rsid w:val="003157FC"/>
    <w:rsid w:val="0031605F"/>
    <w:rsid w:val="00316FD7"/>
    <w:rsid w:val="00317C93"/>
    <w:rsid w:val="00317EC3"/>
    <w:rsid w:val="003228E6"/>
    <w:rsid w:val="00323504"/>
    <w:rsid w:val="00323636"/>
    <w:rsid w:val="003239C5"/>
    <w:rsid w:val="00323E50"/>
    <w:rsid w:val="00325130"/>
    <w:rsid w:val="00325351"/>
    <w:rsid w:val="00326F9F"/>
    <w:rsid w:val="00327357"/>
    <w:rsid w:val="003274D1"/>
    <w:rsid w:val="00327AF3"/>
    <w:rsid w:val="0033009B"/>
    <w:rsid w:val="00331638"/>
    <w:rsid w:val="00331901"/>
    <w:rsid w:val="00331BCF"/>
    <w:rsid w:val="00331E82"/>
    <w:rsid w:val="003322B7"/>
    <w:rsid w:val="00332BFC"/>
    <w:rsid w:val="00333126"/>
    <w:rsid w:val="003349E5"/>
    <w:rsid w:val="0033586D"/>
    <w:rsid w:val="003368F8"/>
    <w:rsid w:val="00337E10"/>
    <w:rsid w:val="003415FB"/>
    <w:rsid w:val="0034223C"/>
    <w:rsid w:val="0034229C"/>
    <w:rsid w:val="003422B2"/>
    <w:rsid w:val="003424A7"/>
    <w:rsid w:val="003430A9"/>
    <w:rsid w:val="00343EEE"/>
    <w:rsid w:val="00344D5E"/>
    <w:rsid w:val="00345707"/>
    <w:rsid w:val="003461E8"/>
    <w:rsid w:val="00346570"/>
    <w:rsid w:val="00346EE2"/>
    <w:rsid w:val="00346FF6"/>
    <w:rsid w:val="003470C2"/>
    <w:rsid w:val="00347B53"/>
    <w:rsid w:val="00347C19"/>
    <w:rsid w:val="00350989"/>
    <w:rsid w:val="00350B46"/>
    <w:rsid w:val="00350D1D"/>
    <w:rsid w:val="00351142"/>
    <w:rsid w:val="00351286"/>
    <w:rsid w:val="00351892"/>
    <w:rsid w:val="00351CF8"/>
    <w:rsid w:val="00351E7B"/>
    <w:rsid w:val="003521BA"/>
    <w:rsid w:val="003528FC"/>
    <w:rsid w:val="00352C81"/>
    <w:rsid w:val="00353C97"/>
    <w:rsid w:val="00354324"/>
    <w:rsid w:val="00354654"/>
    <w:rsid w:val="00354AEA"/>
    <w:rsid w:val="003551F2"/>
    <w:rsid w:val="00355B78"/>
    <w:rsid w:val="00356113"/>
    <w:rsid w:val="0035671F"/>
    <w:rsid w:val="003567DA"/>
    <w:rsid w:val="00356977"/>
    <w:rsid w:val="003569CE"/>
    <w:rsid w:val="00356A30"/>
    <w:rsid w:val="00356DE7"/>
    <w:rsid w:val="00357212"/>
    <w:rsid w:val="00357E27"/>
    <w:rsid w:val="003603BA"/>
    <w:rsid w:val="003610E1"/>
    <w:rsid w:val="0036114D"/>
    <w:rsid w:val="003615B4"/>
    <w:rsid w:val="0036196D"/>
    <w:rsid w:val="0036205C"/>
    <w:rsid w:val="003620DE"/>
    <w:rsid w:val="00362330"/>
    <w:rsid w:val="00362536"/>
    <w:rsid w:val="00362BE9"/>
    <w:rsid w:val="00363C36"/>
    <w:rsid w:val="0036457E"/>
    <w:rsid w:val="00364B98"/>
    <w:rsid w:val="00365896"/>
    <w:rsid w:val="00366013"/>
    <w:rsid w:val="00366613"/>
    <w:rsid w:val="00366BA7"/>
    <w:rsid w:val="0036777A"/>
    <w:rsid w:val="00367DCD"/>
    <w:rsid w:val="00370811"/>
    <w:rsid w:val="00370973"/>
    <w:rsid w:val="00370ECF"/>
    <w:rsid w:val="00371D06"/>
    <w:rsid w:val="0037236C"/>
    <w:rsid w:val="00372590"/>
    <w:rsid w:val="00373392"/>
    <w:rsid w:val="00373608"/>
    <w:rsid w:val="00373853"/>
    <w:rsid w:val="00373C4D"/>
    <w:rsid w:val="003746E4"/>
    <w:rsid w:val="00374D14"/>
    <w:rsid w:val="00375004"/>
    <w:rsid w:val="00375DF9"/>
    <w:rsid w:val="003763A2"/>
    <w:rsid w:val="00376FE1"/>
    <w:rsid w:val="003811F9"/>
    <w:rsid w:val="00381430"/>
    <w:rsid w:val="00381609"/>
    <w:rsid w:val="00381AE3"/>
    <w:rsid w:val="00381F29"/>
    <w:rsid w:val="00382410"/>
    <w:rsid w:val="00382418"/>
    <w:rsid w:val="0038282E"/>
    <w:rsid w:val="00382EB3"/>
    <w:rsid w:val="0038303F"/>
    <w:rsid w:val="0038346E"/>
    <w:rsid w:val="0038363C"/>
    <w:rsid w:val="00383D8A"/>
    <w:rsid w:val="003846D2"/>
    <w:rsid w:val="00384C8A"/>
    <w:rsid w:val="00385EBE"/>
    <w:rsid w:val="0038667B"/>
    <w:rsid w:val="00386A87"/>
    <w:rsid w:val="00387289"/>
    <w:rsid w:val="00387772"/>
    <w:rsid w:val="0039001A"/>
    <w:rsid w:val="00390C8E"/>
    <w:rsid w:val="003912D5"/>
    <w:rsid w:val="00391448"/>
    <w:rsid w:val="00391AE5"/>
    <w:rsid w:val="0039328E"/>
    <w:rsid w:val="0039543C"/>
    <w:rsid w:val="00395B79"/>
    <w:rsid w:val="0039608F"/>
    <w:rsid w:val="00396F3C"/>
    <w:rsid w:val="003978F8"/>
    <w:rsid w:val="00397CEC"/>
    <w:rsid w:val="00397D90"/>
    <w:rsid w:val="00397E66"/>
    <w:rsid w:val="003A09AE"/>
    <w:rsid w:val="003A1980"/>
    <w:rsid w:val="003A1DFA"/>
    <w:rsid w:val="003A1EC9"/>
    <w:rsid w:val="003A2B26"/>
    <w:rsid w:val="003A3AA1"/>
    <w:rsid w:val="003A41D2"/>
    <w:rsid w:val="003A4426"/>
    <w:rsid w:val="003A5277"/>
    <w:rsid w:val="003A570F"/>
    <w:rsid w:val="003A628F"/>
    <w:rsid w:val="003A6D63"/>
    <w:rsid w:val="003A7567"/>
    <w:rsid w:val="003A76FC"/>
    <w:rsid w:val="003A79BC"/>
    <w:rsid w:val="003A7CB6"/>
    <w:rsid w:val="003A7CFD"/>
    <w:rsid w:val="003B054A"/>
    <w:rsid w:val="003B12F1"/>
    <w:rsid w:val="003B1D0C"/>
    <w:rsid w:val="003B328D"/>
    <w:rsid w:val="003B39AB"/>
    <w:rsid w:val="003B3CE9"/>
    <w:rsid w:val="003B3E8E"/>
    <w:rsid w:val="003B4A13"/>
    <w:rsid w:val="003B5256"/>
    <w:rsid w:val="003B5CAB"/>
    <w:rsid w:val="003B6DE7"/>
    <w:rsid w:val="003B6ECA"/>
    <w:rsid w:val="003B7548"/>
    <w:rsid w:val="003B75D6"/>
    <w:rsid w:val="003B77EE"/>
    <w:rsid w:val="003B7865"/>
    <w:rsid w:val="003C003B"/>
    <w:rsid w:val="003C03BE"/>
    <w:rsid w:val="003C0485"/>
    <w:rsid w:val="003C0AAE"/>
    <w:rsid w:val="003C0DCC"/>
    <w:rsid w:val="003C0E40"/>
    <w:rsid w:val="003C1644"/>
    <w:rsid w:val="003C1F98"/>
    <w:rsid w:val="003C1FA3"/>
    <w:rsid w:val="003C249A"/>
    <w:rsid w:val="003C27E3"/>
    <w:rsid w:val="003C2BC4"/>
    <w:rsid w:val="003C3338"/>
    <w:rsid w:val="003C361D"/>
    <w:rsid w:val="003C3798"/>
    <w:rsid w:val="003C3910"/>
    <w:rsid w:val="003C3A61"/>
    <w:rsid w:val="003C4F69"/>
    <w:rsid w:val="003C5033"/>
    <w:rsid w:val="003C5FC5"/>
    <w:rsid w:val="003C67D6"/>
    <w:rsid w:val="003C6C58"/>
    <w:rsid w:val="003C7267"/>
    <w:rsid w:val="003C72B9"/>
    <w:rsid w:val="003C7DB5"/>
    <w:rsid w:val="003D0BD5"/>
    <w:rsid w:val="003D0EDC"/>
    <w:rsid w:val="003D10ED"/>
    <w:rsid w:val="003D3154"/>
    <w:rsid w:val="003D3B67"/>
    <w:rsid w:val="003D3DBF"/>
    <w:rsid w:val="003D47CF"/>
    <w:rsid w:val="003D4D82"/>
    <w:rsid w:val="003D58B0"/>
    <w:rsid w:val="003D5972"/>
    <w:rsid w:val="003D5BC9"/>
    <w:rsid w:val="003D63BC"/>
    <w:rsid w:val="003D775F"/>
    <w:rsid w:val="003D77A2"/>
    <w:rsid w:val="003D7A50"/>
    <w:rsid w:val="003E02AA"/>
    <w:rsid w:val="003E0AFA"/>
    <w:rsid w:val="003E2180"/>
    <w:rsid w:val="003E2735"/>
    <w:rsid w:val="003E2992"/>
    <w:rsid w:val="003E2EB6"/>
    <w:rsid w:val="003E2F3E"/>
    <w:rsid w:val="003E3812"/>
    <w:rsid w:val="003E4127"/>
    <w:rsid w:val="003E4F37"/>
    <w:rsid w:val="003E4F80"/>
    <w:rsid w:val="003E5BA5"/>
    <w:rsid w:val="003E5D2D"/>
    <w:rsid w:val="003E5E20"/>
    <w:rsid w:val="003E63DA"/>
    <w:rsid w:val="003E69CF"/>
    <w:rsid w:val="003E74FC"/>
    <w:rsid w:val="003F0064"/>
    <w:rsid w:val="003F0115"/>
    <w:rsid w:val="003F064D"/>
    <w:rsid w:val="003F118C"/>
    <w:rsid w:val="003F1294"/>
    <w:rsid w:val="003F1F57"/>
    <w:rsid w:val="003F2501"/>
    <w:rsid w:val="003F2A71"/>
    <w:rsid w:val="003F2CF5"/>
    <w:rsid w:val="003F41DF"/>
    <w:rsid w:val="003F437D"/>
    <w:rsid w:val="003F4B32"/>
    <w:rsid w:val="003F4BF2"/>
    <w:rsid w:val="003F4CC4"/>
    <w:rsid w:val="003F5A8A"/>
    <w:rsid w:val="003F5C8C"/>
    <w:rsid w:val="003F5F2C"/>
    <w:rsid w:val="003F756B"/>
    <w:rsid w:val="003F7975"/>
    <w:rsid w:val="004002DA"/>
    <w:rsid w:val="00400973"/>
    <w:rsid w:val="0040113B"/>
    <w:rsid w:val="00401B8A"/>
    <w:rsid w:val="00401C69"/>
    <w:rsid w:val="00403D58"/>
    <w:rsid w:val="0040560D"/>
    <w:rsid w:val="0040673F"/>
    <w:rsid w:val="004104A4"/>
    <w:rsid w:val="00410DBA"/>
    <w:rsid w:val="004119EC"/>
    <w:rsid w:val="00412120"/>
    <w:rsid w:val="00412208"/>
    <w:rsid w:val="0041298F"/>
    <w:rsid w:val="004133F2"/>
    <w:rsid w:val="004136E8"/>
    <w:rsid w:val="00413FFA"/>
    <w:rsid w:val="00414705"/>
    <w:rsid w:val="00415302"/>
    <w:rsid w:val="004153EC"/>
    <w:rsid w:val="004156E7"/>
    <w:rsid w:val="00416DEC"/>
    <w:rsid w:val="004171F4"/>
    <w:rsid w:val="0041729C"/>
    <w:rsid w:val="00417629"/>
    <w:rsid w:val="00417783"/>
    <w:rsid w:val="00420066"/>
    <w:rsid w:val="004208D5"/>
    <w:rsid w:val="004222BC"/>
    <w:rsid w:val="0042265E"/>
    <w:rsid w:val="00423629"/>
    <w:rsid w:val="00423AF6"/>
    <w:rsid w:val="00423B2E"/>
    <w:rsid w:val="00423C11"/>
    <w:rsid w:val="00423E35"/>
    <w:rsid w:val="00424ABE"/>
    <w:rsid w:val="00425E3D"/>
    <w:rsid w:val="00426945"/>
    <w:rsid w:val="00426F57"/>
    <w:rsid w:val="0043037C"/>
    <w:rsid w:val="00431579"/>
    <w:rsid w:val="0043268E"/>
    <w:rsid w:val="00433AD3"/>
    <w:rsid w:val="00433ED2"/>
    <w:rsid w:val="00435DC8"/>
    <w:rsid w:val="0043656F"/>
    <w:rsid w:val="0043701A"/>
    <w:rsid w:val="004372C4"/>
    <w:rsid w:val="00437A49"/>
    <w:rsid w:val="00440C9F"/>
    <w:rsid w:val="00440F9F"/>
    <w:rsid w:val="0044138A"/>
    <w:rsid w:val="00442678"/>
    <w:rsid w:val="00442894"/>
    <w:rsid w:val="004438ED"/>
    <w:rsid w:val="004443DE"/>
    <w:rsid w:val="004448F5"/>
    <w:rsid w:val="00445FB4"/>
    <w:rsid w:val="004460B4"/>
    <w:rsid w:val="00447DE8"/>
    <w:rsid w:val="00447F24"/>
    <w:rsid w:val="00450ADF"/>
    <w:rsid w:val="00451D11"/>
    <w:rsid w:val="00452C09"/>
    <w:rsid w:val="00453D73"/>
    <w:rsid w:val="00454DE2"/>
    <w:rsid w:val="00455823"/>
    <w:rsid w:val="00455A7C"/>
    <w:rsid w:val="00456A12"/>
    <w:rsid w:val="004570FE"/>
    <w:rsid w:val="004577CD"/>
    <w:rsid w:val="00460E83"/>
    <w:rsid w:val="0046183D"/>
    <w:rsid w:val="00461BB9"/>
    <w:rsid w:val="00462264"/>
    <w:rsid w:val="004631AD"/>
    <w:rsid w:val="00464BE2"/>
    <w:rsid w:val="00464C1D"/>
    <w:rsid w:val="004657C4"/>
    <w:rsid w:val="00465F9B"/>
    <w:rsid w:val="00467022"/>
    <w:rsid w:val="00467D29"/>
    <w:rsid w:val="00467D7B"/>
    <w:rsid w:val="00470512"/>
    <w:rsid w:val="00470641"/>
    <w:rsid w:val="004712A9"/>
    <w:rsid w:val="00471354"/>
    <w:rsid w:val="004725C7"/>
    <w:rsid w:val="00472909"/>
    <w:rsid w:val="00472D50"/>
    <w:rsid w:val="00472DC3"/>
    <w:rsid w:val="00473FAD"/>
    <w:rsid w:val="00474148"/>
    <w:rsid w:val="00475164"/>
    <w:rsid w:val="00475EC9"/>
    <w:rsid w:val="004763A5"/>
    <w:rsid w:val="00477159"/>
    <w:rsid w:val="00480619"/>
    <w:rsid w:val="0048190A"/>
    <w:rsid w:val="004819E6"/>
    <w:rsid w:val="004833EE"/>
    <w:rsid w:val="004835EB"/>
    <w:rsid w:val="00483B60"/>
    <w:rsid w:val="00483B98"/>
    <w:rsid w:val="00483C01"/>
    <w:rsid w:val="004867C3"/>
    <w:rsid w:val="00487600"/>
    <w:rsid w:val="004907FC"/>
    <w:rsid w:val="00492C79"/>
    <w:rsid w:val="00493F01"/>
    <w:rsid w:val="0049473C"/>
    <w:rsid w:val="00494E45"/>
    <w:rsid w:val="00495382"/>
    <w:rsid w:val="0049753B"/>
    <w:rsid w:val="00497B20"/>
    <w:rsid w:val="004A11F0"/>
    <w:rsid w:val="004A1D92"/>
    <w:rsid w:val="004A1F12"/>
    <w:rsid w:val="004A2638"/>
    <w:rsid w:val="004A31DA"/>
    <w:rsid w:val="004A32BD"/>
    <w:rsid w:val="004A41C3"/>
    <w:rsid w:val="004A45FC"/>
    <w:rsid w:val="004A5E09"/>
    <w:rsid w:val="004B1EDB"/>
    <w:rsid w:val="004B1F77"/>
    <w:rsid w:val="004B25B4"/>
    <w:rsid w:val="004B2CA1"/>
    <w:rsid w:val="004B44E4"/>
    <w:rsid w:val="004B4CC7"/>
    <w:rsid w:val="004B58FE"/>
    <w:rsid w:val="004B699F"/>
    <w:rsid w:val="004B6E99"/>
    <w:rsid w:val="004B737D"/>
    <w:rsid w:val="004B7944"/>
    <w:rsid w:val="004B7D15"/>
    <w:rsid w:val="004C060C"/>
    <w:rsid w:val="004C0610"/>
    <w:rsid w:val="004C0790"/>
    <w:rsid w:val="004C0D9A"/>
    <w:rsid w:val="004C10F1"/>
    <w:rsid w:val="004C2003"/>
    <w:rsid w:val="004C21F1"/>
    <w:rsid w:val="004C21FD"/>
    <w:rsid w:val="004C3E5E"/>
    <w:rsid w:val="004C4278"/>
    <w:rsid w:val="004C53D9"/>
    <w:rsid w:val="004C5997"/>
    <w:rsid w:val="004C59B5"/>
    <w:rsid w:val="004C5B29"/>
    <w:rsid w:val="004C662F"/>
    <w:rsid w:val="004C7EB8"/>
    <w:rsid w:val="004D1020"/>
    <w:rsid w:val="004D1266"/>
    <w:rsid w:val="004D1358"/>
    <w:rsid w:val="004D1D43"/>
    <w:rsid w:val="004D2F00"/>
    <w:rsid w:val="004D30BC"/>
    <w:rsid w:val="004D449C"/>
    <w:rsid w:val="004D4ED6"/>
    <w:rsid w:val="004D5496"/>
    <w:rsid w:val="004D570A"/>
    <w:rsid w:val="004D57F2"/>
    <w:rsid w:val="004D58F7"/>
    <w:rsid w:val="004D5E43"/>
    <w:rsid w:val="004D7656"/>
    <w:rsid w:val="004D76AA"/>
    <w:rsid w:val="004D76FF"/>
    <w:rsid w:val="004D7D69"/>
    <w:rsid w:val="004D7FA8"/>
    <w:rsid w:val="004E0D82"/>
    <w:rsid w:val="004E0EBB"/>
    <w:rsid w:val="004E144E"/>
    <w:rsid w:val="004E1648"/>
    <w:rsid w:val="004E22FF"/>
    <w:rsid w:val="004E27F3"/>
    <w:rsid w:val="004E2EBF"/>
    <w:rsid w:val="004E455E"/>
    <w:rsid w:val="004E5A11"/>
    <w:rsid w:val="004E6200"/>
    <w:rsid w:val="004E6B61"/>
    <w:rsid w:val="004E6BA7"/>
    <w:rsid w:val="004E6BDA"/>
    <w:rsid w:val="004E6EDE"/>
    <w:rsid w:val="004E792B"/>
    <w:rsid w:val="004F08E5"/>
    <w:rsid w:val="004F0F23"/>
    <w:rsid w:val="004F15BD"/>
    <w:rsid w:val="004F1CA9"/>
    <w:rsid w:val="004F2066"/>
    <w:rsid w:val="004F2F7F"/>
    <w:rsid w:val="004F2FD1"/>
    <w:rsid w:val="004F355A"/>
    <w:rsid w:val="004F4A87"/>
    <w:rsid w:val="004F523F"/>
    <w:rsid w:val="004F5689"/>
    <w:rsid w:val="004F66CF"/>
    <w:rsid w:val="004F6974"/>
    <w:rsid w:val="004F7C66"/>
    <w:rsid w:val="00500876"/>
    <w:rsid w:val="005014C2"/>
    <w:rsid w:val="00501796"/>
    <w:rsid w:val="005019DE"/>
    <w:rsid w:val="0050319E"/>
    <w:rsid w:val="0050360A"/>
    <w:rsid w:val="0050383C"/>
    <w:rsid w:val="005040C9"/>
    <w:rsid w:val="0050448E"/>
    <w:rsid w:val="00504AAA"/>
    <w:rsid w:val="00504C80"/>
    <w:rsid w:val="00504CC4"/>
    <w:rsid w:val="00505159"/>
    <w:rsid w:val="00506025"/>
    <w:rsid w:val="005065D9"/>
    <w:rsid w:val="005076E1"/>
    <w:rsid w:val="00507F92"/>
    <w:rsid w:val="00510BBB"/>
    <w:rsid w:val="005128A2"/>
    <w:rsid w:val="005141D2"/>
    <w:rsid w:val="00514244"/>
    <w:rsid w:val="00514C1B"/>
    <w:rsid w:val="00515256"/>
    <w:rsid w:val="00515A09"/>
    <w:rsid w:val="00515E94"/>
    <w:rsid w:val="00520609"/>
    <w:rsid w:val="0052076D"/>
    <w:rsid w:val="005214B4"/>
    <w:rsid w:val="005237C2"/>
    <w:rsid w:val="0052461C"/>
    <w:rsid w:val="00524808"/>
    <w:rsid w:val="00524C33"/>
    <w:rsid w:val="00525360"/>
    <w:rsid w:val="005253AE"/>
    <w:rsid w:val="005266F9"/>
    <w:rsid w:val="00526D47"/>
    <w:rsid w:val="00526E66"/>
    <w:rsid w:val="0052770D"/>
    <w:rsid w:val="00527FFD"/>
    <w:rsid w:val="00530E89"/>
    <w:rsid w:val="00530FC0"/>
    <w:rsid w:val="0053102D"/>
    <w:rsid w:val="00532FC3"/>
    <w:rsid w:val="00533C52"/>
    <w:rsid w:val="00534294"/>
    <w:rsid w:val="00534D3D"/>
    <w:rsid w:val="00534DF1"/>
    <w:rsid w:val="00535D94"/>
    <w:rsid w:val="0053628D"/>
    <w:rsid w:val="00536467"/>
    <w:rsid w:val="00536AC0"/>
    <w:rsid w:val="00536C68"/>
    <w:rsid w:val="00536CCA"/>
    <w:rsid w:val="00536D3F"/>
    <w:rsid w:val="00536E94"/>
    <w:rsid w:val="005371CC"/>
    <w:rsid w:val="0053737C"/>
    <w:rsid w:val="0053765B"/>
    <w:rsid w:val="00537822"/>
    <w:rsid w:val="00540482"/>
    <w:rsid w:val="005406B1"/>
    <w:rsid w:val="00540876"/>
    <w:rsid w:val="00540BA1"/>
    <w:rsid w:val="0054115B"/>
    <w:rsid w:val="005417C5"/>
    <w:rsid w:val="00541A0B"/>
    <w:rsid w:val="00542784"/>
    <w:rsid w:val="00542920"/>
    <w:rsid w:val="0054384B"/>
    <w:rsid w:val="0054384D"/>
    <w:rsid w:val="00544BB0"/>
    <w:rsid w:val="00545436"/>
    <w:rsid w:val="00545C11"/>
    <w:rsid w:val="00545F64"/>
    <w:rsid w:val="005467E9"/>
    <w:rsid w:val="00546E5C"/>
    <w:rsid w:val="005502A9"/>
    <w:rsid w:val="005503C8"/>
    <w:rsid w:val="00550498"/>
    <w:rsid w:val="00550B7B"/>
    <w:rsid w:val="00551649"/>
    <w:rsid w:val="00551798"/>
    <w:rsid w:val="00551B26"/>
    <w:rsid w:val="00551D90"/>
    <w:rsid w:val="005527EB"/>
    <w:rsid w:val="00552DD8"/>
    <w:rsid w:val="00553F1A"/>
    <w:rsid w:val="005544B0"/>
    <w:rsid w:val="00554CD7"/>
    <w:rsid w:val="00554DC7"/>
    <w:rsid w:val="00555546"/>
    <w:rsid w:val="005558B7"/>
    <w:rsid w:val="005559F9"/>
    <w:rsid w:val="005566E4"/>
    <w:rsid w:val="005572E9"/>
    <w:rsid w:val="005574D9"/>
    <w:rsid w:val="00560258"/>
    <w:rsid w:val="005605CA"/>
    <w:rsid w:val="0056096B"/>
    <w:rsid w:val="00562337"/>
    <w:rsid w:val="0056331B"/>
    <w:rsid w:val="0056359E"/>
    <w:rsid w:val="00563F32"/>
    <w:rsid w:val="00563F5F"/>
    <w:rsid w:val="005648BF"/>
    <w:rsid w:val="00564BFA"/>
    <w:rsid w:val="0056603D"/>
    <w:rsid w:val="00566A32"/>
    <w:rsid w:val="00566B76"/>
    <w:rsid w:val="00566F95"/>
    <w:rsid w:val="0057153A"/>
    <w:rsid w:val="005717AA"/>
    <w:rsid w:val="00572484"/>
    <w:rsid w:val="00573CA2"/>
    <w:rsid w:val="005741D3"/>
    <w:rsid w:val="00574DE1"/>
    <w:rsid w:val="00574EB5"/>
    <w:rsid w:val="005759A2"/>
    <w:rsid w:val="005762D3"/>
    <w:rsid w:val="00576412"/>
    <w:rsid w:val="00576BCF"/>
    <w:rsid w:val="005770F1"/>
    <w:rsid w:val="0057785F"/>
    <w:rsid w:val="00580A32"/>
    <w:rsid w:val="00580F48"/>
    <w:rsid w:val="005813DB"/>
    <w:rsid w:val="00581747"/>
    <w:rsid w:val="005820DA"/>
    <w:rsid w:val="00582BBF"/>
    <w:rsid w:val="00582C77"/>
    <w:rsid w:val="0058356E"/>
    <w:rsid w:val="005836BE"/>
    <w:rsid w:val="00583A72"/>
    <w:rsid w:val="00583D32"/>
    <w:rsid w:val="005841A9"/>
    <w:rsid w:val="005856F6"/>
    <w:rsid w:val="005858AA"/>
    <w:rsid w:val="00585BE3"/>
    <w:rsid w:val="005867B7"/>
    <w:rsid w:val="00586EC6"/>
    <w:rsid w:val="005870D3"/>
    <w:rsid w:val="005875F3"/>
    <w:rsid w:val="00587FA0"/>
    <w:rsid w:val="005903B0"/>
    <w:rsid w:val="00591691"/>
    <w:rsid w:val="0059202D"/>
    <w:rsid w:val="00592D25"/>
    <w:rsid w:val="005939F7"/>
    <w:rsid w:val="00594526"/>
    <w:rsid w:val="00594598"/>
    <w:rsid w:val="005945D3"/>
    <w:rsid w:val="00594A34"/>
    <w:rsid w:val="005955A4"/>
    <w:rsid w:val="00595968"/>
    <w:rsid w:val="00596113"/>
    <w:rsid w:val="0059752D"/>
    <w:rsid w:val="00597D49"/>
    <w:rsid w:val="00597F44"/>
    <w:rsid w:val="005A0327"/>
    <w:rsid w:val="005A31BA"/>
    <w:rsid w:val="005A4298"/>
    <w:rsid w:val="005A4DBB"/>
    <w:rsid w:val="005A52DE"/>
    <w:rsid w:val="005A5689"/>
    <w:rsid w:val="005A61D9"/>
    <w:rsid w:val="005A655E"/>
    <w:rsid w:val="005A6AA3"/>
    <w:rsid w:val="005A6DA7"/>
    <w:rsid w:val="005A778A"/>
    <w:rsid w:val="005A788C"/>
    <w:rsid w:val="005B0627"/>
    <w:rsid w:val="005B213F"/>
    <w:rsid w:val="005B2151"/>
    <w:rsid w:val="005B273A"/>
    <w:rsid w:val="005B2B57"/>
    <w:rsid w:val="005B2EF4"/>
    <w:rsid w:val="005B3996"/>
    <w:rsid w:val="005B3E6F"/>
    <w:rsid w:val="005B3FF3"/>
    <w:rsid w:val="005B400A"/>
    <w:rsid w:val="005B430F"/>
    <w:rsid w:val="005B4D6F"/>
    <w:rsid w:val="005B5042"/>
    <w:rsid w:val="005B505B"/>
    <w:rsid w:val="005B5472"/>
    <w:rsid w:val="005B5BD1"/>
    <w:rsid w:val="005B5F0F"/>
    <w:rsid w:val="005B63CB"/>
    <w:rsid w:val="005B6609"/>
    <w:rsid w:val="005B6D7A"/>
    <w:rsid w:val="005B77D5"/>
    <w:rsid w:val="005B7BA6"/>
    <w:rsid w:val="005B7E98"/>
    <w:rsid w:val="005C03A6"/>
    <w:rsid w:val="005C0E77"/>
    <w:rsid w:val="005C1CE7"/>
    <w:rsid w:val="005C2C9A"/>
    <w:rsid w:val="005C3CD9"/>
    <w:rsid w:val="005C4474"/>
    <w:rsid w:val="005C4618"/>
    <w:rsid w:val="005C4D2E"/>
    <w:rsid w:val="005C5AA0"/>
    <w:rsid w:val="005C6FEF"/>
    <w:rsid w:val="005C728D"/>
    <w:rsid w:val="005C73A2"/>
    <w:rsid w:val="005C7D59"/>
    <w:rsid w:val="005D0A08"/>
    <w:rsid w:val="005D1463"/>
    <w:rsid w:val="005D2057"/>
    <w:rsid w:val="005D22EA"/>
    <w:rsid w:val="005D2305"/>
    <w:rsid w:val="005D375C"/>
    <w:rsid w:val="005D3F60"/>
    <w:rsid w:val="005D4CFB"/>
    <w:rsid w:val="005D4E40"/>
    <w:rsid w:val="005D5A26"/>
    <w:rsid w:val="005D67DE"/>
    <w:rsid w:val="005D7495"/>
    <w:rsid w:val="005E075C"/>
    <w:rsid w:val="005E0A42"/>
    <w:rsid w:val="005E0AB1"/>
    <w:rsid w:val="005E1B01"/>
    <w:rsid w:val="005E21BB"/>
    <w:rsid w:val="005E2B84"/>
    <w:rsid w:val="005E3F35"/>
    <w:rsid w:val="005E48E6"/>
    <w:rsid w:val="005E5943"/>
    <w:rsid w:val="005E5AA4"/>
    <w:rsid w:val="005E5D7C"/>
    <w:rsid w:val="005E6062"/>
    <w:rsid w:val="005E6726"/>
    <w:rsid w:val="005E72A4"/>
    <w:rsid w:val="005E7598"/>
    <w:rsid w:val="005E75C6"/>
    <w:rsid w:val="005F1195"/>
    <w:rsid w:val="005F1984"/>
    <w:rsid w:val="005F1BAD"/>
    <w:rsid w:val="005F2006"/>
    <w:rsid w:val="005F311D"/>
    <w:rsid w:val="005F3A2D"/>
    <w:rsid w:val="005F3E9A"/>
    <w:rsid w:val="005F4704"/>
    <w:rsid w:val="005F4FAB"/>
    <w:rsid w:val="005F561E"/>
    <w:rsid w:val="005F5C5F"/>
    <w:rsid w:val="005F7061"/>
    <w:rsid w:val="005F70CB"/>
    <w:rsid w:val="0060013D"/>
    <w:rsid w:val="006003EF"/>
    <w:rsid w:val="0060051B"/>
    <w:rsid w:val="00600E36"/>
    <w:rsid w:val="00601839"/>
    <w:rsid w:val="00601A6A"/>
    <w:rsid w:val="00602A9F"/>
    <w:rsid w:val="00602F64"/>
    <w:rsid w:val="00603475"/>
    <w:rsid w:val="00603BF6"/>
    <w:rsid w:val="00603E27"/>
    <w:rsid w:val="006047BC"/>
    <w:rsid w:val="00604C35"/>
    <w:rsid w:val="00605896"/>
    <w:rsid w:val="00605C1B"/>
    <w:rsid w:val="006065BD"/>
    <w:rsid w:val="00606790"/>
    <w:rsid w:val="00606D3D"/>
    <w:rsid w:val="00606D45"/>
    <w:rsid w:val="006074F3"/>
    <w:rsid w:val="00610183"/>
    <w:rsid w:val="0061112C"/>
    <w:rsid w:val="00611332"/>
    <w:rsid w:val="00611A8D"/>
    <w:rsid w:val="00611B92"/>
    <w:rsid w:val="006123E6"/>
    <w:rsid w:val="0061324E"/>
    <w:rsid w:val="00613326"/>
    <w:rsid w:val="00613F41"/>
    <w:rsid w:val="00614A03"/>
    <w:rsid w:val="00614C62"/>
    <w:rsid w:val="006150CC"/>
    <w:rsid w:val="006155AE"/>
    <w:rsid w:val="006159D9"/>
    <w:rsid w:val="00616CA3"/>
    <w:rsid w:val="0061719D"/>
    <w:rsid w:val="00617F04"/>
    <w:rsid w:val="0062020B"/>
    <w:rsid w:val="00621280"/>
    <w:rsid w:val="00621775"/>
    <w:rsid w:val="006222E5"/>
    <w:rsid w:val="006224CE"/>
    <w:rsid w:val="00623E4E"/>
    <w:rsid w:val="00624C31"/>
    <w:rsid w:val="00624D81"/>
    <w:rsid w:val="00625CBB"/>
    <w:rsid w:val="00625E96"/>
    <w:rsid w:val="006262F6"/>
    <w:rsid w:val="00630430"/>
    <w:rsid w:val="00630536"/>
    <w:rsid w:val="00630F04"/>
    <w:rsid w:val="006313DC"/>
    <w:rsid w:val="00631EBF"/>
    <w:rsid w:val="00632103"/>
    <w:rsid w:val="00632260"/>
    <w:rsid w:val="006323E8"/>
    <w:rsid w:val="006324BF"/>
    <w:rsid w:val="00632583"/>
    <w:rsid w:val="006330CD"/>
    <w:rsid w:val="0063464F"/>
    <w:rsid w:val="00634868"/>
    <w:rsid w:val="006358F3"/>
    <w:rsid w:val="00636149"/>
    <w:rsid w:val="00636244"/>
    <w:rsid w:val="006372B1"/>
    <w:rsid w:val="006376BD"/>
    <w:rsid w:val="00637ABF"/>
    <w:rsid w:val="00637F8A"/>
    <w:rsid w:val="006406BE"/>
    <w:rsid w:val="0064109B"/>
    <w:rsid w:val="00641512"/>
    <w:rsid w:val="006427CE"/>
    <w:rsid w:val="00642E1F"/>
    <w:rsid w:val="00643635"/>
    <w:rsid w:val="0064458E"/>
    <w:rsid w:val="00644A2D"/>
    <w:rsid w:val="00644B01"/>
    <w:rsid w:val="00645FE5"/>
    <w:rsid w:val="00646380"/>
    <w:rsid w:val="00646BE7"/>
    <w:rsid w:val="00646C56"/>
    <w:rsid w:val="00646D6C"/>
    <w:rsid w:val="006470DF"/>
    <w:rsid w:val="006472DC"/>
    <w:rsid w:val="0064762C"/>
    <w:rsid w:val="00647C9F"/>
    <w:rsid w:val="00650D6A"/>
    <w:rsid w:val="00651AA8"/>
    <w:rsid w:val="00651AD1"/>
    <w:rsid w:val="00651DDB"/>
    <w:rsid w:val="006525D1"/>
    <w:rsid w:val="006527BA"/>
    <w:rsid w:val="00652C9C"/>
    <w:rsid w:val="00653A29"/>
    <w:rsid w:val="00654553"/>
    <w:rsid w:val="0065459D"/>
    <w:rsid w:val="0065562D"/>
    <w:rsid w:val="00655F7F"/>
    <w:rsid w:val="006564F0"/>
    <w:rsid w:val="00656741"/>
    <w:rsid w:val="00657149"/>
    <w:rsid w:val="00657FAB"/>
    <w:rsid w:val="0066041C"/>
    <w:rsid w:val="00660DE5"/>
    <w:rsid w:val="006635DC"/>
    <w:rsid w:val="0066418B"/>
    <w:rsid w:val="0066671A"/>
    <w:rsid w:val="00666BD1"/>
    <w:rsid w:val="006670D4"/>
    <w:rsid w:val="00670C0A"/>
    <w:rsid w:val="00670CA2"/>
    <w:rsid w:val="006711B1"/>
    <w:rsid w:val="00671CE4"/>
    <w:rsid w:val="00672416"/>
    <w:rsid w:val="006735A9"/>
    <w:rsid w:val="00673979"/>
    <w:rsid w:val="00673DD8"/>
    <w:rsid w:val="006758F2"/>
    <w:rsid w:val="00675BA9"/>
    <w:rsid w:val="0067601A"/>
    <w:rsid w:val="00676520"/>
    <w:rsid w:val="00676678"/>
    <w:rsid w:val="00676C63"/>
    <w:rsid w:val="00676EF1"/>
    <w:rsid w:val="006779D4"/>
    <w:rsid w:val="006803B1"/>
    <w:rsid w:val="00681A65"/>
    <w:rsid w:val="00682A1E"/>
    <w:rsid w:val="006836D7"/>
    <w:rsid w:val="006840B6"/>
    <w:rsid w:val="00684775"/>
    <w:rsid w:val="006855E4"/>
    <w:rsid w:val="00686B1C"/>
    <w:rsid w:val="00686E3E"/>
    <w:rsid w:val="00687B3F"/>
    <w:rsid w:val="00690030"/>
    <w:rsid w:val="006909D4"/>
    <w:rsid w:val="00690FDB"/>
    <w:rsid w:val="006914DE"/>
    <w:rsid w:val="00691B69"/>
    <w:rsid w:val="00691DCC"/>
    <w:rsid w:val="00692371"/>
    <w:rsid w:val="00692C65"/>
    <w:rsid w:val="00692D2C"/>
    <w:rsid w:val="00692EB2"/>
    <w:rsid w:val="00692F0B"/>
    <w:rsid w:val="00692F79"/>
    <w:rsid w:val="0069358D"/>
    <w:rsid w:val="0069445E"/>
    <w:rsid w:val="00694A5F"/>
    <w:rsid w:val="00694CA4"/>
    <w:rsid w:val="00694DEB"/>
    <w:rsid w:val="00695462"/>
    <w:rsid w:val="00695D29"/>
    <w:rsid w:val="00696418"/>
    <w:rsid w:val="00696563"/>
    <w:rsid w:val="006A0368"/>
    <w:rsid w:val="006A061E"/>
    <w:rsid w:val="006A0F8A"/>
    <w:rsid w:val="006A12DD"/>
    <w:rsid w:val="006A1C7C"/>
    <w:rsid w:val="006A2D6B"/>
    <w:rsid w:val="006A3E03"/>
    <w:rsid w:val="006A439F"/>
    <w:rsid w:val="006A4464"/>
    <w:rsid w:val="006A4BC5"/>
    <w:rsid w:val="006A4C29"/>
    <w:rsid w:val="006A4DA2"/>
    <w:rsid w:val="006A538A"/>
    <w:rsid w:val="006A54B2"/>
    <w:rsid w:val="006A5592"/>
    <w:rsid w:val="006A568C"/>
    <w:rsid w:val="006A66F7"/>
    <w:rsid w:val="006A6AAF"/>
    <w:rsid w:val="006A7570"/>
    <w:rsid w:val="006A7EF3"/>
    <w:rsid w:val="006B0114"/>
    <w:rsid w:val="006B0E16"/>
    <w:rsid w:val="006B1C2B"/>
    <w:rsid w:val="006B3968"/>
    <w:rsid w:val="006B3EC9"/>
    <w:rsid w:val="006B40CF"/>
    <w:rsid w:val="006B5547"/>
    <w:rsid w:val="006B5BCC"/>
    <w:rsid w:val="006B5DA1"/>
    <w:rsid w:val="006B6A11"/>
    <w:rsid w:val="006B6DAB"/>
    <w:rsid w:val="006B7B0F"/>
    <w:rsid w:val="006C009E"/>
    <w:rsid w:val="006C17C7"/>
    <w:rsid w:val="006C19F6"/>
    <w:rsid w:val="006C1F11"/>
    <w:rsid w:val="006C256D"/>
    <w:rsid w:val="006C27C1"/>
    <w:rsid w:val="006C3BCC"/>
    <w:rsid w:val="006C3E00"/>
    <w:rsid w:val="006C45D2"/>
    <w:rsid w:val="006C4738"/>
    <w:rsid w:val="006C4AB1"/>
    <w:rsid w:val="006C4DFA"/>
    <w:rsid w:val="006C5653"/>
    <w:rsid w:val="006C5A87"/>
    <w:rsid w:val="006D1151"/>
    <w:rsid w:val="006D1914"/>
    <w:rsid w:val="006D1F45"/>
    <w:rsid w:val="006D202C"/>
    <w:rsid w:val="006D25C6"/>
    <w:rsid w:val="006D2FFA"/>
    <w:rsid w:val="006D3573"/>
    <w:rsid w:val="006D35CA"/>
    <w:rsid w:val="006D40EA"/>
    <w:rsid w:val="006D458A"/>
    <w:rsid w:val="006D458E"/>
    <w:rsid w:val="006D472E"/>
    <w:rsid w:val="006D491E"/>
    <w:rsid w:val="006D4D53"/>
    <w:rsid w:val="006D4E21"/>
    <w:rsid w:val="006D4EBE"/>
    <w:rsid w:val="006D5E2A"/>
    <w:rsid w:val="006D645D"/>
    <w:rsid w:val="006D6C68"/>
    <w:rsid w:val="006D7090"/>
    <w:rsid w:val="006D7783"/>
    <w:rsid w:val="006D7C15"/>
    <w:rsid w:val="006E1450"/>
    <w:rsid w:val="006E1918"/>
    <w:rsid w:val="006E251A"/>
    <w:rsid w:val="006E27DF"/>
    <w:rsid w:val="006E2AD5"/>
    <w:rsid w:val="006E358A"/>
    <w:rsid w:val="006E4708"/>
    <w:rsid w:val="006E5CE3"/>
    <w:rsid w:val="006E5D36"/>
    <w:rsid w:val="006E6C67"/>
    <w:rsid w:val="006E77CF"/>
    <w:rsid w:val="006E780D"/>
    <w:rsid w:val="006E799B"/>
    <w:rsid w:val="006F03C4"/>
    <w:rsid w:val="006F09CD"/>
    <w:rsid w:val="006F18DE"/>
    <w:rsid w:val="006F1C5C"/>
    <w:rsid w:val="006F269B"/>
    <w:rsid w:val="006F2A3A"/>
    <w:rsid w:val="006F33ED"/>
    <w:rsid w:val="006F3471"/>
    <w:rsid w:val="006F3632"/>
    <w:rsid w:val="006F3B2C"/>
    <w:rsid w:val="006F40A0"/>
    <w:rsid w:val="006F512B"/>
    <w:rsid w:val="006F55D3"/>
    <w:rsid w:val="006F615A"/>
    <w:rsid w:val="006F6752"/>
    <w:rsid w:val="006F6E99"/>
    <w:rsid w:val="006F7945"/>
    <w:rsid w:val="006F7A80"/>
    <w:rsid w:val="00700D5D"/>
    <w:rsid w:val="00701538"/>
    <w:rsid w:val="007015E7"/>
    <w:rsid w:val="00702497"/>
    <w:rsid w:val="00703CC8"/>
    <w:rsid w:val="00703D03"/>
    <w:rsid w:val="00703D65"/>
    <w:rsid w:val="0070421B"/>
    <w:rsid w:val="00704D91"/>
    <w:rsid w:val="0070563C"/>
    <w:rsid w:val="007059D2"/>
    <w:rsid w:val="00705C82"/>
    <w:rsid w:val="00706D71"/>
    <w:rsid w:val="00706DED"/>
    <w:rsid w:val="00707424"/>
    <w:rsid w:val="007100D7"/>
    <w:rsid w:val="007110CF"/>
    <w:rsid w:val="00712779"/>
    <w:rsid w:val="00712B7D"/>
    <w:rsid w:val="007143B2"/>
    <w:rsid w:val="00714F4F"/>
    <w:rsid w:val="00715568"/>
    <w:rsid w:val="00715ED6"/>
    <w:rsid w:val="00716422"/>
    <w:rsid w:val="007169B0"/>
    <w:rsid w:val="00716C74"/>
    <w:rsid w:val="00717051"/>
    <w:rsid w:val="0072056A"/>
    <w:rsid w:val="0072062E"/>
    <w:rsid w:val="00721329"/>
    <w:rsid w:val="00721AB4"/>
    <w:rsid w:val="00722C29"/>
    <w:rsid w:val="00722DD9"/>
    <w:rsid w:val="00723752"/>
    <w:rsid w:val="00723D19"/>
    <w:rsid w:val="0072479B"/>
    <w:rsid w:val="00724AB8"/>
    <w:rsid w:val="00725496"/>
    <w:rsid w:val="00725E8A"/>
    <w:rsid w:val="00725EA0"/>
    <w:rsid w:val="007260B0"/>
    <w:rsid w:val="00726373"/>
    <w:rsid w:val="00726B39"/>
    <w:rsid w:val="00726E99"/>
    <w:rsid w:val="00727688"/>
    <w:rsid w:val="00727C7F"/>
    <w:rsid w:val="00730013"/>
    <w:rsid w:val="00730408"/>
    <w:rsid w:val="00730DFA"/>
    <w:rsid w:val="00730E5E"/>
    <w:rsid w:val="007317D1"/>
    <w:rsid w:val="007319C2"/>
    <w:rsid w:val="00731E46"/>
    <w:rsid w:val="007324C6"/>
    <w:rsid w:val="007338E1"/>
    <w:rsid w:val="00733958"/>
    <w:rsid w:val="0073413C"/>
    <w:rsid w:val="007354A6"/>
    <w:rsid w:val="00735B26"/>
    <w:rsid w:val="00735F2E"/>
    <w:rsid w:val="00735FB0"/>
    <w:rsid w:val="00736D02"/>
    <w:rsid w:val="00736FE5"/>
    <w:rsid w:val="007371B6"/>
    <w:rsid w:val="0074000F"/>
    <w:rsid w:val="007403B1"/>
    <w:rsid w:val="00741CCB"/>
    <w:rsid w:val="007423DC"/>
    <w:rsid w:val="007430D6"/>
    <w:rsid w:val="00743D6B"/>
    <w:rsid w:val="00745214"/>
    <w:rsid w:val="00746267"/>
    <w:rsid w:val="00746C0A"/>
    <w:rsid w:val="00747FAA"/>
    <w:rsid w:val="00750F03"/>
    <w:rsid w:val="0075347B"/>
    <w:rsid w:val="0075446D"/>
    <w:rsid w:val="00755848"/>
    <w:rsid w:val="00755B23"/>
    <w:rsid w:val="0075649E"/>
    <w:rsid w:val="00756DC7"/>
    <w:rsid w:val="00757130"/>
    <w:rsid w:val="00757963"/>
    <w:rsid w:val="00757A99"/>
    <w:rsid w:val="00757D93"/>
    <w:rsid w:val="00760330"/>
    <w:rsid w:val="007617A8"/>
    <w:rsid w:val="00762953"/>
    <w:rsid w:val="00762B69"/>
    <w:rsid w:val="00762BE5"/>
    <w:rsid w:val="00763B27"/>
    <w:rsid w:val="00763C55"/>
    <w:rsid w:val="00764425"/>
    <w:rsid w:val="007647F6"/>
    <w:rsid w:val="007648E5"/>
    <w:rsid w:val="00764B82"/>
    <w:rsid w:val="00765339"/>
    <w:rsid w:val="00765552"/>
    <w:rsid w:val="00766054"/>
    <w:rsid w:val="007660C4"/>
    <w:rsid w:val="007661A8"/>
    <w:rsid w:val="007676F7"/>
    <w:rsid w:val="007705B1"/>
    <w:rsid w:val="007727E2"/>
    <w:rsid w:val="00772CDD"/>
    <w:rsid w:val="0077370F"/>
    <w:rsid w:val="00773E1B"/>
    <w:rsid w:val="00773F97"/>
    <w:rsid w:val="00774336"/>
    <w:rsid w:val="00774A7F"/>
    <w:rsid w:val="00775053"/>
    <w:rsid w:val="00775807"/>
    <w:rsid w:val="007758F6"/>
    <w:rsid w:val="007761B0"/>
    <w:rsid w:val="00776253"/>
    <w:rsid w:val="007810BE"/>
    <w:rsid w:val="00782994"/>
    <w:rsid w:val="00783D01"/>
    <w:rsid w:val="007844D7"/>
    <w:rsid w:val="00784A5D"/>
    <w:rsid w:val="00784BC2"/>
    <w:rsid w:val="00785133"/>
    <w:rsid w:val="00786358"/>
    <w:rsid w:val="0078654E"/>
    <w:rsid w:val="007866BA"/>
    <w:rsid w:val="007866D0"/>
    <w:rsid w:val="00787392"/>
    <w:rsid w:val="007876C9"/>
    <w:rsid w:val="00787E41"/>
    <w:rsid w:val="00790296"/>
    <w:rsid w:val="00790697"/>
    <w:rsid w:val="00790E04"/>
    <w:rsid w:val="00792570"/>
    <w:rsid w:val="0079271C"/>
    <w:rsid w:val="00794113"/>
    <w:rsid w:val="00794464"/>
    <w:rsid w:val="0079509F"/>
    <w:rsid w:val="00795B7B"/>
    <w:rsid w:val="00795E51"/>
    <w:rsid w:val="007966AA"/>
    <w:rsid w:val="00796ED1"/>
    <w:rsid w:val="00797180"/>
    <w:rsid w:val="00797F19"/>
    <w:rsid w:val="007A0D6F"/>
    <w:rsid w:val="007A25F4"/>
    <w:rsid w:val="007A2C92"/>
    <w:rsid w:val="007A3910"/>
    <w:rsid w:val="007A4388"/>
    <w:rsid w:val="007A46F0"/>
    <w:rsid w:val="007A4CBC"/>
    <w:rsid w:val="007A5191"/>
    <w:rsid w:val="007A529F"/>
    <w:rsid w:val="007A5A50"/>
    <w:rsid w:val="007A60A9"/>
    <w:rsid w:val="007A64A5"/>
    <w:rsid w:val="007A6E20"/>
    <w:rsid w:val="007A7354"/>
    <w:rsid w:val="007A7844"/>
    <w:rsid w:val="007B0CAE"/>
    <w:rsid w:val="007B187D"/>
    <w:rsid w:val="007B1A54"/>
    <w:rsid w:val="007B1BD5"/>
    <w:rsid w:val="007B244E"/>
    <w:rsid w:val="007B24F5"/>
    <w:rsid w:val="007B2DC4"/>
    <w:rsid w:val="007B2FD9"/>
    <w:rsid w:val="007B3441"/>
    <w:rsid w:val="007B376E"/>
    <w:rsid w:val="007B399B"/>
    <w:rsid w:val="007B4807"/>
    <w:rsid w:val="007B59FB"/>
    <w:rsid w:val="007B62D8"/>
    <w:rsid w:val="007B711C"/>
    <w:rsid w:val="007C10DC"/>
    <w:rsid w:val="007C14FE"/>
    <w:rsid w:val="007C4591"/>
    <w:rsid w:val="007C4F73"/>
    <w:rsid w:val="007C5AF6"/>
    <w:rsid w:val="007C5CEE"/>
    <w:rsid w:val="007C640B"/>
    <w:rsid w:val="007C7552"/>
    <w:rsid w:val="007D1589"/>
    <w:rsid w:val="007D2013"/>
    <w:rsid w:val="007D3CFD"/>
    <w:rsid w:val="007D3E00"/>
    <w:rsid w:val="007D5CDA"/>
    <w:rsid w:val="007D6046"/>
    <w:rsid w:val="007D6878"/>
    <w:rsid w:val="007D75CB"/>
    <w:rsid w:val="007E05DF"/>
    <w:rsid w:val="007E0EA0"/>
    <w:rsid w:val="007E1409"/>
    <w:rsid w:val="007E149B"/>
    <w:rsid w:val="007E1D0B"/>
    <w:rsid w:val="007E31D5"/>
    <w:rsid w:val="007E3226"/>
    <w:rsid w:val="007E36B6"/>
    <w:rsid w:val="007E49B9"/>
    <w:rsid w:val="007E4AEF"/>
    <w:rsid w:val="007E4CC4"/>
    <w:rsid w:val="007E5997"/>
    <w:rsid w:val="007E5ACE"/>
    <w:rsid w:val="007E6A1D"/>
    <w:rsid w:val="007E6BF0"/>
    <w:rsid w:val="007F13B5"/>
    <w:rsid w:val="007F1574"/>
    <w:rsid w:val="007F1DE2"/>
    <w:rsid w:val="007F22F8"/>
    <w:rsid w:val="007F2473"/>
    <w:rsid w:val="007F2823"/>
    <w:rsid w:val="007F3EE4"/>
    <w:rsid w:val="007F4DEB"/>
    <w:rsid w:val="007F51F6"/>
    <w:rsid w:val="007F56FB"/>
    <w:rsid w:val="007F6AD1"/>
    <w:rsid w:val="007F7384"/>
    <w:rsid w:val="007F7984"/>
    <w:rsid w:val="008009A4"/>
    <w:rsid w:val="00801713"/>
    <w:rsid w:val="0080203C"/>
    <w:rsid w:val="0080336A"/>
    <w:rsid w:val="008042F7"/>
    <w:rsid w:val="00804B33"/>
    <w:rsid w:val="00806E29"/>
    <w:rsid w:val="008072B2"/>
    <w:rsid w:val="0081004E"/>
    <w:rsid w:val="00810C90"/>
    <w:rsid w:val="00810C92"/>
    <w:rsid w:val="00810E34"/>
    <w:rsid w:val="00811BC1"/>
    <w:rsid w:val="008133B7"/>
    <w:rsid w:val="00813E57"/>
    <w:rsid w:val="008143B9"/>
    <w:rsid w:val="00815F1F"/>
    <w:rsid w:val="008172A7"/>
    <w:rsid w:val="008175E9"/>
    <w:rsid w:val="00817E9D"/>
    <w:rsid w:val="00820577"/>
    <w:rsid w:val="008210EB"/>
    <w:rsid w:val="008214EE"/>
    <w:rsid w:val="00821625"/>
    <w:rsid w:val="00821D6B"/>
    <w:rsid w:val="00821E12"/>
    <w:rsid w:val="0082209D"/>
    <w:rsid w:val="00822870"/>
    <w:rsid w:val="00822FBC"/>
    <w:rsid w:val="008231C5"/>
    <w:rsid w:val="008233CC"/>
    <w:rsid w:val="008260EF"/>
    <w:rsid w:val="00826483"/>
    <w:rsid w:val="0082653F"/>
    <w:rsid w:val="00826A59"/>
    <w:rsid w:val="00827627"/>
    <w:rsid w:val="00827F4D"/>
    <w:rsid w:val="00830D87"/>
    <w:rsid w:val="00831608"/>
    <w:rsid w:val="0083169A"/>
    <w:rsid w:val="00831A22"/>
    <w:rsid w:val="008324A6"/>
    <w:rsid w:val="008326FC"/>
    <w:rsid w:val="00832B16"/>
    <w:rsid w:val="00832F4A"/>
    <w:rsid w:val="008332B4"/>
    <w:rsid w:val="008336B9"/>
    <w:rsid w:val="008337C1"/>
    <w:rsid w:val="008339C2"/>
    <w:rsid w:val="00833CAE"/>
    <w:rsid w:val="00834153"/>
    <w:rsid w:val="008341A1"/>
    <w:rsid w:val="00834757"/>
    <w:rsid w:val="008350C7"/>
    <w:rsid w:val="00835C78"/>
    <w:rsid w:val="00840423"/>
    <w:rsid w:val="00841AEA"/>
    <w:rsid w:val="00841BF3"/>
    <w:rsid w:val="008425F7"/>
    <w:rsid w:val="00842B1C"/>
    <w:rsid w:val="00843EAE"/>
    <w:rsid w:val="0084442E"/>
    <w:rsid w:val="00845627"/>
    <w:rsid w:val="00845884"/>
    <w:rsid w:val="00845B9C"/>
    <w:rsid w:val="00845D30"/>
    <w:rsid w:val="00846054"/>
    <w:rsid w:val="0084643B"/>
    <w:rsid w:val="0084678F"/>
    <w:rsid w:val="00847201"/>
    <w:rsid w:val="00847595"/>
    <w:rsid w:val="00847759"/>
    <w:rsid w:val="00847BF2"/>
    <w:rsid w:val="0085050D"/>
    <w:rsid w:val="00850982"/>
    <w:rsid w:val="00850BD6"/>
    <w:rsid w:val="00850CAE"/>
    <w:rsid w:val="0085201A"/>
    <w:rsid w:val="00852869"/>
    <w:rsid w:val="0085297D"/>
    <w:rsid w:val="008550DC"/>
    <w:rsid w:val="008556F4"/>
    <w:rsid w:val="00855EB8"/>
    <w:rsid w:val="00856D7B"/>
    <w:rsid w:val="00861226"/>
    <w:rsid w:val="00861E64"/>
    <w:rsid w:val="00861F92"/>
    <w:rsid w:val="00862248"/>
    <w:rsid w:val="00862C4A"/>
    <w:rsid w:val="00862F1E"/>
    <w:rsid w:val="0086315E"/>
    <w:rsid w:val="0086362E"/>
    <w:rsid w:val="008642CB"/>
    <w:rsid w:val="00866122"/>
    <w:rsid w:val="00866FD0"/>
    <w:rsid w:val="00870283"/>
    <w:rsid w:val="00870CC1"/>
    <w:rsid w:val="00871A52"/>
    <w:rsid w:val="00871D80"/>
    <w:rsid w:val="00871F1D"/>
    <w:rsid w:val="008725E7"/>
    <w:rsid w:val="00872953"/>
    <w:rsid w:val="00873B62"/>
    <w:rsid w:val="00874707"/>
    <w:rsid w:val="0087593F"/>
    <w:rsid w:val="00877360"/>
    <w:rsid w:val="00880413"/>
    <w:rsid w:val="00880607"/>
    <w:rsid w:val="00880D0D"/>
    <w:rsid w:val="00880D3E"/>
    <w:rsid w:val="008819BE"/>
    <w:rsid w:val="0088203A"/>
    <w:rsid w:val="008824FC"/>
    <w:rsid w:val="008836F6"/>
    <w:rsid w:val="00883AEE"/>
    <w:rsid w:val="00883E0F"/>
    <w:rsid w:val="00884577"/>
    <w:rsid w:val="00884862"/>
    <w:rsid w:val="0088503D"/>
    <w:rsid w:val="00885708"/>
    <w:rsid w:val="008860EC"/>
    <w:rsid w:val="0088617C"/>
    <w:rsid w:val="008864CC"/>
    <w:rsid w:val="00886CC2"/>
    <w:rsid w:val="008873EB"/>
    <w:rsid w:val="0088794B"/>
    <w:rsid w:val="00887A9C"/>
    <w:rsid w:val="00887C19"/>
    <w:rsid w:val="008901A0"/>
    <w:rsid w:val="0089051B"/>
    <w:rsid w:val="00890709"/>
    <w:rsid w:val="00890835"/>
    <w:rsid w:val="00890998"/>
    <w:rsid w:val="00891984"/>
    <w:rsid w:val="00892013"/>
    <w:rsid w:val="008927B9"/>
    <w:rsid w:val="00892BD7"/>
    <w:rsid w:val="00892EC7"/>
    <w:rsid w:val="008931E2"/>
    <w:rsid w:val="00893D27"/>
    <w:rsid w:val="008942F3"/>
    <w:rsid w:val="0089475C"/>
    <w:rsid w:val="00895176"/>
    <w:rsid w:val="008951AA"/>
    <w:rsid w:val="00896602"/>
    <w:rsid w:val="00896CDC"/>
    <w:rsid w:val="008970DE"/>
    <w:rsid w:val="00897F84"/>
    <w:rsid w:val="008A06BB"/>
    <w:rsid w:val="008A076A"/>
    <w:rsid w:val="008A0E35"/>
    <w:rsid w:val="008A0E7C"/>
    <w:rsid w:val="008A21D9"/>
    <w:rsid w:val="008A21FB"/>
    <w:rsid w:val="008A2375"/>
    <w:rsid w:val="008A42C6"/>
    <w:rsid w:val="008A4ABC"/>
    <w:rsid w:val="008A5E30"/>
    <w:rsid w:val="008A620A"/>
    <w:rsid w:val="008A625B"/>
    <w:rsid w:val="008A6DA2"/>
    <w:rsid w:val="008A6FD1"/>
    <w:rsid w:val="008B073E"/>
    <w:rsid w:val="008B28A0"/>
    <w:rsid w:val="008B313C"/>
    <w:rsid w:val="008B350E"/>
    <w:rsid w:val="008B38DC"/>
    <w:rsid w:val="008B3C7C"/>
    <w:rsid w:val="008B41A1"/>
    <w:rsid w:val="008B42C2"/>
    <w:rsid w:val="008B570C"/>
    <w:rsid w:val="008B5C7B"/>
    <w:rsid w:val="008B5CA1"/>
    <w:rsid w:val="008B5F4B"/>
    <w:rsid w:val="008B6176"/>
    <w:rsid w:val="008B7884"/>
    <w:rsid w:val="008C04E0"/>
    <w:rsid w:val="008C0B47"/>
    <w:rsid w:val="008C0C8A"/>
    <w:rsid w:val="008C10FF"/>
    <w:rsid w:val="008C11A9"/>
    <w:rsid w:val="008C21EE"/>
    <w:rsid w:val="008C2C7A"/>
    <w:rsid w:val="008C2F02"/>
    <w:rsid w:val="008C3299"/>
    <w:rsid w:val="008C372F"/>
    <w:rsid w:val="008C3EE5"/>
    <w:rsid w:val="008C440E"/>
    <w:rsid w:val="008C51A7"/>
    <w:rsid w:val="008C6EE5"/>
    <w:rsid w:val="008C7A5F"/>
    <w:rsid w:val="008D046F"/>
    <w:rsid w:val="008D05BE"/>
    <w:rsid w:val="008D0F13"/>
    <w:rsid w:val="008D12F1"/>
    <w:rsid w:val="008D2786"/>
    <w:rsid w:val="008D408A"/>
    <w:rsid w:val="008D44A6"/>
    <w:rsid w:val="008D44C3"/>
    <w:rsid w:val="008D4FEB"/>
    <w:rsid w:val="008D520E"/>
    <w:rsid w:val="008D523A"/>
    <w:rsid w:val="008D59BC"/>
    <w:rsid w:val="008D6055"/>
    <w:rsid w:val="008D667D"/>
    <w:rsid w:val="008D79A2"/>
    <w:rsid w:val="008E0029"/>
    <w:rsid w:val="008E0AB3"/>
    <w:rsid w:val="008E1809"/>
    <w:rsid w:val="008E19A4"/>
    <w:rsid w:val="008E1C39"/>
    <w:rsid w:val="008E22D8"/>
    <w:rsid w:val="008E2C81"/>
    <w:rsid w:val="008E2CA4"/>
    <w:rsid w:val="008E353B"/>
    <w:rsid w:val="008E3D53"/>
    <w:rsid w:val="008E5907"/>
    <w:rsid w:val="008E6275"/>
    <w:rsid w:val="008E6DBA"/>
    <w:rsid w:val="008E7019"/>
    <w:rsid w:val="008E7792"/>
    <w:rsid w:val="008E7A5C"/>
    <w:rsid w:val="008F01D9"/>
    <w:rsid w:val="008F062D"/>
    <w:rsid w:val="008F159C"/>
    <w:rsid w:val="008F2AE8"/>
    <w:rsid w:val="008F2F08"/>
    <w:rsid w:val="008F3748"/>
    <w:rsid w:val="008F3F12"/>
    <w:rsid w:val="008F46F5"/>
    <w:rsid w:val="008F4712"/>
    <w:rsid w:val="008F4921"/>
    <w:rsid w:val="008F7DA5"/>
    <w:rsid w:val="009004B4"/>
    <w:rsid w:val="009006A4"/>
    <w:rsid w:val="00900913"/>
    <w:rsid w:val="00900942"/>
    <w:rsid w:val="00901EC4"/>
    <w:rsid w:val="00901F89"/>
    <w:rsid w:val="00902017"/>
    <w:rsid w:val="009024BF"/>
    <w:rsid w:val="00903A35"/>
    <w:rsid w:val="00904354"/>
    <w:rsid w:val="00904B6E"/>
    <w:rsid w:val="00904CBF"/>
    <w:rsid w:val="00904F0C"/>
    <w:rsid w:val="00905219"/>
    <w:rsid w:val="0090642C"/>
    <w:rsid w:val="00906674"/>
    <w:rsid w:val="00906A5D"/>
    <w:rsid w:val="00906C35"/>
    <w:rsid w:val="009070DA"/>
    <w:rsid w:val="009109A0"/>
    <w:rsid w:val="00910FE6"/>
    <w:rsid w:val="00911C56"/>
    <w:rsid w:val="00911DBF"/>
    <w:rsid w:val="009120DB"/>
    <w:rsid w:val="00912372"/>
    <w:rsid w:val="00913373"/>
    <w:rsid w:val="00913B5A"/>
    <w:rsid w:val="009141D8"/>
    <w:rsid w:val="00914AFB"/>
    <w:rsid w:val="00914B3E"/>
    <w:rsid w:val="0091546D"/>
    <w:rsid w:val="00915C1D"/>
    <w:rsid w:val="009161ED"/>
    <w:rsid w:val="0091694B"/>
    <w:rsid w:val="0091731D"/>
    <w:rsid w:val="00920E58"/>
    <w:rsid w:val="00920E68"/>
    <w:rsid w:val="00921237"/>
    <w:rsid w:val="00921C24"/>
    <w:rsid w:val="00923160"/>
    <w:rsid w:val="009234B6"/>
    <w:rsid w:val="009235D0"/>
    <w:rsid w:val="00923C62"/>
    <w:rsid w:val="00923E27"/>
    <w:rsid w:val="00924AF0"/>
    <w:rsid w:val="009258F8"/>
    <w:rsid w:val="00925A53"/>
    <w:rsid w:val="00925AC5"/>
    <w:rsid w:val="009264D6"/>
    <w:rsid w:val="00926A48"/>
    <w:rsid w:val="00926CE3"/>
    <w:rsid w:val="00930135"/>
    <w:rsid w:val="00930852"/>
    <w:rsid w:val="00930FD3"/>
    <w:rsid w:val="00931D30"/>
    <w:rsid w:val="0093240C"/>
    <w:rsid w:val="009325CD"/>
    <w:rsid w:val="00933274"/>
    <w:rsid w:val="009335D4"/>
    <w:rsid w:val="00933710"/>
    <w:rsid w:val="0093375E"/>
    <w:rsid w:val="009356CF"/>
    <w:rsid w:val="00935987"/>
    <w:rsid w:val="00936357"/>
    <w:rsid w:val="00936885"/>
    <w:rsid w:val="00936893"/>
    <w:rsid w:val="00937432"/>
    <w:rsid w:val="009375A1"/>
    <w:rsid w:val="00937F29"/>
    <w:rsid w:val="00940F90"/>
    <w:rsid w:val="00941256"/>
    <w:rsid w:val="009423A4"/>
    <w:rsid w:val="00942706"/>
    <w:rsid w:val="009427F2"/>
    <w:rsid w:val="00942BC8"/>
    <w:rsid w:val="00942BD6"/>
    <w:rsid w:val="009433E8"/>
    <w:rsid w:val="00943735"/>
    <w:rsid w:val="009442D0"/>
    <w:rsid w:val="00945EA0"/>
    <w:rsid w:val="009466C6"/>
    <w:rsid w:val="0094684B"/>
    <w:rsid w:val="00947F38"/>
    <w:rsid w:val="00950311"/>
    <w:rsid w:val="00950CFA"/>
    <w:rsid w:val="00951059"/>
    <w:rsid w:val="0095148D"/>
    <w:rsid w:val="00951C3B"/>
    <w:rsid w:val="00952112"/>
    <w:rsid w:val="009521D1"/>
    <w:rsid w:val="009527AC"/>
    <w:rsid w:val="00952D24"/>
    <w:rsid w:val="00952FAE"/>
    <w:rsid w:val="0095353B"/>
    <w:rsid w:val="009546AE"/>
    <w:rsid w:val="0095470B"/>
    <w:rsid w:val="00955097"/>
    <w:rsid w:val="009560F9"/>
    <w:rsid w:val="00956DE7"/>
    <w:rsid w:val="00957549"/>
    <w:rsid w:val="00957D66"/>
    <w:rsid w:val="00960286"/>
    <w:rsid w:val="009616CD"/>
    <w:rsid w:val="00962446"/>
    <w:rsid w:val="00962CA5"/>
    <w:rsid w:val="009636EA"/>
    <w:rsid w:val="00963E77"/>
    <w:rsid w:val="009654BE"/>
    <w:rsid w:val="0096667A"/>
    <w:rsid w:val="009668BE"/>
    <w:rsid w:val="00966E23"/>
    <w:rsid w:val="009670EF"/>
    <w:rsid w:val="009675C8"/>
    <w:rsid w:val="00970915"/>
    <w:rsid w:val="009715A4"/>
    <w:rsid w:val="00971BC0"/>
    <w:rsid w:val="00972052"/>
    <w:rsid w:val="0097248A"/>
    <w:rsid w:val="00972D69"/>
    <w:rsid w:val="009732D0"/>
    <w:rsid w:val="009733AA"/>
    <w:rsid w:val="00973513"/>
    <w:rsid w:val="009736D6"/>
    <w:rsid w:val="00973C21"/>
    <w:rsid w:val="009747F9"/>
    <w:rsid w:val="00974AAB"/>
    <w:rsid w:val="00974CBB"/>
    <w:rsid w:val="00975058"/>
    <w:rsid w:val="00975FAD"/>
    <w:rsid w:val="00976311"/>
    <w:rsid w:val="00976D19"/>
    <w:rsid w:val="009771F4"/>
    <w:rsid w:val="00977519"/>
    <w:rsid w:val="00977EE5"/>
    <w:rsid w:val="009804D2"/>
    <w:rsid w:val="0098050D"/>
    <w:rsid w:val="009808EA"/>
    <w:rsid w:val="00980EF0"/>
    <w:rsid w:val="00980F5A"/>
    <w:rsid w:val="00981566"/>
    <w:rsid w:val="00981A16"/>
    <w:rsid w:val="00981C79"/>
    <w:rsid w:val="00982BE7"/>
    <w:rsid w:val="009836F0"/>
    <w:rsid w:val="009837B9"/>
    <w:rsid w:val="00984801"/>
    <w:rsid w:val="00985EC8"/>
    <w:rsid w:val="009866C5"/>
    <w:rsid w:val="009907E3"/>
    <w:rsid w:val="00991128"/>
    <w:rsid w:val="0099119B"/>
    <w:rsid w:val="009912CE"/>
    <w:rsid w:val="00991AFE"/>
    <w:rsid w:val="009926C7"/>
    <w:rsid w:val="009927FC"/>
    <w:rsid w:val="00992BA6"/>
    <w:rsid w:val="009932DF"/>
    <w:rsid w:val="00993346"/>
    <w:rsid w:val="00993403"/>
    <w:rsid w:val="009940A7"/>
    <w:rsid w:val="00994BDC"/>
    <w:rsid w:val="00995473"/>
    <w:rsid w:val="009957A1"/>
    <w:rsid w:val="009964F9"/>
    <w:rsid w:val="00996FB2"/>
    <w:rsid w:val="00997380"/>
    <w:rsid w:val="00997BF8"/>
    <w:rsid w:val="009A01FE"/>
    <w:rsid w:val="009A0561"/>
    <w:rsid w:val="009A05EA"/>
    <w:rsid w:val="009A0AA8"/>
    <w:rsid w:val="009A0B45"/>
    <w:rsid w:val="009A0C32"/>
    <w:rsid w:val="009A0D23"/>
    <w:rsid w:val="009A129F"/>
    <w:rsid w:val="009A1E7D"/>
    <w:rsid w:val="009A3137"/>
    <w:rsid w:val="009A409A"/>
    <w:rsid w:val="009A4737"/>
    <w:rsid w:val="009A4751"/>
    <w:rsid w:val="009A5356"/>
    <w:rsid w:val="009A5B77"/>
    <w:rsid w:val="009A5D0A"/>
    <w:rsid w:val="009A7037"/>
    <w:rsid w:val="009B03A9"/>
    <w:rsid w:val="009B0AB4"/>
    <w:rsid w:val="009B0C1F"/>
    <w:rsid w:val="009B12C8"/>
    <w:rsid w:val="009B32BE"/>
    <w:rsid w:val="009B3348"/>
    <w:rsid w:val="009B44D3"/>
    <w:rsid w:val="009B4F97"/>
    <w:rsid w:val="009B52BB"/>
    <w:rsid w:val="009B5759"/>
    <w:rsid w:val="009B5E62"/>
    <w:rsid w:val="009B639C"/>
    <w:rsid w:val="009B6D1B"/>
    <w:rsid w:val="009B759F"/>
    <w:rsid w:val="009C1083"/>
    <w:rsid w:val="009C139E"/>
    <w:rsid w:val="009C19EF"/>
    <w:rsid w:val="009C1C16"/>
    <w:rsid w:val="009C1F73"/>
    <w:rsid w:val="009C21C0"/>
    <w:rsid w:val="009C256E"/>
    <w:rsid w:val="009C2714"/>
    <w:rsid w:val="009C2C19"/>
    <w:rsid w:val="009C2E8D"/>
    <w:rsid w:val="009C33E4"/>
    <w:rsid w:val="009C341D"/>
    <w:rsid w:val="009C350A"/>
    <w:rsid w:val="009C3BFA"/>
    <w:rsid w:val="009C3DC3"/>
    <w:rsid w:val="009C4130"/>
    <w:rsid w:val="009C428D"/>
    <w:rsid w:val="009C4847"/>
    <w:rsid w:val="009C5A14"/>
    <w:rsid w:val="009C686B"/>
    <w:rsid w:val="009C6A43"/>
    <w:rsid w:val="009C6D89"/>
    <w:rsid w:val="009C7816"/>
    <w:rsid w:val="009C7CB8"/>
    <w:rsid w:val="009C7FB0"/>
    <w:rsid w:val="009C7FDB"/>
    <w:rsid w:val="009D0192"/>
    <w:rsid w:val="009D0756"/>
    <w:rsid w:val="009D1570"/>
    <w:rsid w:val="009D1A9E"/>
    <w:rsid w:val="009D2BD7"/>
    <w:rsid w:val="009D2C54"/>
    <w:rsid w:val="009D3029"/>
    <w:rsid w:val="009D37E6"/>
    <w:rsid w:val="009D39B4"/>
    <w:rsid w:val="009D4C79"/>
    <w:rsid w:val="009D4D0D"/>
    <w:rsid w:val="009D4F88"/>
    <w:rsid w:val="009D4F93"/>
    <w:rsid w:val="009D512F"/>
    <w:rsid w:val="009D5A6D"/>
    <w:rsid w:val="009D7A71"/>
    <w:rsid w:val="009E0442"/>
    <w:rsid w:val="009E044A"/>
    <w:rsid w:val="009E0C40"/>
    <w:rsid w:val="009E0C6E"/>
    <w:rsid w:val="009E1891"/>
    <w:rsid w:val="009E1C3A"/>
    <w:rsid w:val="009E2A0E"/>
    <w:rsid w:val="009E2D06"/>
    <w:rsid w:val="009E4278"/>
    <w:rsid w:val="009E45A6"/>
    <w:rsid w:val="009E4F97"/>
    <w:rsid w:val="009E59A9"/>
    <w:rsid w:val="009E5A5B"/>
    <w:rsid w:val="009E6E13"/>
    <w:rsid w:val="009E7060"/>
    <w:rsid w:val="009E7CA2"/>
    <w:rsid w:val="009F1C5F"/>
    <w:rsid w:val="009F1CDA"/>
    <w:rsid w:val="009F1EF3"/>
    <w:rsid w:val="009F23A2"/>
    <w:rsid w:val="009F245A"/>
    <w:rsid w:val="009F282C"/>
    <w:rsid w:val="009F2BA7"/>
    <w:rsid w:val="009F4FF1"/>
    <w:rsid w:val="009F546A"/>
    <w:rsid w:val="009F61C7"/>
    <w:rsid w:val="009F62FD"/>
    <w:rsid w:val="009F733D"/>
    <w:rsid w:val="009F7528"/>
    <w:rsid w:val="00A00B9B"/>
    <w:rsid w:val="00A00C88"/>
    <w:rsid w:val="00A00F84"/>
    <w:rsid w:val="00A0104E"/>
    <w:rsid w:val="00A01DB2"/>
    <w:rsid w:val="00A0212F"/>
    <w:rsid w:val="00A03DDB"/>
    <w:rsid w:val="00A03E69"/>
    <w:rsid w:val="00A04239"/>
    <w:rsid w:val="00A07F97"/>
    <w:rsid w:val="00A11895"/>
    <w:rsid w:val="00A12BF9"/>
    <w:rsid w:val="00A13CD6"/>
    <w:rsid w:val="00A140AF"/>
    <w:rsid w:val="00A145B2"/>
    <w:rsid w:val="00A14BAB"/>
    <w:rsid w:val="00A14D09"/>
    <w:rsid w:val="00A155AD"/>
    <w:rsid w:val="00A16595"/>
    <w:rsid w:val="00A16CBE"/>
    <w:rsid w:val="00A17D18"/>
    <w:rsid w:val="00A206E1"/>
    <w:rsid w:val="00A207F7"/>
    <w:rsid w:val="00A215E2"/>
    <w:rsid w:val="00A216F1"/>
    <w:rsid w:val="00A2175D"/>
    <w:rsid w:val="00A2183A"/>
    <w:rsid w:val="00A223CD"/>
    <w:rsid w:val="00A2433B"/>
    <w:rsid w:val="00A2443B"/>
    <w:rsid w:val="00A2465B"/>
    <w:rsid w:val="00A2469E"/>
    <w:rsid w:val="00A25946"/>
    <w:rsid w:val="00A26AFB"/>
    <w:rsid w:val="00A27A29"/>
    <w:rsid w:val="00A27FA2"/>
    <w:rsid w:val="00A30085"/>
    <w:rsid w:val="00A30627"/>
    <w:rsid w:val="00A311C7"/>
    <w:rsid w:val="00A315D4"/>
    <w:rsid w:val="00A32802"/>
    <w:rsid w:val="00A32FC9"/>
    <w:rsid w:val="00A3356A"/>
    <w:rsid w:val="00A3372A"/>
    <w:rsid w:val="00A338B7"/>
    <w:rsid w:val="00A34ABC"/>
    <w:rsid w:val="00A34BC7"/>
    <w:rsid w:val="00A34FFC"/>
    <w:rsid w:val="00A36751"/>
    <w:rsid w:val="00A36AFD"/>
    <w:rsid w:val="00A36B88"/>
    <w:rsid w:val="00A4002E"/>
    <w:rsid w:val="00A40095"/>
    <w:rsid w:val="00A4035A"/>
    <w:rsid w:val="00A404F2"/>
    <w:rsid w:val="00A40885"/>
    <w:rsid w:val="00A408B2"/>
    <w:rsid w:val="00A410FE"/>
    <w:rsid w:val="00A42BE0"/>
    <w:rsid w:val="00A43575"/>
    <w:rsid w:val="00A435AF"/>
    <w:rsid w:val="00A4385C"/>
    <w:rsid w:val="00A44289"/>
    <w:rsid w:val="00A442BE"/>
    <w:rsid w:val="00A4444F"/>
    <w:rsid w:val="00A449ED"/>
    <w:rsid w:val="00A45558"/>
    <w:rsid w:val="00A45936"/>
    <w:rsid w:val="00A45A39"/>
    <w:rsid w:val="00A47B5D"/>
    <w:rsid w:val="00A47B71"/>
    <w:rsid w:val="00A507C2"/>
    <w:rsid w:val="00A50B0D"/>
    <w:rsid w:val="00A518CA"/>
    <w:rsid w:val="00A52432"/>
    <w:rsid w:val="00A52591"/>
    <w:rsid w:val="00A52DC7"/>
    <w:rsid w:val="00A530B8"/>
    <w:rsid w:val="00A54995"/>
    <w:rsid w:val="00A55FDA"/>
    <w:rsid w:val="00A56538"/>
    <w:rsid w:val="00A56ED3"/>
    <w:rsid w:val="00A57562"/>
    <w:rsid w:val="00A577B5"/>
    <w:rsid w:val="00A57EBE"/>
    <w:rsid w:val="00A57F89"/>
    <w:rsid w:val="00A60042"/>
    <w:rsid w:val="00A605E7"/>
    <w:rsid w:val="00A6088D"/>
    <w:rsid w:val="00A61132"/>
    <w:rsid w:val="00A61CC9"/>
    <w:rsid w:val="00A645AA"/>
    <w:rsid w:val="00A646E5"/>
    <w:rsid w:val="00A64D8E"/>
    <w:rsid w:val="00A65A04"/>
    <w:rsid w:val="00A65EEA"/>
    <w:rsid w:val="00A65F83"/>
    <w:rsid w:val="00A661D5"/>
    <w:rsid w:val="00A66F6F"/>
    <w:rsid w:val="00A671D2"/>
    <w:rsid w:val="00A67DE9"/>
    <w:rsid w:val="00A70B18"/>
    <w:rsid w:val="00A71252"/>
    <w:rsid w:val="00A71475"/>
    <w:rsid w:val="00A7149F"/>
    <w:rsid w:val="00A71FC1"/>
    <w:rsid w:val="00A721F3"/>
    <w:rsid w:val="00A728BF"/>
    <w:rsid w:val="00A729C3"/>
    <w:rsid w:val="00A72E3D"/>
    <w:rsid w:val="00A731E4"/>
    <w:rsid w:val="00A73856"/>
    <w:rsid w:val="00A74033"/>
    <w:rsid w:val="00A75113"/>
    <w:rsid w:val="00A75139"/>
    <w:rsid w:val="00A75A4F"/>
    <w:rsid w:val="00A75E27"/>
    <w:rsid w:val="00A761F8"/>
    <w:rsid w:val="00A765F9"/>
    <w:rsid w:val="00A76757"/>
    <w:rsid w:val="00A76D67"/>
    <w:rsid w:val="00A77413"/>
    <w:rsid w:val="00A7796F"/>
    <w:rsid w:val="00A77AE8"/>
    <w:rsid w:val="00A77F4C"/>
    <w:rsid w:val="00A810E6"/>
    <w:rsid w:val="00A8125D"/>
    <w:rsid w:val="00A82542"/>
    <w:rsid w:val="00A82649"/>
    <w:rsid w:val="00A82790"/>
    <w:rsid w:val="00A82A3A"/>
    <w:rsid w:val="00A832B6"/>
    <w:rsid w:val="00A8332A"/>
    <w:rsid w:val="00A838E5"/>
    <w:rsid w:val="00A8430E"/>
    <w:rsid w:val="00A84455"/>
    <w:rsid w:val="00A84FD0"/>
    <w:rsid w:val="00A85058"/>
    <w:rsid w:val="00A859A7"/>
    <w:rsid w:val="00A86694"/>
    <w:rsid w:val="00A87099"/>
    <w:rsid w:val="00A87AD4"/>
    <w:rsid w:val="00A87D78"/>
    <w:rsid w:val="00A87FB7"/>
    <w:rsid w:val="00A90644"/>
    <w:rsid w:val="00A91718"/>
    <w:rsid w:val="00A91ADC"/>
    <w:rsid w:val="00A91E3D"/>
    <w:rsid w:val="00A92767"/>
    <w:rsid w:val="00A92D01"/>
    <w:rsid w:val="00A93710"/>
    <w:rsid w:val="00A950BF"/>
    <w:rsid w:val="00A95616"/>
    <w:rsid w:val="00A95D3A"/>
    <w:rsid w:val="00A95FBD"/>
    <w:rsid w:val="00A9606C"/>
    <w:rsid w:val="00A9667F"/>
    <w:rsid w:val="00A97075"/>
    <w:rsid w:val="00A97657"/>
    <w:rsid w:val="00A97A12"/>
    <w:rsid w:val="00AA0223"/>
    <w:rsid w:val="00AA04CB"/>
    <w:rsid w:val="00AA0FB9"/>
    <w:rsid w:val="00AA1A17"/>
    <w:rsid w:val="00AA3155"/>
    <w:rsid w:val="00AA3793"/>
    <w:rsid w:val="00AA3B51"/>
    <w:rsid w:val="00AA407B"/>
    <w:rsid w:val="00AA4632"/>
    <w:rsid w:val="00AA49CD"/>
    <w:rsid w:val="00AA4D3F"/>
    <w:rsid w:val="00AA5E26"/>
    <w:rsid w:val="00AA6F95"/>
    <w:rsid w:val="00AA70C8"/>
    <w:rsid w:val="00AA76F8"/>
    <w:rsid w:val="00AA7C30"/>
    <w:rsid w:val="00AA7EA6"/>
    <w:rsid w:val="00AA7F9A"/>
    <w:rsid w:val="00AB005C"/>
    <w:rsid w:val="00AB09C3"/>
    <w:rsid w:val="00AB09EF"/>
    <w:rsid w:val="00AB0A7C"/>
    <w:rsid w:val="00AB0FEE"/>
    <w:rsid w:val="00AB191F"/>
    <w:rsid w:val="00AB2FD7"/>
    <w:rsid w:val="00AB3DD8"/>
    <w:rsid w:val="00AB49B4"/>
    <w:rsid w:val="00AB4AA6"/>
    <w:rsid w:val="00AB4FF6"/>
    <w:rsid w:val="00AB610C"/>
    <w:rsid w:val="00AB698A"/>
    <w:rsid w:val="00AB6E1C"/>
    <w:rsid w:val="00AB728C"/>
    <w:rsid w:val="00AB7878"/>
    <w:rsid w:val="00AB7C06"/>
    <w:rsid w:val="00AB7E51"/>
    <w:rsid w:val="00AC05F7"/>
    <w:rsid w:val="00AC07A5"/>
    <w:rsid w:val="00AC188F"/>
    <w:rsid w:val="00AC337B"/>
    <w:rsid w:val="00AC3625"/>
    <w:rsid w:val="00AC3E86"/>
    <w:rsid w:val="00AC4198"/>
    <w:rsid w:val="00AC4E1B"/>
    <w:rsid w:val="00AC62AE"/>
    <w:rsid w:val="00AC6C0C"/>
    <w:rsid w:val="00AC6EBE"/>
    <w:rsid w:val="00AC6F86"/>
    <w:rsid w:val="00AC7E77"/>
    <w:rsid w:val="00AD0038"/>
    <w:rsid w:val="00AD092D"/>
    <w:rsid w:val="00AD0C3B"/>
    <w:rsid w:val="00AD11CD"/>
    <w:rsid w:val="00AD3505"/>
    <w:rsid w:val="00AD35FD"/>
    <w:rsid w:val="00AD408A"/>
    <w:rsid w:val="00AD4B74"/>
    <w:rsid w:val="00AD4C2A"/>
    <w:rsid w:val="00AD63E4"/>
    <w:rsid w:val="00AD7594"/>
    <w:rsid w:val="00AD7ADA"/>
    <w:rsid w:val="00AD7E29"/>
    <w:rsid w:val="00AE142E"/>
    <w:rsid w:val="00AE1F05"/>
    <w:rsid w:val="00AE234D"/>
    <w:rsid w:val="00AE2931"/>
    <w:rsid w:val="00AE3562"/>
    <w:rsid w:val="00AE3DA7"/>
    <w:rsid w:val="00AE3F9E"/>
    <w:rsid w:val="00AE49B5"/>
    <w:rsid w:val="00AE57C6"/>
    <w:rsid w:val="00AE58BC"/>
    <w:rsid w:val="00AE6A0D"/>
    <w:rsid w:val="00AE72A8"/>
    <w:rsid w:val="00AF1511"/>
    <w:rsid w:val="00AF1703"/>
    <w:rsid w:val="00AF1BE1"/>
    <w:rsid w:val="00AF1BF5"/>
    <w:rsid w:val="00AF1E44"/>
    <w:rsid w:val="00AF3DE3"/>
    <w:rsid w:val="00AF6288"/>
    <w:rsid w:val="00AF71EF"/>
    <w:rsid w:val="00AF7558"/>
    <w:rsid w:val="00AF7887"/>
    <w:rsid w:val="00B0085C"/>
    <w:rsid w:val="00B00BCE"/>
    <w:rsid w:val="00B00CDC"/>
    <w:rsid w:val="00B01A3F"/>
    <w:rsid w:val="00B026C1"/>
    <w:rsid w:val="00B02797"/>
    <w:rsid w:val="00B03E58"/>
    <w:rsid w:val="00B04B1C"/>
    <w:rsid w:val="00B059E2"/>
    <w:rsid w:val="00B05D2A"/>
    <w:rsid w:val="00B06CF7"/>
    <w:rsid w:val="00B07173"/>
    <w:rsid w:val="00B0753E"/>
    <w:rsid w:val="00B07D6A"/>
    <w:rsid w:val="00B104B6"/>
    <w:rsid w:val="00B1053D"/>
    <w:rsid w:val="00B10D0F"/>
    <w:rsid w:val="00B10D56"/>
    <w:rsid w:val="00B113B2"/>
    <w:rsid w:val="00B117B5"/>
    <w:rsid w:val="00B11EC2"/>
    <w:rsid w:val="00B13F6E"/>
    <w:rsid w:val="00B146C1"/>
    <w:rsid w:val="00B14E10"/>
    <w:rsid w:val="00B1543A"/>
    <w:rsid w:val="00B165C9"/>
    <w:rsid w:val="00B17152"/>
    <w:rsid w:val="00B17203"/>
    <w:rsid w:val="00B17346"/>
    <w:rsid w:val="00B178CD"/>
    <w:rsid w:val="00B17F34"/>
    <w:rsid w:val="00B20161"/>
    <w:rsid w:val="00B20773"/>
    <w:rsid w:val="00B21686"/>
    <w:rsid w:val="00B23447"/>
    <w:rsid w:val="00B240BB"/>
    <w:rsid w:val="00B24291"/>
    <w:rsid w:val="00B243A9"/>
    <w:rsid w:val="00B245EF"/>
    <w:rsid w:val="00B24808"/>
    <w:rsid w:val="00B249B8"/>
    <w:rsid w:val="00B2509D"/>
    <w:rsid w:val="00B25139"/>
    <w:rsid w:val="00B25325"/>
    <w:rsid w:val="00B25E64"/>
    <w:rsid w:val="00B26B25"/>
    <w:rsid w:val="00B27AF4"/>
    <w:rsid w:val="00B31897"/>
    <w:rsid w:val="00B31A99"/>
    <w:rsid w:val="00B34063"/>
    <w:rsid w:val="00B34A23"/>
    <w:rsid w:val="00B34E23"/>
    <w:rsid w:val="00B35536"/>
    <w:rsid w:val="00B355FE"/>
    <w:rsid w:val="00B357A9"/>
    <w:rsid w:val="00B35AC3"/>
    <w:rsid w:val="00B37D8C"/>
    <w:rsid w:val="00B37FBA"/>
    <w:rsid w:val="00B400CF"/>
    <w:rsid w:val="00B408D4"/>
    <w:rsid w:val="00B40D4C"/>
    <w:rsid w:val="00B4151A"/>
    <w:rsid w:val="00B41B2D"/>
    <w:rsid w:val="00B424CE"/>
    <w:rsid w:val="00B4280F"/>
    <w:rsid w:val="00B435E0"/>
    <w:rsid w:val="00B43916"/>
    <w:rsid w:val="00B43C53"/>
    <w:rsid w:val="00B43DCB"/>
    <w:rsid w:val="00B4421F"/>
    <w:rsid w:val="00B448F5"/>
    <w:rsid w:val="00B47BEE"/>
    <w:rsid w:val="00B503FF"/>
    <w:rsid w:val="00B50A07"/>
    <w:rsid w:val="00B50F34"/>
    <w:rsid w:val="00B51058"/>
    <w:rsid w:val="00B51385"/>
    <w:rsid w:val="00B525B1"/>
    <w:rsid w:val="00B53413"/>
    <w:rsid w:val="00B53718"/>
    <w:rsid w:val="00B54B56"/>
    <w:rsid w:val="00B558C8"/>
    <w:rsid w:val="00B55E36"/>
    <w:rsid w:val="00B56D03"/>
    <w:rsid w:val="00B5779D"/>
    <w:rsid w:val="00B61DA6"/>
    <w:rsid w:val="00B628D1"/>
    <w:rsid w:val="00B638C3"/>
    <w:rsid w:val="00B6416B"/>
    <w:rsid w:val="00B64A6A"/>
    <w:rsid w:val="00B662C0"/>
    <w:rsid w:val="00B66BFB"/>
    <w:rsid w:val="00B67466"/>
    <w:rsid w:val="00B67A99"/>
    <w:rsid w:val="00B70FC9"/>
    <w:rsid w:val="00B71051"/>
    <w:rsid w:val="00B71642"/>
    <w:rsid w:val="00B71A7E"/>
    <w:rsid w:val="00B71ADC"/>
    <w:rsid w:val="00B71D5F"/>
    <w:rsid w:val="00B720E9"/>
    <w:rsid w:val="00B73C03"/>
    <w:rsid w:val="00B73D89"/>
    <w:rsid w:val="00B74791"/>
    <w:rsid w:val="00B76095"/>
    <w:rsid w:val="00B76E3B"/>
    <w:rsid w:val="00B80815"/>
    <w:rsid w:val="00B80AC4"/>
    <w:rsid w:val="00B820F6"/>
    <w:rsid w:val="00B8266F"/>
    <w:rsid w:val="00B831BC"/>
    <w:rsid w:val="00B83659"/>
    <w:rsid w:val="00B840D6"/>
    <w:rsid w:val="00B84284"/>
    <w:rsid w:val="00B848AE"/>
    <w:rsid w:val="00B84BAA"/>
    <w:rsid w:val="00B85D68"/>
    <w:rsid w:val="00B86285"/>
    <w:rsid w:val="00B86E06"/>
    <w:rsid w:val="00B905FE"/>
    <w:rsid w:val="00B90BF3"/>
    <w:rsid w:val="00B912BE"/>
    <w:rsid w:val="00B9194B"/>
    <w:rsid w:val="00B91B39"/>
    <w:rsid w:val="00B941AC"/>
    <w:rsid w:val="00B955DF"/>
    <w:rsid w:val="00B9590C"/>
    <w:rsid w:val="00B95F1E"/>
    <w:rsid w:val="00B96491"/>
    <w:rsid w:val="00B966C5"/>
    <w:rsid w:val="00B966ED"/>
    <w:rsid w:val="00B97FBA"/>
    <w:rsid w:val="00BA0169"/>
    <w:rsid w:val="00BA2779"/>
    <w:rsid w:val="00BA3C9A"/>
    <w:rsid w:val="00BA4374"/>
    <w:rsid w:val="00BA4F04"/>
    <w:rsid w:val="00BA5212"/>
    <w:rsid w:val="00BA57A3"/>
    <w:rsid w:val="00BA5CAE"/>
    <w:rsid w:val="00BB03FF"/>
    <w:rsid w:val="00BB0C6A"/>
    <w:rsid w:val="00BB0D07"/>
    <w:rsid w:val="00BB1294"/>
    <w:rsid w:val="00BB1A37"/>
    <w:rsid w:val="00BB1BBD"/>
    <w:rsid w:val="00BB28E8"/>
    <w:rsid w:val="00BB4230"/>
    <w:rsid w:val="00BB44E1"/>
    <w:rsid w:val="00BB4B73"/>
    <w:rsid w:val="00BB5038"/>
    <w:rsid w:val="00BB51E8"/>
    <w:rsid w:val="00BB5FD4"/>
    <w:rsid w:val="00BB62BE"/>
    <w:rsid w:val="00BB6701"/>
    <w:rsid w:val="00BB68B2"/>
    <w:rsid w:val="00BB6C28"/>
    <w:rsid w:val="00BB7542"/>
    <w:rsid w:val="00BC0A76"/>
    <w:rsid w:val="00BC12A9"/>
    <w:rsid w:val="00BC2159"/>
    <w:rsid w:val="00BC3488"/>
    <w:rsid w:val="00BC350F"/>
    <w:rsid w:val="00BC3640"/>
    <w:rsid w:val="00BC37E3"/>
    <w:rsid w:val="00BC3B31"/>
    <w:rsid w:val="00BC3D69"/>
    <w:rsid w:val="00BC4EFC"/>
    <w:rsid w:val="00BC5270"/>
    <w:rsid w:val="00BC53E6"/>
    <w:rsid w:val="00BC5A30"/>
    <w:rsid w:val="00BC5E13"/>
    <w:rsid w:val="00BC5F5F"/>
    <w:rsid w:val="00BC71D9"/>
    <w:rsid w:val="00BC7BDD"/>
    <w:rsid w:val="00BC7F5F"/>
    <w:rsid w:val="00BD05F1"/>
    <w:rsid w:val="00BD0FA7"/>
    <w:rsid w:val="00BD1919"/>
    <w:rsid w:val="00BD1E7A"/>
    <w:rsid w:val="00BD1F3E"/>
    <w:rsid w:val="00BD1FCB"/>
    <w:rsid w:val="00BD260C"/>
    <w:rsid w:val="00BD3232"/>
    <w:rsid w:val="00BD323F"/>
    <w:rsid w:val="00BD3BB2"/>
    <w:rsid w:val="00BD41FF"/>
    <w:rsid w:val="00BD4216"/>
    <w:rsid w:val="00BD4763"/>
    <w:rsid w:val="00BD489A"/>
    <w:rsid w:val="00BD4EC4"/>
    <w:rsid w:val="00BD5399"/>
    <w:rsid w:val="00BD57A0"/>
    <w:rsid w:val="00BD6BCD"/>
    <w:rsid w:val="00BD7E52"/>
    <w:rsid w:val="00BE136E"/>
    <w:rsid w:val="00BE16D8"/>
    <w:rsid w:val="00BE1E49"/>
    <w:rsid w:val="00BE2E10"/>
    <w:rsid w:val="00BE30C4"/>
    <w:rsid w:val="00BE31A2"/>
    <w:rsid w:val="00BE3A8F"/>
    <w:rsid w:val="00BE423B"/>
    <w:rsid w:val="00BE435F"/>
    <w:rsid w:val="00BE55DF"/>
    <w:rsid w:val="00BE651C"/>
    <w:rsid w:val="00BE690D"/>
    <w:rsid w:val="00BE6AEF"/>
    <w:rsid w:val="00BE6CAC"/>
    <w:rsid w:val="00BF0CB8"/>
    <w:rsid w:val="00BF10B4"/>
    <w:rsid w:val="00BF155A"/>
    <w:rsid w:val="00BF1F8E"/>
    <w:rsid w:val="00BF1FB1"/>
    <w:rsid w:val="00BF260F"/>
    <w:rsid w:val="00BF2E01"/>
    <w:rsid w:val="00BF30E7"/>
    <w:rsid w:val="00BF3634"/>
    <w:rsid w:val="00BF41A7"/>
    <w:rsid w:val="00BF4C42"/>
    <w:rsid w:val="00BF4FFE"/>
    <w:rsid w:val="00BF5787"/>
    <w:rsid w:val="00BF5FB2"/>
    <w:rsid w:val="00BF60D8"/>
    <w:rsid w:val="00BF63A5"/>
    <w:rsid w:val="00BF641D"/>
    <w:rsid w:val="00BF6F71"/>
    <w:rsid w:val="00BF73ED"/>
    <w:rsid w:val="00BF741C"/>
    <w:rsid w:val="00C0052B"/>
    <w:rsid w:val="00C013F3"/>
    <w:rsid w:val="00C014DF"/>
    <w:rsid w:val="00C02EFA"/>
    <w:rsid w:val="00C03509"/>
    <w:rsid w:val="00C03E49"/>
    <w:rsid w:val="00C04117"/>
    <w:rsid w:val="00C04259"/>
    <w:rsid w:val="00C05E85"/>
    <w:rsid w:val="00C0760B"/>
    <w:rsid w:val="00C07CAE"/>
    <w:rsid w:val="00C07E5F"/>
    <w:rsid w:val="00C1019F"/>
    <w:rsid w:val="00C10CC3"/>
    <w:rsid w:val="00C12D96"/>
    <w:rsid w:val="00C12FF3"/>
    <w:rsid w:val="00C13C10"/>
    <w:rsid w:val="00C14314"/>
    <w:rsid w:val="00C14E7F"/>
    <w:rsid w:val="00C14FC5"/>
    <w:rsid w:val="00C170B2"/>
    <w:rsid w:val="00C1715E"/>
    <w:rsid w:val="00C17A7F"/>
    <w:rsid w:val="00C17F77"/>
    <w:rsid w:val="00C2077A"/>
    <w:rsid w:val="00C20BDB"/>
    <w:rsid w:val="00C21513"/>
    <w:rsid w:val="00C215AD"/>
    <w:rsid w:val="00C217F1"/>
    <w:rsid w:val="00C21F78"/>
    <w:rsid w:val="00C226C5"/>
    <w:rsid w:val="00C22A51"/>
    <w:rsid w:val="00C2314D"/>
    <w:rsid w:val="00C237DA"/>
    <w:rsid w:val="00C23998"/>
    <w:rsid w:val="00C23B9C"/>
    <w:rsid w:val="00C23DC5"/>
    <w:rsid w:val="00C23E97"/>
    <w:rsid w:val="00C2482B"/>
    <w:rsid w:val="00C24A4C"/>
    <w:rsid w:val="00C25872"/>
    <w:rsid w:val="00C25B6E"/>
    <w:rsid w:val="00C25E39"/>
    <w:rsid w:val="00C262EF"/>
    <w:rsid w:val="00C26B22"/>
    <w:rsid w:val="00C27223"/>
    <w:rsid w:val="00C275AE"/>
    <w:rsid w:val="00C27E9E"/>
    <w:rsid w:val="00C30897"/>
    <w:rsid w:val="00C322C1"/>
    <w:rsid w:val="00C32A6F"/>
    <w:rsid w:val="00C3357D"/>
    <w:rsid w:val="00C335E7"/>
    <w:rsid w:val="00C33A29"/>
    <w:rsid w:val="00C35A66"/>
    <w:rsid w:val="00C35DCA"/>
    <w:rsid w:val="00C35FBC"/>
    <w:rsid w:val="00C370CD"/>
    <w:rsid w:val="00C37312"/>
    <w:rsid w:val="00C3753B"/>
    <w:rsid w:val="00C378E2"/>
    <w:rsid w:val="00C41126"/>
    <w:rsid w:val="00C412A0"/>
    <w:rsid w:val="00C412AA"/>
    <w:rsid w:val="00C414E8"/>
    <w:rsid w:val="00C41A76"/>
    <w:rsid w:val="00C41A8C"/>
    <w:rsid w:val="00C41CF0"/>
    <w:rsid w:val="00C42322"/>
    <w:rsid w:val="00C428C9"/>
    <w:rsid w:val="00C439D3"/>
    <w:rsid w:val="00C43D47"/>
    <w:rsid w:val="00C44967"/>
    <w:rsid w:val="00C44E4B"/>
    <w:rsid w:val="00C45323"/>
    <w:rsid w:val="00C45C27"/>
    <w:rsid w:val="00C45C5D"/>
    <w:rsid w:val="00C4631E"/>
    <w:rsid w:val="00C46B5D"/>
    <w:rsid w:val="00C479B0"/>
    <w:rsid w:val="00C506AF"/>
    <w:rsid w:val="00C507FB"/>
    <w:rsid w:val="00C50C12"/>
    <w:rsid w:val="00C50EEF"/>
    <w:rsid w:val="00C51074"/>
    <w:rsid w:val="00C5274A"/>
    <w:rsid w:val="00C55EA2"/>
    <w:rsid w:val="00C56413"/>
    <w:rsid w:val="00C56503"/>
    <w:rsid w:val="00C57011"/>
    <w:rsid w:val="00C57223"/>
    <w:rsid w:val="00C575A7"/>
    <w:rsid w:val="00C57B9F"/>
    <w:rsid w:val="00C60D9C"/>
    <w:rsid w:val="00C6181A"/>
    <w:rsid w:val="00C61B80"/>
    <w:rsid w:val="00C62A99"/>
    <w:rsid w:val="00C62BDD"/>
    <w:rsid w:val="00C62F37"/>
    <w:rsid w:val="00C63B5E"/>
    <w:rsid w:val="00C63B79"/>
    <w:rsid w:val="00C63F17"/>
    <w:rsid w:val="00C63F34"/>
    <w:rsid w:val="00C647CC"/>
    <w:rsid w:val="00C6496C"/>
    <w:rsid w:val="00C64F8E"/>
    <w:rsid w:val="00C659CB"/>
    <w:rsid w:val="00C66D83"/>
    <w:rsid w:val="00C67049"/>
    <w:rsid w:val="00C6711C"/>
    <w:rsid w:val="00C67171"/>
    <w:rsid w:val="00C674B1"/>
    <w:rsid w:val="00C67DD1"/>
    <w:rsid w:val="00C70109"/>
    <w:rsid w:val="00C70398"/>
    <w:rsid w:val="00C704BC"/>
    <w:rsid w:val="00C70628"/>
    <w:rsid w:val="00C7069A"/>
    <w:rsid w:val="00C711FD"/>
    <w:rsid w:val="00C71D08"/>
    <w:rsid w:val="00C7244F"/>
    <w:rsid w:val="00C724BE"/>
    <w:rsid w:val="00C72D84"/>
    <w:rsid w:val="00C73934"/>
    <w:rsid w:val="00C73CE3"/>
    <w:rsid w:val="00C750A9"/>
    <w:rsid w:val="00C7559B"/>
    <w:rsid w:val="00C756D0"/>
    <w:rsid w:val="00C75E26"/>
    <w:rsid w:val="00C75F09"/>
    <w:rsid w:val="00C7603D"/>
    <w:rsid w:val="00C760FA"/>
    <w:rsid w:val="00C76423"/>
    <w:rsid w:val="00C7794E"/>
    <w:rsid w:val="00C77D03"/>
    <w:rsid w:val="00C77D90"/>
    <w:rsid w:val="00C77EF7"/>
    <w:rsid w:val="00C802BA"/>
    <w:rsid w:val="00C81215"/>
    <w:rsid w:val="00C8248A"/>
    <w:rsid w:val="00C832E1"/>
    <w:rsid w:val="00C84550"/>
    <w:rsid w:val="00C85012"/>
    <w:rsid w:val="00C857BC"/>
    <w:rsid w:val="00C858FF"/>
    <w:rsid w:val="00C866DA"/>
    <w:rsid w:val="00C879ED"/>
    <w:rsid w:val="00C87DAF"/>
    <w:rsid w:val="00C906D5"/>
    <w:rsid w:val="00C9104F"/>
    <w:rsid w:val="00C91094"/>
    <w:rsid w:val="00C92403"/>
    <w:rsid w:val="00C92664"/>
    <w:rsid w:val="00C93096"/>
    <w:rsid w:val="00C93E40"/>
    <w:rsid w:val="00C93E66"/>
    <w:rsid w:val="00C93FDC"/>
    <w:rsid w:val="00C941A7"/>
    <w:rsid w:val="00C9455D"/>
    <w:rsid w:val="00C947B6"/>
    <w:rsid w:val="00C9541B"/>
    <w:rsid w:val="00C96047"/>
    <w:rsid w:val="00C96320"/>
    <w:rsid w:val="00C96CDB"/>
    <w:rsid w:val="00C975D4"/>
    <w:rsid w:val="00C97BC4"/>
    <w:rsid w:val="00C97BF5"/>
    <w:rsid w:val="00CA0344"/>
    <w:rsid w:val="00CA06C7"/>
    <w:rsid w:val="00CA0D79"/>
    <w:rsid w:val="00CA1CB0"/>
    <w:rsid w:val="00CA2063"/>
    <w:rsid w:val="00CA29FB"/>
    <w:rsid w:val="00CA2E56"/>
    <w:rsid w:val="00CA2F52"/>
    <w:rsid w:val="00CA3416"/>
    <w:rsid w:val="00CA524C"/>
    <w:rsid w:val="00CA5932"/>
    <w:rsid w:val="00CA6527"/>
    <w:rsid w:val="00CA741A"/>
    <w:rsid w:val="00CA74DE"/>
    <w:rsid w:val="00CB002E"/>
    <w:rsid w:val="00CB0A7E"/>
    <w:rsid w:val="00CB0B64"/>
    <w:rsid w:val="00CB0CB8"/>
    <w:rsid w:val="00CB0EAD"/>
    <w:rsid w:val="00CB1AB1"/>
    <w:rsid w:val="00CB20B2"/>
    <w:rsid w:val="00CB2D9A"/>
    <w:rsid w:val="00CB4B0B"/>
    <w:rsid w:val="00CB5535"/>
    <w:rsid w:val="00CB5743"/>
    <w:rsid w:val="00CB5D85"/>
    <w:rsid w:val="00CB5EA6"/>
    <w:rsid w:val="00CB6669"/>
    <w:rsid w:val="00CB78C7"/>
    <w:rsid w:val="00CC04D7"/>
    <w:rsid w:val="00CC1D4A"/>
    <w:rsid w:val="00CC29F2"/>
    <w:rsid w:val="00CC3AC4"/>
    <w:rsid w:val="00CC3DDA"/>
    <w:rsid w:val="00CC49EB"/>
    <w:rsid w:val="00CC593A"/>
    <w:rsid w:val="00CC5C51"/>
    <w:rsid w:val="00CC5E6E"/>
    <w:rsid w:val="00CC602C"/>
    <w:rsid w:val="00CC7356"/>
    <w:rsid w:val="00CC7BAB"/>
    <w:rsid w:val="00CD0350"/>
    <w:rsid w:val="00CD12EF"/>
    <w:rsid w:val="00CD14CD"/>
    <w:rsid w:val="00CD1559"/>
    <w:rsid w:val="00CD163D"/>
    <w:rsid w:val="00CD2105"/>
    <w:rsid w:val="00CD23E4"/>
    <w:rsid w:val="00CD2990"/>
    <w:rsid w:val="00CD2D6B"/>
    <w:rsid w:val="00CD2FDA"/>
    <w:rsid w:val="00CD3407"/>
    <w:rsid w:val="00CD36E1"/>
    <w:rsid w:val="00CD38BF"/>
    <w:rsid w:val="00CD405F"/>
    <w:rsid w:val="00CD409E"/>
    <w:rsid w:val="00CD4187"/>
    <w:rsid w:val="00CD45FE"/>
    <w:rsid w:val="00CD4617"/>
    <w:rsid w:val="00CD4EAA"/>
    <w:rsid w:val="00CD6543"/>
    <w:rsid w:val="00CD68FB"/>
    <w:rsid w:val="00CD6F3D"/>
    <w:rsid w:val="00CD74FF"/>
    <w:rsid w:val="00CD7C38"/>
    <w:rsid w:val="00CD7C3F"/>
    <w:rsid w:val="00CD7F02"/>
    <w:rsid w:val="00CE0077"/>
    <w:rsid w:val="00CE0853"/>
    <w:rsid w:val="00CE0CC0"/>
    <w:rsid w:val="00CE1563"/>
    <w:rsid w:val="00CE21A3"/>
    <w:rsid w:val="00CE293D"/>
    <w:rsid w:val="00CE29AE"/>
    <w:rsid w:val="00CE348E"/>
    <w:rsid w:val="00CE370F"/>
    <w:rsid w:val="00CE3731"/>
    <w:rsid w:val="00CE3CAE"/>
    <w:rsid w:val="00CE3FAC"/>
    <w:rsid w:val="00CE4306"/>
    <w:rsid w:val="00CE4630"/>
    <w:rsid w:val="00CE494E"/>
    <w:rsid w:val="00CE4C8C"/>
    <w:rsid w:val="00CE6022"/>
    <w:rsid w:val="00CE6958"/>
    <w:rsid w:val="00CE6CCC"/>
    <w:rsid w:val="00CE72C4"/>
    <w:rsid w:val="00CE7742"/>
    <w:rsid w:val="00CE7E52"/>
    <w:rsid w:val="00CF1DBE"/>
    <w:rsid w:val="00CF2683"/>
    <w:rsid w:val="00CF3B21"/>
    <w:rsid w:val="00CF5D82"/>
    <w:rsid w:val="00CF6B4E"/>
    <w:rsid w:val="00CF77B2"/>
    <w:rsid w:val="00D00EDB"/>
    <w:rsid w:val="00D01234"/>
    <w:rsid w:val="00D01E3E"/>
    <w:rsid w:val="00D029F9"/>
    <w:rsid w:val="00D03026"/>
    <w:rsid w:val="00D04545"/>
    <w:rsid w:val="00D04D66"/>
    <w:rsid w:val="00D050C3"/>
    <w:rsid w:val="00D05744"/>
    <w:rsid w:val="00D05AE3"/>
    <w:rsid w:val="00D05D44"/>
    <w:rsid w:val="00D06A17"/>
    <w:rsid w:val="00D06D85"/>
    <w:rsid w:val="00D06E06"/>
    <w:rsid w:val="00D0719C"/>
    <w:rsid w:val="00D0740E"/>
    <w:rsid w:val="00D07632"/>
    <w:rsid w:val="00D11401"/>
    <w:rsid w:val="00D120BA"/>
    <w:rsid w:val="00D13552"/>
    <w:rsid w:val="00D136CF"/>
    <w:rsid w:val="00D13986"/>
    <w:rsid w:val="00D14B5F"/>
    <w:rsid w:val="00D157EC"/>
    <w:rsid w:val="00D15C93"/>
    <w:rsid w:val="00D1612E"/>
    <w:rsid w:val="00D16BD8"/>
    <w:rsid w:val="00D17202"/>
    <w:rsid w:val="00D179A0"/>
    <w:rsid w:val="00D17EB7"/>
    <w:rsid w:val="00D205A1"/>
    <w:rsid w:val="00D2228E"/>
    <w:rsid w:val="00D22435"/>
    <w:rsid w:val="00D22A39"/>
    <w:rsid w:val="00D22F4B"/>
    <w:rsid w:val="00D24703"/>
    <w:rsid w:val="00D25313"/>
    <w:rsid w:val="00D25564"/>
    <w:rsid w:val="00D25D99"/>
    <w:rsid w:val="00D26852"/>
    <w:rsid w:val="00D26F89"/>
    <w:rsid w:val="00D27B81"/>
    <w:rsid w:val="00D27E28"/>
    <w:rsid w:val="00D30539"/>
    <w:rsid w:val="00D30607"/>
    <w:rsid w:val="00D30872"/>
    <w:rsid w:val="00D3097F"/>
    <w:rsid w:val="00D30A6A"/>
    <w:rsid w:val="00D316CF"/>
    <w:rsid w:val="00D31CD2"/>
    <w:rsid w:val="00D31DB7"/>
    <w:rsid w:val="00D32473"/>
    <w:rsid w:val="00D32653"/>
    <w:rsid w:val="00D32AFF"/>
    <w:rsid w:val="00D32F17"/>
    <w:rsid w:val="00D33A0B"/>
    <w:rsid w:val="00D3455C"/>
    <w:rsid w:val="00D348A2"/>
    <w:rsid w:val="00D35357"/>
    <w:rsid w:val="00D3562D"/>
    <w:rsid w:val="00D36089"/>
    <w:rsid w:val="00D361EA"/>
    <w:rsid w:val="00D36D45"/>
    <w:rsid w:val="00D37ED3"/>
    <w:rsid w:val="00D40748"/>
    <w:rsid w:val="00D41274"/>
    <w:rsid w:val="00D4143A"/>
    <w:rsid w:val="00D415D3"/>
    <w:rsid w:val="00D42729"/>
    <w:rsid w:val="00D429F2"/>
    <w:rsid w:val="00D42F06"/>
    <w:rsid w:val="00D43958"/>
    <w:rsid w:val="00D4613C"/>
    <w:rsid w:val="00D46AE0"/>
    <w:rsid w:val="00D47BEE"/>
    <w:rsid w:val="00D47E2B"/>
    <w:rsid w:val="00D50047"/>
    <w:rsid w:val="00D5036F"/>
    <w:rsid w:val="00D506D4"/>
    <w:rsid w:val="00D50A72"/>
    <w:rsid w:val="00D51945"/>
    <w:rsid w:val="00D5236F"/>
    <w:rsid w:val="00D52A3F"/>
    <w:rsid w:val="00D539BA"/>
    <w:rsid w:val="00D543E8"/>
    <w:rsid w:val="00D54544"/>
    <w:rsid w:val="00D54C6E"/>
    <w:rsid w:val="00D55029"/>
    <w:rsid w:val="00D575DC"/>
    <w:rsid w:val="00D57CF3"/>
    <w:rsid w:val="00D60BF3"/>
    <w:rsid w:val="00D61FC0"/>
    <w:rsid w:val="00D63F60"/>
    <w:rsid w:val="00D64778"/>
    <w:rsid w:val="00D64FA4"/>
    <w:rsid w:val="00D659ED"/>
    <w:rsid w:val="00D65D01"/>
    <w:rsid w:val="00D65EC2"/>
    <w:rsid w:val="00D66C3F"/>
    <w:rsid w:val="00D67B48"/>
    <w:rsid w:val="00D700B0"/>
    <w:rsid w:val="00D70D97"/>
    <w:rsid w:val="00D711F4"/>
    <w:rsid w:val="00D719C0"/>
    <w:rsid w:val="00D73986"/>
    <w:rsid w:val="00D747C0"/>
    <w:rsid w:val="00D74B48"/>
    <w:rsid w:val="00D76935"/>
    <w:rsid w:val="00D76BDD"/>
    <w:rsid w:val="00D7753D"/>
    <w:rsid w:val="00D77DCB"/>
    <w:rsid w:val="00D80340"/>
    <w:rsid w:val="00D80DB2"/>
    <w:rsid w:val="00D81582"/>
    <w:rsid w:val="00D81BD2"/>
    <w:rsid w:val="00D8256F"/>
    <w:rsid w:val="00D82B90"/>
    <w:rsid w:val="00D82BA2"/>
    <w:rsid w:val="00D82C7A"/>
    <w:rsid w:val="00D83399"/>
    <w:rsid w:val="00D83422"/>
    <w:rsid w:val="00D835A7"/>
    <w:rsid w:val="00D83680"/>
    <w:rsid w:val="00D85DF3"/>
    <w:rsid w:val="00D8613F"/>
    <w:rsid w:val="00D865E2"/>
    <w:rsid w:val="00D86E97"/>
    <w:rsid w:val="00D870E2"/>
    <w:rsid w:val="00D8730B"/>
    <w:rsid w:val="00D8760B"/>
    <w:rsid w:val="00D87DF3"/>
    <w:rsid w:val="00D90327"/>
    <w:rsid w:val="00D903A4"/>
    <w:rsid w:val="00D9051B"/>
    <w:rsid w:val="00D92105"/>
    <w:rsid w:val="00D93198"/>
    <w:rsid w:val="00D9364E"/>
    <w:rsid w:val="00D93B21"/>
    <w:rsid w:val="00D94B3D"/>
    <w:rsid w:val="00D94E0D"/>
    <w:rsid w:val="00D9507A"/>
    <w:rsid w:val="00D954CA"/>
    <w:rsid w:val="00D969BC"/>
    <w:rsid w:val="00D97267"/>
    <w:rsid w:val="00D972F2"/>
    <w:rsid w:val="00D978C9"/>
    <w:rsid w:val="00D97CE1"/>
    <w:rsid w:val="00DA0FD5"/>
    <w:rsid w:val="00DA10E4"/>
    <w:rsid w:val="00DA25C3"/>
    <w:rsid w:val="00DA3007"/>
    <w:rsid w:val="00DA37EE"/>
    <w:rsid w:val="00DA3AC5"/>
    <w:rsid w:val="00DA3F80"/>
    <w:rsid w:val="00DA43CC"/>
    <w:rsid w:val="00DA4D67"/>
    <w:rsid w:val="00DA542A"/>
    <w:rsid w:val="00DA5805"/>
    <w:rsid w:val="00DA61EA"/>
    <w:rsid w:val="00DA6356"/>
    <w:rsid w:val="00DA657E"/>
    <w:rsid w:val="00DA755A"/>
    <w:rsid w:val="00DA78E9"/>
    <w:rsid w:val="00DB00BF"/>
    <w:rsid w:val="00DB06D6"/>
    <w:rsid w:val="00DB071F"/>
    <w:rsid w:val="00DB168C"/>
    <w:rsid w:val="00DB1859"/>
    <w:rsid w:val="00DB1D2E"/>
    <w:rsid w:val="00DB1FAC"/>
    <w:rsid w:val="00DB2257"/>
    <w:rsid w:val="00DB26F7"/>
    <w:rsid w:val="00DB332E"/>
    <w:rsid w:val="00DB37DD"/>
    <w:rsid w:val="00DB3809"/>
    <w:rsid w:val="00DB38C7"/>
    <w:rsid w:val="00DB3FBC"/>
    <w:rsid w:val="00DB3FD7"/>
    <w:rsid w:val="00DB4F61"/>
    <w:rsid w:val="00DB5B10"/>
    <w:rsid w:val="00DB5E0C"/>
    <w:rsid w:val="00DB640A"/>
    <w:rsid w:val="00DB6935"/>
    <w:rsid w:val="00DB6BD0"/>
    <w:rsid w:val="00DB6C13"/>
    <w:rsid w:val="00DB75A6"/>
    <w:rsid w:val="00DB76F1"/>
    <w:rsid w:val="00DC160F"/>
    <w:rsid w:val="00DC1DBD"/>
    <w:rsid w:val="00DC1EB7"/>
    <w:rsid w:val="00DC21A7"/>
    <w:rsid w:val="00DC288C"/>
    <w:rsid w:val="00DC2FC2"/>
    <w:rsid w:val="00DC384A"/>
    <w:rsid w:val="00DC4241"/>
    <w:rsid w:val="00DC43A4"/>
    <w:rsid w:val="00DC6279"/>
    <w:rsid w:val="00DC6394"/>
    <w:rsid w:val="00DC6938"/>
    <w:rsid w:val="00DC77DD"/>
    <w:rsid w:val="00DD06AA"/>
    <w:rsid w:val="00DD06CE"/>
    <w:rsid w:val="00DD1798"/>
    <w:rsid w:val="00DD1A70"/>
    <w:rsid w:val="00DD236E"/>
    <w:rsid w:val="00DD45B2"/>
    <w:rsid w:val="00DD529B"/>
    <w:rsid w:val="00DD5C78"/>
    <w:rsid w:val="00DD67B2"/>
    <w:rsid w:val="00DD6D9E"/>
    <w:rsid w:val="00DD7101"/>
    <w:rsid w:val="00DD76B8"/>
    <w:rsid w:val="00DE0058"/>
    <w:rsid w:val="00DE008D"/>
    <w:rsid w:val="00DE054D"/>
    <w:rsid w:val="00DE0570"/>
    <w:rsid w:val="00DE06A4"/>
    <w:rsid w:val="00DE0FF6"/>
    <w:rsid w:val="00DE1C11"/>
    <w:rsid w:val="00DE1E5B"/>
    <w:rsid w:val="00DE282F"/>
    <w:rsid w:val="00DE2A55"/>
    <w:rsid w:val="00DE2AFE"/>
    <w:rsid w:val="00DE2CF2"/>
    <w:rsid w:val="00DE318E"/>
    <w:rsid w:val="00DE31E4"/>
    <w:rsid w:val="00DE3660"/>
    <w:rsid w:val="00DE3CCE"/>
    <w:rsid w:val="00DE42B5"/>
    <w:rsid w:val="00DE56F7"/>
    <w:rsid w:val="00DE578F"/>
    <w:rsid w:val="00DE6F87"/>
    <w:rsid w:val="00DE7246"/>
    <w:rsid w:val="00DE7255"/>
    <w:rsid w:val="00DE72DD"/>
    <w:rsid w:val="00DF012A"/>
    <w:rsid w:val="00DF01A8"/>
    <w:rsid w:val="00DF0398"/>
    <w:rsid w:val="00DF06B8"/>
    <w:rsid w:val="00DF07D6"/>
    <w:rsid w:val="00DF0DD8"/>
    <w:rsid w:val="00DF2E23"/>
    <w:rsid w:val="00DF2EAE"/>
    <w:rsid w:val="00DF4EC1"/>
    <w:rsid w:val="00DF5098"/>
    <w:rsid w:val="00DF5165"/>
    <w:rsid w:val="00DF59C4"/>
    <w:rsid w:val="00DF5FC2"/>
    <w:rsid w:val="00DF6310"/>
    <w:rsid w:val="00DF65A9"/>
    <w:rsid w:val="00DF7AF5"/>
    <w:rsid w:val="00DF7ED9"/>
    <w:rsid w:val="00E00AD1"/>
    <w:rsid w:val="00E01050"/>
    <w:rsid w:val="00E02F2B"/>
    <w:rsid w:val="00E03B48"/>
    <w:rsid w:val="00E03DEA"/>
    <w:rsid w:val="00E05162"/>
    <w:rsid w:val="00E053D0"/>
    <w:rsid w:val="00E05E0E"/>
    <w:rsid w:val="00E07222"/>
    <w:rsid w:val="00E07447"/>
    <w:rsid w:val="00E07688"/>
    <w:rsid w:val="00E112E2"/>
    <w:rsid w:val="00E11400"/>
    <w:rsid w:val="00E11819"/>
    <w:rsid w:val="00E1318C"/>
    <w:rsid w:val="00E13207"/>
    <w:rsid w:val="00E137BA"/>
    <w:rsid w:val="00E1396D"/>
    <w:rsid w:val="00E13F26"/>
    <w:rsid w:val="00E14130"/>
    <w:rsid w:val="00E145ED"/>
    <w:rsid w:val="00E14834"/>
    <w:rsid w:val="00E14F14"/>
    <w:rsid w:val="00E1592A"/>
    <w:rsid w:val="00E15F95"/>
    <w:rsid w:val="00E16EA1"/>
    <w:rsid w:val="00E17AAC"/>
    <w:rsid w:val="00E17D7C"/>
    <w:rsid w:val="00E2006D"/>
    <w:rsid w:val="00E20419"/>
    <w:rsid w:val="00E22669"/>
    <w:rsid w:val="00E2351B"/>
    <w:rsid w:val="00E2368C"/>
    <w:rsid w:val="00E239EB"/>
    <w:rsid w:val="00E24B61"/>
    <w:rsid w:val="00E254A5"/>
    <w:rsid w:val="00E25A53"/>
    <w:rsid w:val="00E263E8"/>
    <w:rsid w:val="00E2697B"/>
    <w:rsid w:val="00E2727B"/>
    <w:rsid w:val="00E27857"/>
    <w:rsid w:val="00E278F6"/>
    <w:rsid w:val="00E3104C"/>
    <w:rsid w:val="00E31D1B"/>
    <w:rsid w:val="00E32236"/>
    <w:rsid w:val="00E325E6"/>
    <w:rsid w:val="00E3287B"/>
    <w:rsid w:val="00E32C5D"/>
    <w:rsid w:val="00E345DC"/>
    <w:rsid w:val="00E353DC"/>
    <w:rsid w:val="00E35AF5"/>
    <w:rsid w:val="00E3717B"/>
    <w:rsid w:val="00E377DA"/>
    <w:rsid w:val="00E379F8"/>
    <w:rsid w:val="00E37C85"/>
    <w:rsid w:val="00E405DB"/>
    <w:rsid w:val="00E40A48"/>
    <w:rsid w:val="00E414EB"/>
    <w:rsid w:val="00E4198D"/>
    <w:rsid w:val="00E42989"/>
    <w:rsid w:val="00E430BA"/>
    <w:rsid w:val="00E43236"/>
    <w:rsid w:val="00E436EB"/>
    <w:rsid w:val="00E45170"/>
    <w:rsid w:val="00E455DE"/>
    <w:rsid w:val="00E45F6A"/>
    <w:rsid w:val="00E4686A"/>
    <w:rsid w:val="00E46E51"/>
    <w:rsid w:val="00E4789F"/>
    <w:rsid w:val="00E47AAD"/>
    <w:rsid w:val="00E47EEC"/>
    <w:rsid w:val="00E50344"/>
    <w:rsid w:val="00E50A15"/>
    <w:rsid w:val="00E52451"/>
    <w:rsid w:val="00E5253A"/>
    <w:rsid w:val="00E5268E"/>
    <w:rsid w:val="00E53B2F"/>
    <w:rsid w:val="00E549D3"/>
    <w:rsid w:val="00E54CB9"/>
    <w:rsid w:val="00E54CD7"/>
    <w:rsid w:val="00E5634B"/>
    <w:rsid w:val="00E56DEF"/>
    <w:rsid w:val="00E57383"/>
    <w:rsid w:val="00E575D8"/>
    <w:rsid w:val="00E575E1"/>
    <w:rsid w:val="00E57BBA"/>
    <w:rsid w:val="00E603C1"/>
    <w:rsid w:val="00E614A8"/>
    <w:rsid w:val="00E6219F"/>
    <w:rsid w:val="00E6368A"/>
    <w:rsid w:val="00E6394A"/>
    <w:rsid w:val="00E65BC9"/>
    <w:rsid w:val="00E66F09"/>
    <w:rsid w:val="00E67168"/>
    <w:rsid w:val="00E70C81"/>
    <w:rsid w:val="00E70E3B"/>
    <w:rsid w:val="00E711DF"/>
    <w:rsid w:val="00E719CD"/>
    <w:rsid w:val="00E71A2B"/>
    <w:rsid w:val="00E72272"/>
    <w:rsid w:val="00E7239F"/>
    <w:rsid w:val="00E7242E"/>
    <w:rsid w:val="00E72433"/>
    <w:rsid w:val="00E7272F"/>
    <w:rsid w:val="00E72746"/>
    <w:rsid w:val="00E7275B"/>
    <w:rsid w:val="00E72889"/>
    <w:rsid w:val="00E729F5"/>
    <w:rsid w:val="00E731A6"/>
    <w:rsid w:val="00E73C98"/>
    <w:rsid w:val="00E7445E"/>
    <w:rsid w:val="00E7554C"/>
    <w:rsid w:val="00E75633"/>
    <w:rsid w:val="00E75B7B"/>
    <w:rsid w:val="00E7642D"/>
    <w:rsid w:val="00E76530"/>
    <w:rsid w:val="00E76862"/>
    <w:rsid w:val="00E76BC9"/>
    <w:rsid w:val="00E81745"/>
    <w:rsid w:val="00E8195E"/>
    <w:rsid w:val="00E819BC"/>
    <w:rsid w:val="00E82B4A"/>
    <w:rsid w:val="00E842D8"/>
    <w:rsid w:val="00E85CE8"/>
    <w:rsid w:val="00E85E65"/>
    <w:rsid w:val="00E86A69"/>
    <w:rsid w:val="00E86C65"/>
    <w:rsid w:val="00E86D2D"/>
    <w:rsid w:val="00E8718E"/>
    <w:rsid w:val="00E904A5"/>
    <w:rsid w:val="00E913C5"/>
    <w:rsid w:val="00E91DAF"/>
    <w:rsid w:val="00E91EB4"/>
    <w:rsid w:val="00E91F73"/>
    <w:rsid w:val="00E9257B"/>
    <w:rsid w:val="00E92B77"/>
    <w:rsid w:val="00E92B7D"/>
    <w:rsid w:val="00E9439C"/>
    <w:rsid w:val="00E944EB"/>
    <w:rsid w:val="00E94845"/>
    <w:rsid w:val="00E94A79"/>
    <w:rsid w:val="00E9577E"/>
    <w:rsid w:val="00E9580B"/>
    <w:rsid w:val="00E95A2B"/>
    <w:rsid w:val="00E964AC"/>
    <w:rsid w:val="00E96840"/>
    <w:rsid w:val="00E97E58"/>
    <w:rsid w:val="00EA053E"/>
    <w:rsid w:val="00EA0FED"/>
    <w:rsid w:val="00EA1BE9"/>
    <w:rsid w:val="00EA369C"/>
    <w:rsid w:val="00EA44F0"/>
    <w:rsid w:val="00EA45FC"/>
    <w:rsid w:val="00EA4A83"/>
    <w:rsid w:val="00EA51DB"/>
    <w:rsid w:val="00EA554E"/>
    <w:rsid w:val="00EA5DE7"/>
    <w:rsid w:val="00EA5E73"/>
    <w:rsid w:val="00EA5F55"/>
    <w:rsid w:val="00EA630B"/>
    <w:rsid w:val="00EA653D"/>
    <w:rsid w:val="00EA7C19"/>
    <w:rsid w:val="00EB01C5"/>
    <w:rsid w:val="00EB0277"/>
    <w:rsid w:val="00EB0FBD"/>
    <w:rsid w:val="00EB2350"/>
    <w:rsid w:val="00EB2FEE"/>
    <w:rsid w:val="00EB3020"/>
    <w:rsid w:val="00EB3C0C"/>
    <w:rsid w:val="00EB3CA2"/>
    <w:rsid w:val="00EB4C4C"/>
    <w:rsid w:val="00EB4C5E"/>
    <w:rsid w:val="00EB4D19"/>
    <w:rsid w:val="00EB4FA4"/>
    <w:rsid w:val="00EB574E"/>
    <w:rsid w:val="00EB5C37"/>
    <w:rsid w:val="00EB5D1E"/>
    <w:rsid w:val="00EB7136"/>
    <w:rsid w:val="00EB76CE"/>
    <w:rsid w:val="00EC095E"/>
    <w:rsid w:val="00EC09E0"/>
    <w:rsid w:val="00EC171F"/>
    <w:rsid w:val="00EC18AD"/>
    <w:rsid w:val="00EC192D"/>
    <w:rsid w:val="00EC2572"/>
    <w:rsid w:val="00EC26C2"/>
    <w:rsid w:val="00EC3DAE"/>
    <w:rsid w:val="00EC5275"/>
    <w:rsid w:val="00EC5BDC"/>
    <w:rsid w:val="00EC5E9D"/>
    <w:rsid w:val="00EC66CC"/>
    <w:rsid w:val="00EC7175"/>
    <w:rsid w:val="00EC73B4"/>
    <w:rsid w:val="00ED082C"/>
    <w:rsid w:val="00ED12A5"/>
    <w:rsid w:val="00ED14D9"/>
    <w:rsid w:val="00ED3FAD"/>
    <w:rsid w:val="00ED4BA9"/>
    <w:rsid w:val="00ED4E37"/>
    <w:rsid w:val="00ED4F9E"/>
    <w:rsid w:val="00ED5D80"/>
    <w:rsid w:val="00ED6792"/>
    <w:rsid w:val="00ED6F3F"/>
    <w:rsid w:val="00ED7B79"/>
    <w:rsid w:val="00EE046B"/>
    <w:rsid w:val="00EE0AE4"/>
    <w:rsid w:val="00EE15FC"/>
    <w:rsid w:val="00EE32B0"/>
    <w:rsid w:val="00EE3365"/>
    <w:rsid w:val="00EE4DB0"/>
    <w:rsid w:val="00EE55DB"/>
    <w:rsid w:val="00EE5A0F"/>
    <w:rsid w:val="00EE7344"/>
    <w:rsid w:val="00EE7E23"/>
    <w:rsid w:val="00EF0651"/>
    <w:rsid w:val="00EF1843"/>
    <w:rsid w:val="00EF1EE2"/>
    <w:rsid w:val="00EF212E"/>
    <w:rsid w:val="00EF2499"/>
    <w:rsid w:val="00EF26F0"/>
    <w:rsid w:val="00EF2E6C"/>
    <w:rsid w:val="00EF3159"/>
    <w:rsid w:val="00EF3A46"/>
    <w:rsid w:val="00EF48D8"/>
    <w:rsid w:val="00EF64C6"/>
    <w:rsid w:val="00EF6717"/>
    <w:rsid w:val="00EF69E9"/>
    <w:rsid w:val="00EF6EB0"/>
    <w:rsid w:val="00EF70EE"/>
    <w:rsid w:val="00EF714C"/>
    <w:rsid w:val="00EF7EEF"/>
    <w:rsid w:val="00F00333"/>
    <w:rsid w:val="00F003D2"/>
    <w:rsid w:val="00F006BC"/>
    <w:rsid w:val="00F01033"/>
    <w:rsid w:val="00F0108D"/>
    <w:rsid w:val="00F01982"/>
    <w:rsid w:val="00F0226A"/>
    <w:rsid w:val="00F02C48"/>
    <w:rsid w:val="00F04C04"/>
    <w:rsid w:val="00F05A3A"/>
    <w:rsid w:val="00F076D3"/>
    <w:rsid w:val="00F077E0"/>
    <w:rsid w:val="00F10982"/>
    <w:rsid w:val="00F112BE"/>
    <w:rsid w:val="00F116E9"/>
    <w:rsid w:val="00F11BEE"/>
    <w:rsid w:val="00F11F1A"/>
    <w:rsid w:val="00F1275B"/>
    <w:rsid w:val="00F12A77"/>
    <w:rsid w:val="00F1460F"/>
    <w:rsid w:val="00F149C1"/>
    <w:rsid w:val="00F15227"/>
    <w:rsid w:val="00F15505"/>
    <w:rsid w:val="00F15D47"/>
    <w:rsid w:val="00F15FBC"/>
    <w:rsid w:val="00F161C0"/>
    <w:rsid w:val="00F16777"/>
    <w:rsid w:val="00F167B0"/>
    <w:rsid w:val="00F16D83"/>
    <w:rsid w:val="00F17AC0"/>
    <w:rsid w:val="00F20316"/>
    <w:rsid w:val="00F20614"/>
    <w:rsid w:val="00F20A6A"/>
    <w:rsid w:val="00F21579"/>
    <w:rsid w:val="00F224FB"/>
    <w:rsid w:val="00F229F6"/>
    <w:rsid w:val="00F22C20"/>
    <w:rsid w:val="00F23C3B"/>
    <w:rsid w:val="00F26C97"/>
    <w:rsid w:val="00F27827"/>
    <w:rsid w:val="00F27885"/>
    <w:rsid w:val="00F30FD9"/>
    <w:rsid w:val="00F32934"/>
    <w:rsid w:val="00F32CDF"/>
    <w:rsid w:val="00F3422B"/>
    <w:rsid w:val="00F35BC2"/>
    <w:rsid w:val="00F35D29"/>
    <w:rsid w:val="00F36304"/>
    <w:rsid w:val="00F36F36"/>
    <w:rsid w:val="00F37D04"/>
    <w:rsid w:val="00F4103D"/>
    <w:rsid w:val="00F41338"/>
    <w:rsid w:val="00F4135A"/>
    <w:rsid w:val="00F419D4"/>
    <w:rsid w:val="00F42323"/>
    <w:rsid w:val="00F42EB1"/>
    <w:rsid w:val="00F4361F"/>
    <w:rsid w:val="00F440EB"/>
    <w:rsid w:val="00F4503A"/>
    <w:rsid w:val="00F457F7"/>
    <w:rsid w:val="00F458AB"/>
    <w:rsid w:val="00F45E08"/>
    <w:rsid w:val="00F46669"/>
    <w:rsid w:val="00F46CF0"/>
    <w:rsid w:val="00F472D0"/>
    <w:rsid w:val="00F47EED"/>
    <w:rsid w:val="00F504BF"/>
    <w:rsid w:val="00F504F4"/>
    <w:rsid w:val="00F5144A"/>
    <w:rsid w:val="00F52529"/>
    <w:rsid w:val="00F52BBB"/>
    <w:rsid w:val="00F53552"/>
    <w:rsid w:val="00F5447B"/>
    <w:rsid w:val="00F5467D"/>
    <w:rsid w:val="00F54FF1"/>
    <w:rsid w:val="00F5541E"/>
    <w:rsid w:val="00F5558E"/>
    <w:rsid w:val="00F556C4"/>
    <w:rsid w:val="00F56942"/>
    <w:rsid w:val="00F60B6E"/>
    <w:rsid w:val="00F60C10"/>
    <w:rsid w:val="00F62C40"/>
    <w:rsid w:val="00F6302C"/>
    <w:rsid w:val="00F63321"/>
    <w:rsid w:val="00F633C5"/>
    <w:rsid w:val="00F64E38"/>
    <w:rsid w:val="00F669FF"/>
    <w:rsid w:val="00F66CFD"/>
    <w:rsid w:val="00F66DFE"/>
    <w:rsid w:val="00F6735C"/>
    <w:rsid w:val="00F71A4F"/>
    <w:rsid w:val="00F7238F"/>
    <w:rsid w:val="00F73A52"/>
    <w:rsid w:val="00F74FBD"/>
    <w:rsid w:val="00F754D0"/>
    <w:rsid w:val="00F758CC"/>
    <w:rsid w:val="00F75CC0"/>
    <w:rsid w:val="00F75E85"/>
    <w:rsid w:val="00F76446"/>
    <w:rsid w:val="00F767D6"/>
    <w:rsid w:val="00F7711E"/>
    <w:rsid w:val="00F7750C"/>
    <w:rsid w:val="00F77914"/>
    <w:rsid w:val="00F77C6E"/>
    <w:rsid w:val="00F80597"/>
    <w:rsid w:val="00F80F6A"/>
    <w:rsid w:val="00F8100D"/>
    <w:rsid w:val="00F812A3"/>
    <w:rsid w:val="00F81D7E"/>
    <w:rsid w:val="00F81DF9"/>
    <w:rsid w:val="00F82319"/>
    <w:rsid w:val="00F83028"/>
    <w:rsid w:val="00F84049"/>
    <w:rsid w:val="00F84107"/>
    <w:rsid w:val="00F8418C"/>
    <w:rsid w:val="00F8453D"/>
    <w:rsid w:val="00F84E54"/>
    <w:rsid w:val="00F860A7"/>
    <w:rsid w:val="00F863EB"/>
    <w:rsid w:val="00F87075"/>
    <w:rsid w:val="00F87891"/>
    <w:rsid w:val="00F87A65"/>
    <w:rsid w:val="00F9076E"/>
    <w:rsid w:val="00F90A96"/>
    <w:rsid w:val="00F9156B"/>
    <w:rsid w:val="00F91F81"/>
    <w:rsid w:val="00F92DE5"/>
    <w:rsid w:val="00F92E0B"/>
    <w:rsid w:val="00F92E27"/>
    <w:rsid w:val="00F97353"/>
    <w:rsid w:val="00F97387"/>
    <w:rsid w:val="00F97641"/>
    <w:rsid w:val="00F97CA5"/>
    <w:rsid w:val="00FA010F"/>
    <w:rsid w:val="00FA02E4"/>
    <w:rsid w:val="00FA03B8"/>
    <w:rsid w:val="00FA04B2"/>
    <w:rsid w:val="00FA0ECF"/>
    <w:rsid w:val="00FA1173"/>
    <w:rsid w:val="00FA1B69"/>
    <w:rsid w:val="00FA1D78"/>
    <w:rsid w:val="00FA313A"/>
    <w:rsid w:val="00FA3690"/>
    <w:rsid w:val="00FA3C12"/>
    <w:rsid w:val="00FA3E32"/>
    <w:rsid w:val="00FA443D"/>
    <w:rsid w:val="00FA4A8F"/>
    <w:rsid w:val="00FA4B8A"/>
    <w:rsid w:val="00FA4DAB"/>
    <w:rsid w:val="00FA4EDB"/>
    <w:rsid w:val="00FA5C8C"/>
    <w:rsid w:val="00FA5D21"/>
    <w:rsid w:val="00FA5D34"/>
    <w:rsid w:val="00FA5FE4"/>
    <w:rsid w:val="00FA6072"/>
    <w:rsid w:val="00FA649C"/>
    <w:rsid w:val="00FA6662"/>
    <w:rsid w:val="00FA745F"/>
    <w:rsid w:val="00FB0168"/>
    <w:rsid w:val="00FB12DC"/>
    <w:rsid w:val="00FB16BD"/>
    <w:rsid w:val="00FB2040"/>
    <w:rsid w:val="00FB3AD7"/>
    <w:rsid w:val="00FB3BB9"/>
    <w:rsid w:val="00FB3D31"/>
    <w:rsid w:val="00FB40C4"/>
    <w:rsid w:val="00FB4FB6"/>
    <w:rsid w:val="00FB542B"/>
    <w:rsid w:val="00FB5696"/>
    <w:rsid w:val="00FB6482"/>
    <w:rsid w:val="00FB686E"/>
    <w:rsid w:val="00FB7130"/>
    <w:rsid w:val="00FB770E"/>
    <w:rsid w:val="00FC01B8"/>
    <w:rsid w:val="00FC0984"/>
    <w:rsid w:val="00FC1111"/>
    <w:rsid w:val="00FC1679"/>
    <w:rsid w:val="00FC2F43"/>
    <w:rsid w:val="00FC3A59"/>
    <w:rsid w:val="00FC411C"/>
    <w:rsid w:val="00FC4AF3"/>
    <w:rsid w:val="00FC5599"/>
    <w:rsid w:val="00FC6278"/>
    <w:rsid w:val="00FC6700"/>
    <w:rsid w:val="00FC6ACF"/>
    <w:rsid w:val="00FC6BCD"/>
    <w:rsid w:val="00FC7141"/>
    <w:rsid w:val="00FD01B8"/>
    <w:rsid w:val="00FD07DF"/>
    <w:rsid w:val="00FD0913"/>
    <w:rsid w:val="00FD0BEB"/>
    <w:rsid w:val="00FD1979"/>
    <w:rsid w:val="00FD2D41"/>
    <w:rsid w:val="00FD482D"/>
    <w:rsid w:val="00FD4D87"/>
    <w:rsid w:val="00FD53DB"/>
    <w:rsid w:val="00FD5E72"/>
    <w:rsid w:val="00FD6662"/>
    <w:rsid w:val="00FD6AA3"/>
    <w:rsid w:val="00FD703A"/>
    <w:rsid w:val="00FE001E"/>
    <w:rsid w:val="00FE014C"/>
    <w:rsid w:val="00FE02B2"/>
    <w:rsid w:val="00FE0694"/>
    <w:rsid w:val="00FE16BD"/>
    <w:rsid w:val="00FE17A3"/>
    <w:rsid w:val="00FE1826"/>
    <w:rsid w:val="00FE1D71"/>
    <w:rsid w:val="00FE1EC8"/>
    <w:rsid w:val="00FE2C22"/>
    <w:rsid w:val="00FE36E9"/>
    <w:rsid w:val="00FE3980"/>
    <w:rsid w:val="00FE42FB"/>
    <w:rsid w:val="00FE4DB7"/>
    <w:rsid w:val="00FE5311"/>
    <w:rsid w:val="00FE5447"/>
    <w:rsid w:val="00FE57C9"/>
    <w:rsid w:val="00FE5A4D"/>
    <w:rsid w:val="00FE5EAC"/>
    <w:rsid w:val="00FE660A"/>
    <w:rsid w:val="00FE6B72"/>
    <w:rsid w:val="00FE79A3"/>
    <w:rsid w:val="00FF09F6"/>
    <w:rsid w:val="00FF1032"/>
    <w:rsid w:val="00FF1674"/>
    <w:rsid w:val="00FF242F"/>
    <w:rsid w:val="00FF30DC"/>
    <w:rsid w:val="00FF5946"/>
    <w:rsid w:val="00FF59F6"/>
    <w:rsid w:val="00FF7065"/>
    <w:rsid w:val="0C237E39"/>
    <w:rsid w:val="109B6BF9"/>
    <w:rsid w:val="20F3246A"/>
    <w:rsid w:val="222B5367"/>
    <w:rsid w:val="2B6068F0"/>
    <w:rsid w:val="58352B0E"/>
    <w:rsid w:val="770051B8"/>
    <w:rsid w:val="7BCE39B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Placeholder Text"/>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5"/>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99"/>
    <w:pPr>
      <w:widowControl/>
      <w:spacing w:before="200" w:line="276" w:lineRule="auto"/>
      <w:jc w:val="left"/>
      <w:outlineLvl w:val="1"/>
    </w:pPr>
    <w:rPr>
      <w:rFonts w:ascii="Cambria" w:hAnsi="Cambria"/>
      <w:b/>
      <w:bCs/>
      <w:kern w:val="0"/>
      <w:sz w:val="26"/>
      <w:szCs w:val="26"/>
      <w:lang w:eastAsia="en-US"/>
    </w:rPr>
  </w:style>
  <w:style w:type="paragraph" w:styleId="4">
    <w:name w:val="heading 3"/>
    <w:basedOn w:val="1"/>
    <w:next w:val="1"/>
    <w:link w:val="37"/>
    <w:qFormat/>
    <w:uiPriority w:val="99"/>
    <w:pPr>
      <w:keepNext/>
      <w:keepLines/>
      <w:spacing w:before="260" w:after="260" w:line="416" w:lineRule="auto"/>
      <w:outlineLvl w:val="2"/>
    </w:pPr>
    <w:rPr>
      <w:b/>
      <w:bCs/>
      <w:sz w:val="32"/>
      <w:szCs w:val="32"/>
    </w:rPr>
  </w:style>
  <w:style w:type="paragraph" w:styleId="5">
    <w:name w:val="heading 5"/>
    <w:basedOn w:val="1"/>
    <w:next w:val="1"/>
    <w:link w:val="38"/>
    <w:qFormat/>
    <w:uiPriority w:val="99"/>
    <w:pPr>
      <w:keepNext/>
      <w:keepLines/>
      <w:spacing w:before="280" w:after="290" w:line="376" w:lineRule="auto"/>
      <w:outlineLvl w:val="4"/>
    </w:pPr>
    <w:rPr>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Normal Indent"/>
    <w:basedOn w:val="1"/>
    <w:link w:val="57"/>
    <w:qFormat/>
    <w:uiPriority w:val="99"/>
    <w:pPr>
      <w:ind w:firstLine="420"/>
    </w:pPr>
    <w:rPr>
      <w:sz w:val="24"/>
      <w:szCs w:val="20"/>
    </w:rPr>
  </w:style>
  <w:style w:type="paragraph" w:styleId="7">
    <w:name w:val="caption"/>
    <w:basedOn w:val="1"/>
    <w:next w:val="1"/>
    <w:qFormat/>
    <w:uiPriority w:val="99"/>
    <w:rPr>
      <w:rFonts w:ascii="Cambria" w:hAnsi="Cambria" w:eastAsia="黑体"/>
      <w:sz w:val="20"/>
      <w:szCs w:val="20"/>
    </w:rPr>
  </w:style>
  <w:style w:type="paragraph" w:styleId="8">
    <w:name w:val="annotation text"/>
    <w:basedOn w:val="1"/>
    <w:link w:val="39"/>
    <w:qFormat/>
    <w:uiPriority w:val="99"/>
    <w:pPr>
      <w:jc w:val="left"/>
    </w:pPr>
  </w:style>
  <w:style w:type="paragraph" w:styleId="9">
    <w:name w:val="Body Text 3"/>
    <w:basedOn w:val="1"/>
    <w:link w:val="41"/>
    <w:qFormat/>
    <w:uiPriority w:val="99"/>
    <w:pPr>
      <w:spacing w:after="120"/>
    </w:pPr>
    <w:rPr>
      <w:sz w:val="16"/>
      <w:szCs w:val="16"/>
    </w:rPr>
  </w:style>
  <w:style w:type="paragraph" w:styleId="10">
    <w:name w:val="Body Text"/>
    <w:basedOn w:val="1"/>
    <w:link w:val="42"/>
    <w:qFormat/>
    <w:uiPriority w:val="99"/>
    <w:pPr>
      <w:spacing w:after="120"/>
    </w:pPr>
  </w:style>
  <w:style w:type="paragraph" w:styleId="11">
    <w:name w:val="Body Text Indent"/>
    <w:basedOn w:val="1"/>
    <w:link w:val="43"/>
    <w:qFormat/>
    <w:uiPriority w:val="99"/>
    <w:pPr>
      <w:spacing w:after="120"/>
      <w:ind w:left="420" w:leftChars="200"/>
    </w:pPr>
  </w:style>
  <w:style w:type="paragraph" w:styleId="12">
    <w:name w:val="Plain Text"/>
    <w:basedOn w:val="1"/>
    <w:link w:val="44"/>
    <w:qFormat/>
    <w:uiPriority w:val="99"/>
    <w:rPr>
      <w:rFonts w:ascii="宋体" w:hAnsi="Courier New"/>
      <w:szCs w:val="21"/>
    </w:rPr>
  </w:style>
  <w:style w:type="paragraph" w:styleId="13">
    <w:name w:val="Date"/>
    <w:basedOn w:val="1"/>
    <w:next w:val="1"/>
    <w:link w:val="45"/>
    <w:qFormat/>
    <w:uiPriority w:val="99"/>
    <w:rPr>
      <w:szCs w:val="20"/>
    </w:rPr>
  </w:style>
  <w:style w:type="paragraph" w:styleId="14">
    <w:name w:val="Body Text Indent 2"/>
    <w:basedOn w:val="1"/>
    <w:link w:val="46"/>
    <w:qFormat/>
    <w:uiPriority w:val="99"/>
    <w:pPr>
      <w:tabs>
        <w:tab w:val="left" w:pos="3300"/>
      </w:tabs>
      <w:spacing w:line="360" w:lineRule="auto"/>
      <w:ind w:firstLine="480" w:firstLineChars="200"/>
    </w:pPr>
    <w:rPr>
      <w:rFonts w:ascii="宋体" w:hAnsi="宋体"/>
      <w:sz w:val="24"/>
    </w:rPr>
  </w:style>
  <w:style w:type="paragraph" w:styleId="15">
    <w:name w:val="Balloon Text"/>
    <w:basedOn w:val="1"/>
    <w:link w:val="47"/>
    <w:qFormat/>
    <w:uiPriority w:val="99"/>
    <w:rPr>
      <w:sz w:val="18"/>
      <w:szCs w:val="18"/>
    </w:rPr>
  </w:style>
  <w:style w:type="paragraph" w:styleId="16">
    <w:name w:val="footer"/>
    <w:basedOn w:val="1"/>
    <w:link w:val="48"/>
    <w:qFormat/>
    <w:uiPriority w:val="99"/>
    <w:pPr>
      <w:tabs>
        <w:tab w:val="center" w:pos="4153"/>
        <w:tab w:val="right" w:pos="8306"/>
      </w:tabs>
      <w:snapToGrid w:val="0"/>
      <w:jc w:val="left"/>
    </w:pPr>
    <w:rPr>
      <w:sz w:val="18"/>
      <w:szCs w:val="18"/>
    </w:rPr>
  </w:style>
  <w:style w:type="paragraph" w:styleId="17">
    <w:name w:val="header"/>
    <w:basedOn w:val="1"/>
    <w:link w:val="49"/>
    <w:qFormat/>
    <w:uiPriority w:val="99"/>
    <w:pPr>
      <w:pBdr>
        <w:bottom w:val="single" w:color="auto" w:sz="6" w:space="1"/>
      </w:pBdr>
      <w:tabs>
        <w:tab w:val="center" w:pos="4153"/>
        <w:tab w:val="right" w:pos="8306"/>
      </w:tabs>
      <w:snapToGrid w:val="0"/>
      <w:jc w:val="center"/>
    </w:pPr>
    <w:rPr>
      <w:sz w:val="18"/>
      <w:szCs w:val="18"/>
    </w:rPr>
  </w:style>
  <w:style w:type="paragraph" w:styleId="18">
    <w:name w:val="List"/>
    <w:basedOn w:val="1"/>
    <w:link w:val="54"/>
    <w:qFormat/>
    <w:uiPriority w:val="99"/>
    <w:pPr>
      <w:ind w:left="200" w:hanging="200" w:hangingChars="200"/>
    </w:pPr>
    <w:rPr>
      <w:szCs w:val="20"/>
    </w:rPr>
  </w:style>
  <w:style w:type="paragraph" w:styleId="19">
    <w:name w:val="footnote text"/>
    <w:basedOn w:val="1"/>
    <w:link w:val="50"/>
    <w:qFormat/>
    <w:uiPriority w:val="99"/>
    <w:pPr>
      <w:snapToGrid w:val="0"/>
      <w:jc w:val="left"/>
    </w:pPr>
    <w:rPr>
      <w:sz w:val="18"/>
      <w:szCs w:val="18"/>
    </w:rPr>
  </w:style>
  <w:style w:type="paragraph" w:styleId="20">
    <w:name w:val="Body Text Indent 3"/>
    <w:basedOn w:val="1"/>
    <w:link w:val="51"/>
    <w:qFormat/>
    <w:uiPriority w:val="99"/>
    <w:pPr>
      <w:spacing w:after="120"/>
      <w:ind w:left="420" w:leftChars="200"/>
    </w:pPr>
    <w:rPr>
      <w:sz w:val="16"/>
      <w:szCs w:val="16"/>
    </w:rPr>
  </w:style>
  <w:style w:type="paragraph" w:styleId="21">
    <w:name w:val="HTML Preformatted"/>
    <w:basedOn w:val="1"/>
    <w:link w:val="52"/>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3">
    <w:name w:val="Title"/>
    <w:basedOn w:val="1"/>
    <w:link w:val="53"/>
    <w:qFormat/>
    <w:uiPriority w:val="99"/>
    <w:pPr>
      <w:spacing w:before="240" w:after="60" w:line="520" w:lineRule="exact"/>
      <w:ind w:firstLine="480" w:firstLineChars="200"/>
      <w:jc w:val="center"/>
      <w:outlineLvl w:val="0"/>
    </w:pPr>
    <w:rPr>
      <w:rFonts w:ascii="Arial" w:hAnsi="Arial" w:cs="Arial"/>
      <w:b/>
      <w:bCs/>
      <w:sz w:val="32"/>
      <w:szCs w:val="32"/>
    </w:rPr>
  </w:style>
  <w:style w:type="paragraph" w:styleId="24">
    <w:name w:val="annotation subject"/>
    <w:basedOn w:val="8"/>
    <w:next w:val="8"/>
    <w:link w:val="40"/>
    <w:qFormat/>
    <w:uiPriority w:val="99"/>
    <w:rPr>
      <w:b/>
      <w:bCs/>
    </w:rPr>
  </w:style>
  <w:style w:type="table" w:styleId="26">
    <w:name w:val="Table Grid"/>
    <w:basedOn w:val="25"/>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99"/>
    <w:rPr>
      <w:rFonts w:cs="Times New Roman"/>
      <w:b/>
    </w:rPr>
  </w:style>
  <w:style w:type="character" w:styleId="29">
    <w:name w:val="page number"/>
    <w:qFormat/>
    <w:uiPriority w:val="99"/>
    <w:rPr>
      <w:rFonts w:cs="Times New Roman"/>
    </w:rPr>
  </w:style>
  <w:style w:type="character" w:styleId="30">
    <w:name w:val="Emphasis"/>
    <w:qFormat/>
    <w:uiPriority w:val="99"/>
    <w:rPr>
      <w:rFonts w:cs="Times New Roman"/>
      <w:color w:val="CC0000"/>
    </w:rPr>
  </w:style>
  <w:style w:type="character" w:styleId="31">
    <w:name w:val="line number"/>
    <w:qFormat/>
    <w:uiPriority w:val="99"/>
    <w:rPr>
      <w:rFonts w:cs="Times New Roman"/>
    </w:rPr>
  </w:style>
  <w:style w:type="character" w:styleId="32">
    <w:name w:val="Hyperlink"/>
    <w:qFormat/>
    <w:uiPriority w:val="99"/>
    <w:rPr>
      <w:rFonts w:cs="Times New Roman"/>
      <w:color w:val="0268CD"/>
      <w:u w:val="none"/>
    </w:rPr>
  </w:style>
  <w:style w:type="character" w:styleId="33">
    <w:name w:val="annotation reference"/>
    <w:qFormat/>
    <w:uiPriority w:val="99"/>
    <w:rPr>
      <w:rFonts w:cs="Times New Roman"/>
      <w:sz w:val="21"/>
    </w:rPr>
  </w:style>
  <w:style w:type="character" w:styleId="34">
    <w:name w:val="footnote reference"/>
    <w:qFormat/>
    <w:uiPriority w:val="99"/>
    <w:rPr>
      <w:rFonts w:cs="Times New Roman"/>
      <w:vertAlign w:val="superscript"/>
    </w:rPr>
  </w:style>
  <w:style w:type="character" w:customStyle="1" w:styleId="35">
    <w:name w:val="标题 1 字符"/>
    <w:link w:val="2"/>
    <w:qFormat/>
    <w:locked/>
    <w:uiPriority w:val="99"/>
    <w:rPr>
      <w:rFonts w:cs="Times New Roman"/>
      <w:b/>
      <w:kern w:val="44"/>
      <w:sz w:val="44"/>
    </w:rPr>
  </w:style>
  <w:style w:type="character" w:customStyle="1" w:styleId="36">
    <w:name w:val="标题 2 字符"/>
    <w:link w:val="3"/>
    <w:qFormat/>
    <w:locked/>
    <w:uiPriority w:val="99"/>
    <w:rPr>
      <w:rFonts w:ascii="Cambria" w:hAnsi="Cambria" w:eastAsia="宋体" w:cs="Times New Roman"/>
      <w:b/>
      <w:sz w:val="26"/>
      <w:lang w:val="en-US" w:eastAsia="en-US"/>
    </w:rPr>
  </w:style>
  <w:style w:type="character" w:customStyle="1" w:styleId="37">
    <w:name w:val="标题 3 字符"/>
    <w:link w:val="4"/>
    <w:qFormat/>
    <w:locked/>
    <w:uiPriority w:val="99"/>
    <w:rPr>
      <w:rFonts w:cs="Times New Roman"/>
      <w:b/>
      <w:kern w:val="2"/>
      <w:sz w:val="32"/>
    </w:rPr>
  </w:style>
  <w:style w:type="character" w:customStyle="1" w:styleId="38">
    <w:name w:val="标题 5 字符"/>
    <w:link w:val="5"/>
    <w:semiHidden/>
    <w:qFormat/>
    <w:locked/>
    <w:uiPriority w:val="99"/>
    <w:rPr>
      <w:rFonts w:cs="Times New Roman"/>
      <w:b/>
      <w:kern w:val="2"/>
      <w:sz w:val="28"/>
    </w:rPr>
  </w:style>
  <w:style w:type="character" w:customStyle="1" w:styleId="39">
    <w:name w:val="批注文字 字符"/>
    <w:link w:val="8"/>
    <w:semiHidden/>
    <w:qFormat/>
    <w:locked/>
    <w:uiPriority w:val="99"/>
    <w:rPr>
      <w:rFonts w:cs="Times New Roman"/>
      <w:sz w:val="24"/>
      <w:szCs w:val="24"/>
    </w:rPr>
  </w:style>
  <w:style w:type="character" w:customStyle="1" w:styleId="40">
    <w:name w:val="批注主题 字符"/>
    <w:link w:val="24"/>
    <w:semiHidden/>
    <w:qFormat/>
    <w:locked/>
    <w:uiPriority w:val="99"/>
    <w:rPr>
      <w:rFonts w:cs="Times New Roman"/>
      <w:b/>
      <w:bCs/>
      <w:sz w:val="24"/>
      <w:szCs w:val="24"/>
    </w:rPr>
  </w:style>
  <w:style w:type="character" w:customStyle="1" w:styleId="41">
    <w:name w:val="正文文本 3 字符"/>
    <w:link w:val="9"/>
    <w:qFormat/>
    <w:locked/>
    <w:uiPriority w:val="99"/>
    <w:rPr>
      <w:rFonts w:eastAsia="宋体" w:cs="Times New Roman"/>
      <w:kern w:val="2"/>
      <w:sz w:val="16"/>
      <w:lang w:val="en-US" w:eastAsia="zh-CN"/>
    </w:rPr>
  </w:style>
  <w:style w:type="character" w:customStyle="1" w:styleId="42">
    <w:name w:val="正文文本 字符"/>
    <w:link w:val="10"/>
    <w:qFormat/>
    <w:locked/>
    <w:uiPriority w:val="99"/>
    <w:rPr>
      <w:rFonts w:cs="Times New Roman"/>
      <w:kern w:val="2"/>
      <w:sz w:val="24"/>
    </w:rPr>
  </w:style>
  <w:style w:type="character" w:customStyle="1" w:styleId="43">
    <w:name w:val="正文文本缩进 字符"/>
    <w:link w:val="11"/>
    <w:qFormat/>
    <w:locked/>
    <w:uiPriority w:val="99"/>
    <w:rPr>
      <w:rFonts w:cs="Times New Roman"/>
      <w:kern w:val="2"/>
      <w:sz w:val="24"/>
    </w:rPr>
  </w:style>
  <w:style w:type="character" w:customStyle="1" w:styleId="44">
    <w:name w:val="纯文本 字符"/>
    <w:link w:val="12"/>
    <w:qFormat/>
    <w:locked/>
    <w:uiPriority w:val="99"/>
    <w:rPr>
      <w:rFonts w:ascii="宋体" w:hAnsi="Courier New" w:cs="Times New Roman"/>
      <w:kern w:val="2"/>
      <w:sz w:val="21"/>
    </w:rPr>
  </w:style>
  <w:style w:type="character" w:customStyle="1" w:styleId="45">
    <w:name w:val="日期 字符"/>
    <w:link w:val="13"/>
    <w:semiHidden/>
    <w:qFormat/>
    <w:locked/>
    <w:uiPriority w:val="99"/>
    <w:rPr>
      <w:rFonts w:cs="Times New Roman"/>
      <w:sz w:val="24"/>
      <w:szCs w:val="24"/>
    </w:rPr>
  </w:style>
  <w:style w:type="character" w:customStyle="1" w:styleId="46">
    <w:name w:val="正文文本缩进 2 字符"/>
    <w:link w:val="14"/>
    <w:semiHidden/>
    <w:qFormat/>
    <w:locked/>
    <w:uiPriority w:val="99"/>
    <w:rPr>
      <w:rFonts w:cs="Times New Roman"/>
      <w:sz w:val="24"/>
      <w:szCs w:val="24"/>
    </w:rPr>
  </w:style>
  <w:style w:type="character" w:customStyle="1" w:styleId="47">
    <w:name w:val="批注框文本 字符"/>
    <w:link w:val="15"/>
    <w:qFormat/>
    <w:locked/>
    <w:uiPriority w:val="99"/>
    <w:rPr>
      <w:rFonts w:cs="Times New Roman"/>
      <w:kern w:val="2"/>
      <w:sz w:val="18"/>
    </w:rPr>
  </w:style>
  <w:style w:type="character" w:customStyle="1" w:styleId="48">
    <w:name w:val="页脚 字符"/>
    <w:link w:val="16"/>
    <w:qFormat/>
    <w:locked/>
    <w:uiPriority w:val="99"/>
    <w:rPr>
      <w:rFonts w:cs="Times New Roman"/>
      <w:kern w:val="2"/>
      <w:sz w:val="18"/>
    </w:rPr>
  </w:style>
  <w:style w:type="character" w:customStyle="1" w:styleId="49">
    <w:name w:val="页眉 字符"/>
    <w:link w:val="17"/>
    <w:qFormat/>
    <w:locked/>
    <w:uiPriority w:val="99"/>
    <w:rPr>
      <w:rFonts w:cs="Times New Roman"/>
      <w:kern w:val="2"/>
      <w:sz w:val="18"/>
    </w:rPr>
  </w:style>
  <w:style w:type="character" w:customStyle="1" w:styleId="50">
    <w:name w:val="脚注文本 字符"/>
    <w:link w:val="19"/>
    <w:qFormat/>
    <w:locked/>
    <w:uiPriority w:val="99"/>
    <w:rPr>
      <w:rFonts w:cs="Times New Roman"/>
      <w:kern w:val="2"/>
      <w:sz w:val="18"/>
    </w:rPr>
  </w:style>
  <w:style w:type="character" w:customStyle="1" w:styleId="51">
    <w:name w:val="正文文本缩进 3 字符"/>
    <w:link w:val="20"/>
    <w:semiHidden/>
    <w:qFormat/>
    <w:locked/>
    <w:uiPriority w:val="99"/>
    <w:rPr>
      <w:rFonts w:cs="Times New Roman"/>
      <w:sz w:val="16"/>
      <w:szCs w:val="16"/>
    </w:rPr>
  </w:style>
  <w:style w:type="character" w:customStyle="1" w:styleId="52">
    <w:name w:val="HTML 预设格式 字符"/>
    <w:link w:val="21"/>
    <w:semiHidden/>
    <w:qFormat/>
    <w:locked/>
    <w:uiPriority w:val="99"/>
    <w:rPr>
      <w:rFonts w:ascii="Courier New" w:hAnsi="Courier New" w:cs="Courier New"/>
      <w:sz w:val="20"/>
      <w:szCs w:val="20"/>
    </w:rPr>
  </w:style>
  <w:style w:type="character" w:customStyle="1" w:styleId="53">
    <w:name w:val="标题 字符"/>
    <w:link w:val="23"/>
    <w:qFormat/>
    <w:locked/>
    <w:uiPriority w:val="99"/>
    <w:rPr>
      <w:rFonts w:ascii="Cambria" w:hAnsi="Cambria" w:cs="Times New Roman"/>
      <w:b/>
      <w:bCs/>
      <w:sz w:val="32"/>
      <w:szCs w:val="32"/>
    </w:rPr>
  </w:style>
  <w:style w:type="character" w:customStyle="1" w:styleId="54">
    <w:name w:val="列表 字符"/>
    <w:link w:val="18"/>
    <w:qFormat/>
    <w:locked/>
    <w:uiPriority w:val="99"/>
    <w:rPr>
      <w:rFonts w:eastAsia="宋体"/>
      <w:kern w:val="2"/>
      <w:sz w:val="21"/>
      <w:lang w:val="en-US" w:eastAsia="zh-CN"/>
    </w:rPr>
  </w:style>
  <w:style w:type="character" w:customStyle="1" w:styleId="55">
    <w:name w:val="count4"/>
    <w:qFormat/>
    <w:uiPriority w:val="99"/>
  </w:style>
  <w:style w:type="character" w:customStyle="1" w:styleId="56">
    <w:name w:val="text_edit1"/>
    <w:qFormat/>
    <w:uiPriority w:val="99"/>
    <w:rPr>
      <w:color w:val="3366CC"/>
      <w:sz w:val="18"/>
    </w:rPr>
  </w:style>
  <w:style w:type="character" w:customStyle="1" w:styleId="57">
    <w:name w:val="正文缩进 字符"/>
    <w:link w:val="6"/>
    <w:qFormat/>
    <w:locked/>
    <w:uiPriority w:val="99"/>
    <w:rPr>
      <w:rFonts w:eastAsia="宋体"/>
      <w:kern w:val="2"/>
      <w:sz w:val="24"/>
      <w:lang w:val="en-US" w:eastAsia="zh-CN"/>
    </w:rPr>
  </w:style>
  <w:style w:type="character" w:customStyle="1" w:styleId="58">
    <w:name w:val="表内容 Char"/>
    <w:link w:val="59"/>
    <w:qFormat/>
    <w:locked/>
    <w:uiPriority w:val="99"/>
    <w:rPr>
      <w:rFonts w:eastAsia="黑体"/>
      <w:spacing w:val="-10"/>
      <w:kern w:val="2"/>
      <w:sz w:val="24"/>
    </w:rPr>
  </w:style>
  <w:style w:type="paragraph" w:customStyle="1" w:styleId="59">
    <w:name w:val="表内容"/>
    <w:basedOn w:val="60"/>
    <w:link w:val="58"/>
    <w:qFormat/>
    <w:uiPriority w:val="99"/>
    <w:pPr>
      <w:framePr w:hSpace="0" w:wrap="around" w:hAnchor="text" w:yAlign="inline"/>
      <w:adjustRightInd/>
      <w:snapToGrid/>
    </w:pPr>
    <w:rPr>
      <w:rFonts w:eastAsia="黑体"/>
      <w:b w:val="0"/>
      <w:spacing w:val="-10"/>
      <w:szCs w:val="20"/>
    </w:rPr>
  </w:style>
  <w:style w:type="paragraph" w:customStyle="1" w:styleId="60">
    <w:name w:val="表头"/>
    <w:basedOn w:val="1"/>
    <w:link w:val="127"/>
    <w:qFormat/>
    <w:uiPriority w:val="0"/>
    <w:pPr>
      <w:framePr w:hSpace="180" w:wrap="around" w:vAnchor="margin" w:hAnchor="margin" w:y="542"/>
      <w:adjustRightInd w:val="0"/>
      <w:snapToGrid w:val="0"/>
      <w:jc w:val="center"/>
    </w:pPr>
    <w:rPr>
      <w:b/>
      <w:sz w:val="24"/>
    </w:rPr>
  </w:style>
  <w:style w:type="character" w:customStyle="1" w:styleId="61">
    <w:name w:val="无间隔 字符"/>
    <w:link w:val="62"/>
    <w:qFormat/>
    <w:locked/>
    <w:uiPriority w:val="99"/>
    <w:rPr>
      <w:kern w:val="2"/>
      <w:sz w:val="24"/>
      <w:lang w:val="en-US" w:eastAsia="zh-CN"/>
    </w:rPr>
  </w:style>
  <w:style w:type="paragraph" w:styleId="62">
    <w:name w:val="No Spacing"/>
    <w:link w:val="61"/>
    <w:qFormat/>
    <w:uiPriority w:val="99"/>
    <w:pPr>
      <w:widowControl w:val="0"/>
      <w:spacing w:line="340" w:lineRule="exact"/>
      <w:jc w:val="center"/>
    </w:pPr>
    <w:rPr>
      <w:rFonts w:ascii="Times New Roman" w:hAnsi="Times New Roman" w:eastAsia="宋体" w:cs="Times New Roman"/>
      <w:kern w:val="2"/>
      <w:sz w:val="21"/>
      <w:szCs w:val="24"/>
      <w:lang w:val="en-US" w:eastAsia="zh-CN" w:bidi="ar-SA"/>
    </w:rPr>
  </w:style>
  <w:style w:type="character" w:customStyle="1" w:styleId="63">
    <w:name w:val="报告 Char Char"/>
    <w:link w:val="64"/>
    <w:qFormat/>
    <w:locked/>
    <w:uiPriority w:val="99"/>
    <w:rPr>
      <w:rFonts w:ascii="TimesNewRoman" w:hAnsi="TimesNewRoman" w:eastAsia="宋体"/>
      <w:sz w:val="24"/>
      <w:lang w:val="en-US" w:eastAsia="zh-CN"/>
    </w:rPr>
  </w:style>
  <w:style w:type="paragraph" w:customStyle="1" w:styleId="64">
    <w:name w:val="报告"/>
    <w:basedOn w:val="1"/>
    <w:link w:val="63"/>
    <w:qFormat/>
    <w:uiPriority w:val="99"/>
    <w:pPr>
      <w:adjustRightInd w:val="0"/>
      <w:spacing w:line="360" w:lineRule="auto"/>
      <w:ind w:firstLine="505"/>
      <w:textAlignment w:val="center"/>
    </w:pPr>
    <w:rPr>
      <w:rFonts w:ascii="TimesNewRoman" w:hAnsi="TimesNewRoman"/>
      <w:kern w:val="0"/>
      <w:sz w:val="24"/>
      <w:szCs w:val="20"/>
    </w:rPr>
  </w:style>
  <w:style w:type="character" w:customStyle="1" w:styleId="65">
    <w:name w:val="表格文字 Char Char"/>
    <w:link w:val="66"/>
    <w:qFormat/>
    <w:locked/>
    <w:uiPriority w:val="99"/>
    <w:rPr>
      <w:sz w:val="21"/>
    </w:rPr>
  </w:style>
  <w:style w:type="paragraph" w:customStyle="1" w:styleId="66">
    <w:name w:val="表格文字"/>
    <w:basedOn w:val="1"/>
    <w:link w:val="65"/>
    <w:qFormat/>
    <w:uiPriority w:val="99"/>
    <w:pPr>
      <w:autoSpaceDE w:val="0"/>
      <w:autoSpaceDN w:val="0"/>
      <w:adjustRightInd w:val="0"/>
      <w:spacing w:before="60" w:after="60"/>
      <w:jc w:val="left"/>
      <w:textAlignment w:val="bottom"/>
    </w:pPr>
    <w:rPr>
      <w:kern w:val="0"/>
      <w:szCs w:val="20"/>
    </w:rPr>
  </w:style>
  <w:style w:type="character" w:customStyle="1" w:styleId="67">
    <w:name w:val="报告 Char"/>
    <w:qFormat/>
    <w:uiPriority w:val="99"/>
    <w:rPr>
      <w:rFonts w:eastAsia="宋体"/>
      <w:sz w:val="24"/>
      <w:lang w:val="en-US" w:eastAsia="zh-CN"/>
    </w:rPr>
  </w:style>
  <w:style w:type="character" w:customStyle="1" w:styleId="68">
    <w:name w:val="段 Char"/>
    <w:link w:val="69"/>
    <w:qFormat/>
    <w:locked/>
    <w:uiPriority w:val="99"/>
    <w:rPr>
      <w:rFonts w:ascii="宋体"/>
      <w:sz w:val="21"/>
      <w:lang w:val="en-US" w:eastAsia="zh-CN"/>
    </w:rPr>
  </w:style>
  <w:style w:type="paragraph" w:customStyle="1" w:styleId="69">
    <w:name w:val="段"/>
    <w:link w:val="68"/>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70">
    <w:name w:val="三级标题 Char"/>
    <w:link w:val="71"/>
    <w:qFormat/>
    <w:locked/>
    <w:uiPriority w:val="99"/>
    <w:rPr>
      <w:rFonts w:ascii="Calibri" w:hAnsi="Calibri"/>
      <w:b/>
      <w:kern w:val="2"/>
      <w:sz w:val="24"/>
    </w:rPr>
  </w:style>
  <w:style w:type="paragraph" w:customStyle="1" w:styleId="71">
    <w:name w:val="三级标题"/>
    <w:basedOn w:val="1"/>
    <w:link w:val="70"/>
    <w:qFormat/>
    <w:uiPriority w:val="99"/>
    <w:pPr>
      <w:widowControl/>
      <w:spacing w:before="300" w:line="460" w:lineRule="exact"/>
      <w:jc w:val="left"/>
      <w:outlineLvl w:val="2"/>
    </w:pPr>
    <w:rPr>
      <w:rFonts w:ascii="Calibri" w:hAnsi="Calibri"/>
      <w:b/>
      <w:sz w:val="24"/>
      <w:szCs w:val="20"/>
    </w:rPr>
  </w:style>
  <w:style w:type="character" w:customStyle="1" w:styleId="72">
    <w:name w:val="正文 Char"/>
    <w:link w:val="73"/>
    <w:qFormat/>
    <w:locked/>
    <w:uiPriority w:val="99"/>
    <w:rPr>
      <w:rFonts w:ascii="宋体" w:eastAsia="宋体"/>
      <w:kern w:val="2"/>
      <w:sz w:val="24"/>
    </w:rPr>
  </w:style>
  <w:style w:type="paragraph" w:customStyle="1" w:styleId="73">
    <w:name w:val="正文1"/>
    <w:basedOn w:val="1"/>
    <w:link w:val="72"/>
    <w:qFormat/>
    <w:uiPriority w:val="99"/>
    <w:pPr>
      <w:spacing w:line="360" w:lineRule="auto"/>
      <w:ind w:firstLine="480" w:firstLineChars="200"/>
    </w:pPr>
    <w:rPr>
      <w:rFonts w:ascii="宋体"/>
      <w:sz w:val="24"/>
      <w:szCs w:val="20"/>
    </w:rPr>
  </w:style>
  <w:style w:type="character" w:customStyle="1" w:styleId="74">
    <w:name w:val="title11"/>
    <w:qFormat/>
    <w:uiPriority w:val="99"/>
  </w:style>
  <w:style w:type="character" w:customStyle="1" w:styleId="75">
    <w:name w:val="apple-converted-space"/>
    <w:qFormat/>
    <w:uiPriority w:val="99"/>
  </w:style>
  <w:style w:type="character" w:customStyle="1" w:styleId="76">
    <w:name w:val="headline-content2"/>
    <w:qFormat/>
    <w:uiPriority w:val="99"/>
    <w:rPr>
      <w:rFonts w:cs="Times New Roman"/>
    </w:rPr>
  </w:style>
  <w:style w:type="character" w:customStyle="1" w:styleId="77">
    <w:name w:val="正文01 Char"/>
    <w:link w:val="78"/>
    <w:qFormat/>
    <w:locked/>
    <w:uiPriority w:val="99"/>
    <w:rPr>
      <w:sz w:val="24"/>
    </w:rPr>
  </w:style>
  <w:style w:type="paragraph" w:customStyle="1" w:styleId="78">
    <w:name w:val="正文01"/>
    <w:basedOn w:val="1"/>
    <w:link w:val="77"/>
    <w:qFormat/>
    <w:uiPriority w:val="99"/>
    <w:pPr>
      <w:widowControl/>
      <w:spacing w:line="460" w:lineRule="exact"/>
      <w:jc w:val="left"/>
    </w:pPr>
    <w:rPr>
      <w:kern w:val="0"/>
      <w:sz w:val="24"/>
      <w:szCs w:val="20"/>
    </w:rPr>
  </w:style>
  <w:style w:type="paragraph" w:customStyle="1" w:styleId="79">
    <w:name w:val="图表标题"/>
    <w:basedOn w:val="1"/>
    <w:next w:val="80"/>
    <w:qFormat/>
    <w:uiPriority w:val="99"/>
    <w:pPr>
      <w:adjustRightInd w:val="0"/>
      <w:snapToGrid w:val="0"/>
      <w:spacing w:line="360" w:lineRule="auto"/>
      <w:ind w:firstLine="480"/>
      <w:jc w:val="center"/>
    </w:pPr>
    <w:rPr>
      <w:rFonts w:ascii="黑体" w:hAnsi="宋体" w:eastAsia="黑体"/>
      <w:bCs/>
      <w:sz w:val="24"/>
    </w:rPr>
  </w:style>
  <w:style w:type="paragraph" w:customStyle="1" w:styleId="80">
    <w:name w:val="报告表格"/>
    <w:basedOn w:val="1"/>
    <w:qFormat/>
    <w:uiPriority w:val="99"/>
    <w:pPr>
      <w:autoSpaceDE w:val="0"/>
      <w:autoSpaceDN w:val="0"/>
      <w:adjustRightInd w:val="0"/>
      <w:spacing w:before="40" w:after="40"/>
      <w:jc w:val="center"/>
    </w:pPr>
    <w:rPr>
      <w:kern w:val="0"/>
      <w:szCs w:val="20"/>
    </w:rPr>
  </w:style>
  <w:style w:type="paragraph" w:customStyle="1" w:styleId="81">
    <w:name w:val="Char Char Char1 Char Char Char Char Char Char Char Char Char Char Char Char1 Char Char Char2 Char Char Char Char"/>
    <w:basedOn w:val="1"/>
    <w:qFormat/>
    <w:uiPriority w:val="99"/>
    <w:pPr>
      <w:spacing w:line="360" w:lineRule="auto"/>
      <w:ind w:firstLine="200" w:firstLineChars="200"/>
    </w:pPr>
    <w:rPr>
      <w:rFonts w:ascii="宋体" w:hAnsi="宋体" w:cs="宋体"/>
      <w:sz w:val="24"/>
    </w:rPr>
  </w:style>
  <w:style w:type="paragraph" w:customStyle="1" w:styleId="82">
    <w:name w:val="1表格"/>
    <w:basedOn w:val="1"/>
    <w:qFormat/>
    <w:uiPriority w:val="99"/>
    <w:pPr>
      <w:snapToGrid w:val="0"/>
      <w:spacing w:line="160" w:lineRule="atLeast"/>
      <w:jc w:val="center"/>
    </w:pPr>
    <w:rPr>
      <w:rFonts w:eastAsia="仿宋_GB2312"/>
      <w:szCs w:val="20"/>
    </w:rPr>
  </w:style>
  <w:style w:type="paragraph" w:customStyle="1" w:styleId="83">
    <w:name w:val="xl25"/>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楷体_GB2312" w:hAnsi="宋体" w:eastAsia="楷体_GB2312"/>
      <w:kern w:val="0"/>
      <w:sz w:val="24"/>
    </w:rPr>
  </w:style>
  <w:style w:type="paragraph" w:customStyle="1" w:styleId="84">
    <w:name w:val="Char1"/>
    <w:basedOn w:val="1"/>
    <w:qFormat/>
    <w:uiPriority w:val="99"/>
    <w:pPr>
      <w:ind w:left="510"/>
    </w:pPr>
    <w:rPr>
      <w:rFonts w:ascii="宋体" w:hAnsi="宋体"/>
      <w:color w:val="000000"/>
      <w:kern w:val="0"/>
      <w:sz w:val="24"/>
      <w:szCs w:val="20"/>
    </w:rPr>
  </w:style>
  <w:style w:type="paragraph" w:customStyle="1" w:styleId="85">
    <w:name w:val="Char"/>
    <w:basedOn w:val="1"/>
    <w:qFormat/>
    <w:uiPriority w:val="99"/>
    <w:pPr>
      <w:pBdr>
        <w:bottom w:val="single" w:color="auto" w:sz="6" w:space="1"/>
      </w:pBdr>
      <w:tabs>
        <w:tab w:val="center" w:pos="4153"/>
        <w:tab w:val="right" w:pos="8306"/>
      </w:tabs>
      <w:jc w:val="center"/>
    </w:pPr>
    <w:rPr>
      <w:rFonts w:ascii="宋体" w:hAnsi="宋体"/>
      <w:szCs w:val="21"/>
    </w:rPr>
  </w:style>
  <w:style w:type="paragraph" w:customStyle="1" w:styleId="86">
    <w:name w:val="Char2"/>
    <w:basedOn w:val="1"/>
    <w:qFormat/>
    <w:uiPriority w:val="99"/>
  </w:style>
  <w:style w:type="paragraph" w:customStyle="1" w:styleId="87">
    <w:name w:val="Char Char Char Char Char Char"/>
    <w:basedOn w:val="1"/>
    <w:qFormat/>
    <w:uiPriority w:val="99"/>
    <w:rPr>
      <w:sz w:val="24"/>
    </w:rPr>
  </w:style>
  <w:style w:type="paragraph" w:customStyle="1" w:styleId="88">
    <w:name w:val="报告书"/>
    <w:basedOn w:val="1"/>
    <w:qFormat/>
    <w:uiPriority w:val="99"/>
    <w:pPr>
      <w:autoSpaceDE w:val="0"/>
      <w:autoSpaceDN w:val="0"/>
      <w:adjustRightInd w:val="0"/>
      <w:spacing w:line="360" w:lineRule="auto"/>
      <w:ind w:firstLine="505"/>
      <w:jc w:val="left"/>
      <w:textAlignment w:val="bottom"/>
    </w:pPr>
    <w:rPr>
      <w:kern w:val="0"/>
      <w:sz w:val="24"/>
      <w:szCs w:val="20"/>
    </w:rPr>
  </w:style>
  <w:style w:type="paragraph" w:customStyle="1" w:styleId="89">
    <w:name w:val="表文"/>
    <w:basedOn w:val="1"/>
    <w:qFormat/>
    <w:uiPriority w:val="99"/>
    <w:pPr>
      <w:spacing w:beforeLines="20" w:afterLines="20"/>
      <w:jc w:val="center"/>
    </w:pPr>
  </w:style>
  <w:style w:type="paragraph" w:customStyle="1" w:styleId="90">
    <w:name w:val="xl31"/>
    <w:basedOn w:val="1"/>
    <w:qFormat/>
    <w:uiPriority w:val="99"/>
    <w:pPr>
      <w:widowControl/>
      <w:spacing w:before="100" w:beforeAutospacing="1" w:after="100" w:afterAutospacing="1"/>
      <w:jc w:val="center"/>
      <w:textAlignment w:val="center"/>
    </w:pPr>
    <w:rPr>
      <w:rFonts w:ascii="Arial Unicode MS" w:hAnsi="Arial Unicode MS"/>
      <w:kern w:val="0"/>
      <w:sz w:val="24"/>
    </w:rPr>
  </w:style>
  <w:style w:type="paragraph" w:customStyle="1" w:styleId="91">
    <w:name w:val="报告表正文"/>
    <w:basedOn w:val="1"/>
    <w:qFormat/>
    <w:uiPriority w:val="0"/>
    <w:pPr>
      <w:adjustRightInd w:val="0"/>
      <w:spacing w:line="312" w:lineRule="auto"/>
      <w:ind w:left="113" w:right="113" w:firstLine="482"/>
      <w:jc w:val="left"/>
      <w:textAlignment w:val="baseline"/>
    </w:pPr>
    <w:rPr>
      <w:kern w:val="0"/>
      <w:sz w:val="24"/>
      <w:szCs w:val="20"/>
    </w:rPr>
  </w:style>
  <w:style w:type="paragraph" w:customStyle="1" w:styleId="92">
    <w:name w:val="Char Char2 Char Char Char Char"/>
    <w:basedOn w:val="1"/>
    <w:qFormat/>
    <w:uiPriority w:val="99"/>
  </w:style>
  <w:style w:type="paragraph" w:customStyle="1" w:styleId="93">
    <w:name w:val="Char Char Char Char"/>
    <w:basedOn w:val="1"/>
    <w:qFormat/>
    <w:uiPriority w:val="99"/>
  </w:style>
  <w:style w:type="paragraph" w:customStyle="1" w:styleId="94">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95">
    <w:name w:val="样式13"/>
    <w:basedOn w:val="1"/>
    <w:qFormat/>
    <w:uiPriority w:val="99"/>
    <w:pPr>
      <w:spacing w:line="360" w:lineRule="auto"/>
      <w:ind w:firstLine="480" w:firstLineChars="200"/>
    </w:pPr>
    <w:rPr>
      <w:rFonts w:ascii="Arial" w:hAnsi="Arial" w:cs="Arial"/>
      <w:sz w:val="24"/>
    </w:rPr>
  </w:style>
  <w:style w:type="paragraph" w:customStyle="1" w:styleId="96">
    <w:name w:val="8--"/>
    <w:basedOn w:val="1"/>
    <w:qFormat/>
    <w:uiPriority w:val="99"/>
    <w:pPr>
      <w:adjustRightInd w:val="0"/>
      <w:spacing w:line="360" w:lineRule="atLeast"/>
      <w:jc w:val="left"/>
      <w:textAlignment w:val="baseline"/>
    </w:pPr>
    <w:rPr>
      <w:kern w:val="0"/>
      <w:sz w:val="24"/>
      <w:szCs w:val="20"/>
    </w:rPr>
  </w:style>
  <w:style w:type="paragraph" w:customStyle="1" w:styleId="97">
    <w:name w:val="标题4"/>
    <w:basedOn w:val="1"/>
    <w:qFormat/>
    <w:uiPriority w:val="99"/>
    <w:pPr>
      <w:spacing w:line="360" w:lineRule="auto"/>
      <w:ind w:left="-7" w:leftChars="-3" w:firstLine="554" w:firstLineChars="230"/>
      <w:jc w:val="left"/>
    </w:pPr>
    <w:rPr>
      <w:b/>
      <w:bCs/>
      <w:sz w:val="24"/>
    </w:rPr>
  </w:style>
  <w:style w:type="paragraph" w:styleId="98">
    <w:name w:val="List Paragraph"/>
    <w:basedOn w:val="1"/>
    <w:qFormat/>
    <w:uiPriority w:val="99"/>
    <w:pPr>
      <w:ind w:firstLine="420" w:firstLineChars="200"/>
    </w:pPr>
  </w:style>
  <w:style w:type="paragraph" w:customStyle="1" w:styleId="99">
    <w:name w:val="p0"/>
    <w:basedOn w:val="1"/>
    <w:qFormat/>
    <w:uiPriority w:val="99"/>
    <w:pPr>
      <w:widowControl/>
    </w:pPr>
    <w:rPr>
      <w:rFonts w:ascii="Calibri" w:hAnsi="Calibri" w:cs="Calibri"/>
      <w:kern w:val="0"/>
      <w:szCs w:val="21"/>
    </w:rPr>
  </w:style>
  <w:style w:type="paragraph" w:customStyle="1" w:styleId="100">
    <w:name w:val="xl63"/>
    <w:basedOn w:val="1"/>
    <w:qFormat/>
    <w:uiPriority w:val="99"/>
    <w:pPr>
      <w:widowControl/>
      <w:spacing w:before="100" w:after="100"/>
      <w:jc w:val="center"/>
      <w:textAlignment w:val="center"/>
    </w:pPr>
    <w:rPr>
      <w:rFonts w:ascii="黑体" w:hAnsi="宋体" w:eastAsia="黑体"/>
      <w:kern w:val="0"/>
      <w:sz w:val="24"/>
      <w:szCs w:val="20"/>
    </w:rPr>
  </w:style>
  <w:style w:type="paragraph" w:customStyle="1" w:styleId="101">
    <w:name w:val="Char Char8 Char Char"/>
    <w:basedOn w:val="1"/>
    <w:qFormat/>
    <w:uiPriority w:val="99"/>
    <w:pPr>
      <w:spacing w:line="360" w:lineRule="auto"/>
      <w:ind w:firstLine="200" w:firstLineChars="200"/>
    </w:pPr>
  </w:style>
  <w:style w:type="paragraph" w:customStyle="1" w:styleId="102">
    <w:name w:val="表格文字2"/>
    <w:basedOn w:val="1"/>
    <w:qFormat/>
    <w:uiPriority w:val="99"/>
    <w:pPr>
      <w:adjustRightInd w:val="0"/>
      <w:spacing w:before="60"/>
      <w:jc w:val="center"/>
      <w:textAlignment w:val="baseline"/>
    </w:pPr>
    <w:rPr>
      <w:rFonts w:ascii="宋体"/>
      <w:kern w:val="0"/>
      <w:sz w:val="24"/>
      <w:szCs w:val="20"/>
    </w:rPr>
  </w:style>
  <w:style w:type="paragraph" w:customStyle="1" w:styleId="103">
    <w:name w:val="Char Char Char Char Char Char1 Char"/>
    <w:basedOn w:val="1"/>
    <w:qFormat/>
    <w:uiPriority w:val="99"/>
    <w:rPr>
      <w:sz w:val="24"/>
    </w:rPr>
  </w:style>
  <w:style w:type="paragraph" w:customStyle="1" w:styleId="104">
    <w:name w:val="Char Char Char Char1"/>
    <w:basedOn w:val="1"/>
    <w:qFormat/>
    <w:uiPriority w:val="99"/>
    <w:pPr>
      <w:tabs>
        <w:tab w:val="left" w:pos="360"/>
      </w:tabs>
    </w:pPr>
    <w:rPr>
      <w:sz w:val="24"/>
    </w:rPr>
  </w:style>
  <w:style w:type="paragraph" w:customStyle="1" w:styleId="105">
    <w:name w:val="默认段落字体 Para Char"/>
    <w:basedOn w:val="1"/>
    <w:qFormat/>
    <w:uiPriority w:val="99"/>
    <w:rPr>
      <w:rFonts w:ascii="宋体"/>
      <w:sz w:val="28"/>
    </w:rPr>
  </w:style>
  <w:style w:type="paragraph" w:customStyle="1" w:styleId="106">
    <w:name w:val="Char Char2"/>
    <w:basedOn w:val="1"/>
    <w:qFormat/>
    <w:uiPriority w:val="99"/>
  </w:style>
  <w:style w:type="paragraph" w:customStyle="1" w:styleId="107">
    <w:name w:val="样式1"/>
    <w:basedOn w:val="1"/>
    <w:qFormat/>
    <w:uiPriority w:val="99"/>
    <w:pPr>
      <w:adjustRightInd w:val="0"/>
      <w:spacing w:line="420" w:lineRule="auto"/>
      <w:jc w:val="center"/>
      <w:textAlignment w:val="baseline"/>
    </w:pPr>
    <w:rPr>
      <w:rFonts w:ascii="宋体"/>
      <w:kern w:val="0"/>
      <w:sz w:val="24"/>
      <w:szCs w:val="20"/>
    </w:rPr>
  </w:style>
  <w:style w:type="paragraph" w:customStyle="1" w:styleId="108">
    <w:name w:val="3级"/>
    <w:basedOn w:val="1"/>
    <w:qFormat/>
    <w:uiPriority w:val="99"/>
    <w:pPr>
      <w:spacing w:line="360" w:lineRule="auto"/>
      <w:outlineLvl w:val="2"/>
    </w:pPr>
    <w:rPr>
      <w:rFonts w:ascii="宋体" w:hAnsi="宋体"/>
      <w:b/>
      <w:sz w:val="30"/>
      <w:szCs w:val="20"/>
    </w:rPr>
  </w:style>
  <w:style w:type="paragraph" w:customStyle="1" w:styleId="109">
    <w:name w:val="表"/>
    <w:basedOn w:val="1"/>
    <w:qFormat/>
    <w:uiPriority w:val="99"/>
    <w:pPr>
      <w:spacing w:line="320" w:lineRule="atLeast"/>
      <w:jc w:val="center"/>
    </w:pPr>
    <w:rPr>
      <w:szCs w:val="20"/>
    </w:rPr>
  </w:style>
  <w:style w:type="paragraph" w:customStyle="1" w:styleId="110">
    <w:name w:val="样式17"/>
    <w:basedOn w:val="95"/>
    <w:qFormat/>
    <w:uiPriority w:val="99"/>
  </w:style>
  <w:style w:type="paragraph" w:customStyle="1" w:styleId="111">
    <w:name w:val="1"/>
    <w:basedOn w:val="1"/>
    <w:next w:val="12"/>
    <w:semiHidden/>
    <w:qFormat/>
    <w:uiPriority w:val="99"/>
    <w:pPr>
      <w:adjustRightInd w:val="0"/>
      <w:spacing w:line="360" w:lineRule="atLeast"/>
      <w:jc w:val="left"/>
      <w:textAlignment w:val="baseline"/>
    </w:pPr>
    <w:rPr>
      <w:rFonts w:ascii="宋体" w:hAnsi="Courier New"/>
      <w:kern w:val="0"/>
      <w:sz w:val="24"/>
      <w:szCs w:val="20"/>
    </w:rPr>
  </w:style>
  <w:style w:type="paragraph" w:customStyle="1" w:styleId="112">
    <w:name w:val="Default"/>
    <w:qFormat/>
    <w:uiPriority w:val="99"/>
    <w:pPr>
      <w:widowControl w:val="0"/>
      <w:autoSpaceDE w:val="0"/>
      <w:autoSpaceDN w:val="0"/>
      <w:adjustRightInd w:val="0"/>
    </w:pPr>
    <w:rPr>
      <w:rFonts w:ascii="仿宋_GB2312" w:hAnsi="Times New Roman" w:eastAsia="仿宋_GB2312" w:cs="Times New Roman"/>
      <w:color w:val="000000"/>
      <w:sz w:val="24"/>
      <w:szCs w:val="24"/>
      <w:lang w:val="en-US" w:eastAsia="zh-CN" w:bidi="ar-SA"/>
    </w:rPr>
  </w:style>
  <w:style w:type="paragraph" w:customStyle="1" w:styleId="113">
    <w:name w:val="album-div"/>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4">
    <w:name w:val="表格"/>
    <w:basedOn w:val="18"/>
    <w:qFormat/>
    <w:uiPriority w:val="99"/>
    <w:pPr>
      <w:spacing w:line="500" w:lineRule="exact"/>
      <w:jc w:val="center"/>
    </w:pPr>
    <w:rPr>
      <w:rFonts w:eastAsia="黑体"/>
    </w:rPr>
  </w:style>
  <w:style w:type="paragraph" w:customStyle="1" w:styleId="115">
    <w:name w:val="君邦正文"/>
    <w:qFormat/>
    <w:uiPriority w:val="99"/>
    <w:pPr>
      <w:spacing w:line="360" w:lineRule="auto"/>
      <w:ind w:left="-4" w:leftChars="-2" w:firstLine="480" w:firstLineChars="200"/>
      <w:jc w:val="both"/>
    </w:pPr>
    <w:rPr>
      <w:rFonts w:ascii="宋体" w:hAnsi="宋体" w:eastAsia="宋体" w:cs="Times New Roman"/>
      <w:kern w:val="2"/>
      <w:sz w:val="24"/>
      <w:lang w:val="en-US" w:eastAsia="zh-CN" w:bidi="ar-SA"/>
    </w:rPr>
  </w:style>
  <w:style w:type="paragraph" w:customStyle="1" w:styleId="116">
    <w:name w:val="Char Char Char"/>
    <w:basedOn w:val="1"/>
    <w:next w:val="1"/>
    <w:qFormat/>
    <w:uiPriority w:val="99"/>
    <w:pPr>
      <w:spacing w:line="360" w:lineRule="auto"/>
      <w:ind w:firstLine="200" w:firstLineChars="200"/>
    </w:pPr>
    <w:rPr>
      <w:rFonts w:ascii="宋体" w:hAnsi="宋体" w:cs="宋体"/>
      <w:kern w:val="0"/>
      <w:sz w:val="24"/>
      <w:szCs w:val="20"/>
    </w:rPr>
  </w:style>
  <w:style w:type="paragraph" w:customStyle="1" w:styleId="117">
    <w:name w:val="Char4 Char Char Char Char Char Char1"/>
    <w:basedOn w:val="1"/>
    <w:qFormat/>
    <w:uiPriority w:val="99"/>
    <w:pPr>
      <w:spacing w:line="360" w:lineRule="auto"/>
      <w:ind w:firstLine="200" w:firstLineChars="200"/>
    </w:pPr>
    <w:rPr>
      <w:rFonts w:ascii="宋体" w:hAnsi="宋体" w:cs="宋体"/>
      <w:sz w:val="24"/>
    </w:rPr>
  </w:style>
  <w:style w:type="paragraph" w:customStyle="1" w:styleId="118">
    <w:name w:val="标题-1"/>
    <w:basedOn w:val="1"/>
    <w:qFormat/>
    <w:uiPriority w:val="99"/>
    <w:pPr>
      <w:spacing w:line="360" w:lineRule="auto"/>
    </w:pPr>
    <w:rPr>
      <w:rFonts w:cs="宋体"/>
      <w:b/>
      <w:bCs/>
      <w:sz w:val="30"/>
      <w:szCs w:val="20"/>
    </w:rPr>
  </w:style>
  <w:style w:type="paragraph" w:customStyle="1" w:styleId="119">
    <w:name w:val="Char Char"/>
    <w:basedOn w:val="1"/>
    <w:qFormat/>
    <w:uiPriority w:val="99"/>
    <w:pPr>
      <w:ind w:left="510"/>
    </w:pPr>
    <w:rPr>
      <w:rFonts w:ascii="宋体" w:hAnsi="宋体"/>
      <w:color w:val="000000"/>
      <w:kern w:val="0"/>
      <w:sz w:val="24"/>
      <w:szCs w:val="20"/>
    </w:rPr>
  </w:style>
  <w:style w:type="paragraph" w:customStyle="1" w:styleId="120">
    <w:name w:val="Char Char Char Char Char Char1 Char Char Char Char"/>
    <w:basedOn w:val="1"/>
    <w:qFormat/>
    <w:uiPriority w:val="99"/>
    <w:rPr>
      <w:szCs w:val="21"/>
    </w:rPr>
  </w:style>
  <w:style w:type="paragraph" w:customStyle="1" w:styleId="121">
    <w:name w:val="样式 小四 行距: 1.5 倍行距 首行缩进:  2 字符"/>
    <w:basedOn w:val="1"/>
    <w:qFormat/>
    <w:uiPriority w:val="99"/>
    <w:pPr>
      <w:spacing w:line="360" w:lineRule="auto"/>
      <w:ind w:firstLine="200" w:firstLineChars="200"/>
    </w:pPr>
    <w:rPr>
      <w:rFonts w:cs="宋体"/>
      <w:sz w:val="24"/>
      <w:szCs w:val="20"/>
    </w:rPr>
  </w:style>
  <w:style w:type="character" w:styleId="122">
    <w:name w:val="Placeholder Text"/>
    <w:qFormat/>
    <w:uiPriority w:val="99"/>
    <w:rPr>
      <w:rFonts w:cs="Times New Roman"/>
      <w:color w:val="808080"/>
    </w:rPr>
  </w:style>
  <w:style w:type="character" w:customStyle="1" w:styleId="123">
    <w:name w:val="单晶硅项目正文 Char"/>
    <w:link w:val="124"/>
    <w:qFormat/>
    <w:locked/>
    <w:uiPriority w:val="99"/>
    <w:rPr>
      <w:rFonts w:ascii="宋体" w:eastAsia="宋体" w:cs="Times New Roman"/>
      <w:color w:val="000000"/>
      <w:sz w:val="24"/>
      <w:szCs w:val="24"/>
    </w:rPr>
  </w:style>
  <w:style w:type="paragraph" w:customStyle="1" w:styleId="124">
    <w:name w:val="单晶硅项目正文"/>
    <w:basedOn w:val="1"/>
    <w:link w:val="123"/>
    <w:qFormat/>
    <w:uiPriority w:val="99"/>
    <w:pPr>
      <w:spacing w:line="560" w:lineRule="exact"/>
      <w:ind w:firstLine="480" w:firstLineChars="200"/>
    </w:pPr>
    <w:rPr>
      <w:rFonts w:ascii="宋体" w:hAnsi="宋体"/>
      <w:color w:val="000000"/>
      <w:kern w:val="0"/>
      <w:sz w:val="24"/>
    </w:rPr>
  </w:style>
  <w:style w:type="character" w:customStyle="1" w:styleId="125">
    <w:name w:val="表头A Char"/>
    <w:link w:val="126"/>
    <w:qFormat/>
    <w:locked/>
    <w:uiPriority w:val="99"/>
    <w:rPr>
      <w:rFonts w:ascii="华文仿宋" w:hAnsi="华文仿宋" w:eastAsia="华文仿宋" w:cs="Times New Roman"/>
      <w:b/>
      <w:sz w:val="24"/>
      <w:szCs w:val="24"/>
    </w:rPr>
  </w:style>
  <w:style w:type="paragraph" w:customStyle="1" w:styleId="126">
    <w:name w:val="表头A"/>
    <w:basedOn w:val="1"/>
    <w:link w:val="125"/>
    <w:qFormat/>
    <w:uiPriority w:val="99"/>
    <w:pPr>
      <w:spacing w:line="400" w:lineRule="exact"/>
      <w:jc w:val="center"/>
    </w:pPr>
    <w:rPr>
      <w:rFonts w:ascii="华文仿宋" w:hAnsi="华文仿宋" w:eastAsia="华文仿宋"/>
      <w:b/>
      <w:kern w:val="0"/>
      <w:sz w:val="24"/>
    </w:rPr>
  </w:style>
  <w:style w:type="character" w:customStyle="1" w:styleId="127">
    <w:name w:val="表头 Char2"/>
    <w:link w:val="60"/>
    <w:qFormat/>
    <w:locked/>
    <w:uiPriority w:val="99"/>
    <w:rPr>
      <w:rFonts w:cs="Times New Roman"/>
      <w:b/>
      <w:kern w:val="2"/>
      <w:sz w:val="24"/>
      <w:szCs w:val="24"/>
    </w:rPr>
  </w:style>
  <w:style w:type="character" w:customStyle="1" w:styleId="128">
    <w:name w:val="正文A Char"/>
    <w:link w:val="129"/>
    <w:qFormat/>
    <w:locked/>
    <w:uiPriority w:val="99"/>
    <w:rPr>
      <w:rFonts w:eastAsia="华文仿宋" w:cs="华文仿宋"/>
      <w:sz w:val="24"/>
      <w:szCs w:val="24"/>
    </w:rPr>
  </w:style>
  <w:style w:type="paragraph" w:customStyle="1" w:styleId="129">
    <w:name w:val="正文A"/>
    <w:basedOn w:val="1"/>
    <w:link w:val="128"/>
    <w:qFormat/>
    <w:uiPriority w:val="99"/>
    <w:pPr>
      <w:spacing w:line="500" w:lineRule="exact"/>
      <w:ind w:firstLine="480" w:firstLineChars="200"/>
    </w:pPr>
    <w:rPr>
      <w:rFonts w:eastAsia="华文仿宋" w:cs="华文仿宋"/>
      <w:kern w:val="0"/>
      <w:sz w:val="24"/>
    </w:rPr>
  </w:style>
  <w:style w:type="character" w:customStyle="1" w:styleId="130">
    <w:name w:val="改性沥青正文 Char"/>
    <w:link w:val="131"/>
    <w:qFormat/>
    <w:locked/>
    <w:uiPriority w:val="99"/>
    <w:rPr>
      <w:rFonts w:ascii="宋体" w:eastAsia="宋体" w:cs="Times New Roman"/>
      <w:color w:val="FF0000"/>
      <w:sz w:val="24"/>
      <w:szCs w:val="24"/>
    </w:rPr>
  </w:style>
  <w:style w:type="paragraph" w:customStyle="1" w:styleId="131">
    <w:name w:val="改性沥青正文"/>
    <w:basedOn w:val="1"/>
    <w:link w:val="130"/>
    <w:qFormat/>
    <w:uiPriority w:val="99"/>
    <w:pPr>
      <w:adjustRightInd w:val="0"/>
      <w:snapToGrid w:val="0"/>
      <w:spacing w:line="560" w:lineRule="exact"/>
      <w:ind w:firstLine="482"/>
      <w:jc w:val="left"/>
      <w:textAlignment w:val="baseline"/>
    </w:pPr>
    <w:rPr>
      <w:rFonts w:ascii="宋体" w:hAnsi="宋体"/>
      <w:color w:val="FF0000"/>
      <w:kern w:val="0"/>
      <w:sz w:val="24"/>
    </w:rPr>
  </w:style>
  <w:style w:type="paragraph" w:customStyle="1" w:styleId="132">
    <w:name w:val="Char Char Char Char Char Char Char Char Char"/>
    <w:basedOn w:val="1"/>
    <w:qFormat/>
    <w:uiPriority w:val="99"/>
    <w:rPr>
      <w:szCs w:val="22"/>
    </w:rPr>
  </w:style>
  <w:style w:type="character" w:customStyle="1" w:styleId="133">
    <w:name w:val="正文-1 Char"/>
    <w:link w:val="134"/>
    <w:qFormat/>
    <w:locked/>
    <w:uiPriority w:val="99"/>
    <w:rPr>
      <w:kern w:val="2"/>
      <w:sz w:val="24"/>
      <w:lang w:val="en-US" w:eastAsia="zh-CN"/>
    </w:rPr>
  </w:style>
  <w:style w:type="paragraph" w:customStyle="1" w:styleId="134">
    <w:name w:val="正文-1"/>
    <w:link w:val="133"/>
    <w:qFormat/>
    <w:uiPriority w:val="99"/>
    <w:pPr>
      <w:spacing w:line="480" w:lineRule="exact"/>
      <w:ind w:firstLine="200" w:firstLineChars="200"/>
      <w:jc w:val="both"/>
    </w:pPr>
    <w:rPr>
      <w:rFonts w:ascii="Times New Roman" w:hAnsi="Times New Roman" w:eastAsia="宋体" w:cs="宋体"/>
      <w:kern w:val="2"/>
      <w:sz w:val="24"/>
      <w:lang w:val="en-US" w:eastAsia="zh-CN" w:bidi="ar-SA"/>
    </w:rPr>
  </w:style>
  <w:style w:type="character" w:customStyle="1" w:styleId="135">
    <w:name w:val="未处理的提及1"/>
    <w:semiHidden/>
    <w:qFormat/>
    <w:uiPriority w:val="99"/>
    <w:rPr>
      <w:rFonts w:cs="Times New Roman"/>
      <w:color w:val="605E5C"/>
      <w:shd w:val="clear" w:color="auto" w:fill="E1DFDD"/>
    </w:rPr>
  </w:style>
  <w:style w:type="paragraph" w:customStyle="1" w:styleId="136">
    <w:name w:val="标题2"/>
    <w:qFormat/>
    <w:uiPriority w:val="99"/>
    <w:pPr>
      <w:outlineLvl w:val="2"/>
    </w:pPr>
    <w:rPr>
      <w:rFonts w:ascii="等线" w:hAnsi="等线" w:eastAsia="等线" w:cs="Times New Roman"/>
      <w:kern w:val="2"/>
      <w:sz w:val="21"/>
      <w:szCs w:val="22"/>
      <w:lang w:val="en-US" w:eastAsia="zh-CN" w:bidi="ar-SA"/>
    </w:rPr>
  </w:style>
  <w:style w:type="paragraph" w:customStyle="1" w:styleId="137">
    <w:name w:val="0正文"/>
    <w:basedOn w:val="11"/>
    <w:qFormat/>
    <w:uiPriority w:val="0"/>
    <w:pPr>
      <w:spacing w:after="0" w:line="360" w:lineRule="auto"/>
      <w:ind w:left="0" w:leftChars="0" w:firstLine="720" w:firstLineChars="200"/>
    </w:pPr>
    <w:rPr>
      <w:sz w:val="24"/>
      <w:szCs w:val="22"/>
    </w:rPr>
  </w:style>
  <w:style w:type="character" w:customStyle="1" w:styleId="138">
    <w:name w:val="表格内容 Char"/>
    <w:link w:val="139"/>
    <w:qFormat/>
    <w:locked/>
    <w:uiPriority w:val="0"/>
    <w:rPr>
      <w:sz w:val="21"/>
    </w:rPr>
  </w:style>
  <w:style w:type="paragraph" w:customStyle="1" w:styleId="139">
    <w:name w:val="表格内容"/>
    <w:basedOn w:val="6"/>
    <w:next w:val="6"/>
    <w:link w:val="138"/>
    <w:qFormat/>
    <w:uiPriority w:val="0"/>
    <w:pPr>
      <w:adjustRightInd w:val="0"/>
      <w:snapToGrid w:val="0"/>
      <w:ind w:firstLine="0"/>
      <w:jc w:val="center"/>
    </w:pPr>
    <w:rPr>
      <w:kern w:val="0"/>
      <w:sz w:val="21"/>
    </w:rPr>
  </w:style>
  <w:style w:type="character" w:customStyle="1" w:styleId="140">
    <w:name w:val="正文格式 Char"/>
    <w:link w:val="141"/>
    <w:qFormat/>
    <w:uiPriority w:val="0"/>
    <w:rPr>
      <w:rFonts w:eastAsia="仿宋_GB2312"/>
      <w:kern w:val="2"/>
      <w:sz w:val="28"/>
      <w:szCs w:val="28"/>
    </w:rPr>
  </w:style>
  <w:style w:type="paragraph" w:customStyle="1" w:styleId="141">
    <w:name w:val="正文格式"/>
    <w:next w:val="1"/>
    <w:link w:val="140"/>
    <w:qFormat/>
    <w:uiPriority w:val="0"/>
    <w:pPr>
      <w:spacing w:before="156" w:beforeLines="50" w:line="440" w:lineRule="exact"/>
      <w:ind w:firstLine="560" w:firstLineChars="200"/>
    </w:pPr>
    <w:rPr>
      <w:rFonts w:ascii="Times New Roman" w:hAnsi="Times New Roman" w:eastAsia="仿宋_GB2312" w:cs="Times New Roman"/>
      <w:kern w:val="2"/>
      <w:sz w:val="28"/>
      <w:szCs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oleObject" Target="embeddings/Microsoft_Visio_2003-2010___1.vsd"/><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1.wmf"/><Relationship Id="rId24" Type="http://schemas.openxmlformats.org/officeDocument/2006/relationships/oleObject" Target="embeddings/oleObject6.bin"/><Relationship Id="rId23" Type="http://schemas.openxmlformats.org/officeDocument/2006/relationships/image" Target="media/image10.wmf"/><Relationship Id="rId22" Type="http://schemas.openxmlformats.org/officeDocument/2006/relationships/oleObject" Target="embeddings/oleObject5.bin"/><Relationship Id="rId21" Type="http://schemas.openxmlformats.org/officeDocument/2006/relationships/image" Target="media/image9.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3.bin"/><Relationship Id="rId17" Type="http://schemas.openxmlformats.org/officeDocument/2006/relationships/image" Target="media/image7.wmf"/><Relationship Id="rId16" Type="http://schemas.openxmlformats.org/officeDocument/2006/relationships/oleObject" Target="embeddings/oleObject2.bin"/><Relationship Id="rId15" Type="http://schemas.openxmlformats.org/officeDocument/2006/relationships/image" Target="media/image6.wmf"/><Relationship Id="rId14" Type="http://schemas.openxmlformats.org/officeDocument/2006/relationships/oleObject" Target="embeddings/oleObject1.bin"/><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431384-9F4C-4FB6-8F38-9B95FF5C3C25}">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63</Pages>
  <Words>11401</Words>
  <Characters>13005</Characters>
  <Lines>311</Lines>
  <Paragraphs>87</Paragraphs>
  <TotalTime>7</TotalTime>
  <ScaleCrop>false</ScaleCrop>
  <LinksUpToDate>false</LinksUpToDate>
  <CharactersWithSpaces>13214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2020-10-13T07:10:00Z</dcterms:created>
  <dc:creator>cyy</dc:creator>
  <cp:lastModifiedBy>碧云天</cp:lastModifiedBy>
  <cp:lastPrinted>2020-09-04T02:35:00Z</cp:lastPrinted>
  <dcterms:modified xsi:type="dcterms:W3CDTF">2025-02-15T03:13:41Z</dcterms:modified>
  <dc:title>建设项目基本情况</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eyJoZGlkIjoiNzI2ZGI0OGUzMDAzMzk0YmE1OTYyMDVlZGMwMmYyODYiLCJ1c2VySWQiOiIzNjIzMDEzMzQifQ==</vt:lpwstr>
  </property>
  <property fmtid="{D5CDD505-2E9C-101B-9397-08002B2CF9AE}" pid="4" name="ICV">
    <vt:lpwstr>09A0B20E53B04A988751535C604B9390_12</vt:lpwstr>
  </property>
</Properties>
</file>