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mbeddings/Microsoft_Visio___2.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388504EA">
      <w:pPr>
        <w:rPr>
          <w:rFonts w:ascii="Times New Roman" w:hAnsi="Times New Roman" w:eastAsia="宋体" w:cs="Times New Roman"/>
        </w:rPr>
      </w:pPr>
      <w:r>
        <w:rPr>
          <w:rFonts w:ascii="Times New Roman" w:hAnsi="Times New Roman" w:eastAsia="宋体" w:cs="Times New Roman"/>
        </w:rPr>
        <w:tab/>
      </w:r>
    </w:p>
    <w:p w14:paraId="621A60A5">
      <w:pPr>
        <w:spacing w:line="360" w:lineRule="auto"/>
        <w:jc w:val="center"/>
        <w:rPr>
          <w:rFonts w:ascii="Times New Roman" w:hAnsi="Times New Roman" w:eastAsia="宋体" w:cs="Times New Roman"/>
          <w:szCs w:val="22"/>
        </w:rPr>
      </w:pPr>
    </w:p>
    <w:p w14:paraId="28FA7967">
      <w:pPr>
        <w:spacing w:line="360" w:lineRule="auto"/>
        <w:jc w:val="center"/>
        <w:rPr>
          <w:rFonts w:ascii="Times New Roman" w:hAnsi="Times New Roman" w:eastAsia="宋体" w:cs="Times New Roman"/>
          <w:szCs w:val="22"/>
        </w:rPr>
      </w:pPr>
    </w:p>
    <w:p w14:paraId="2C1027A1">
      <w:pPr>
        <w:spacing w:line="360" w:lineRule="auto"/>
        <w:jc w:val="center"/>
        <w:rPr>
          <w:rFonts w:ascii="Times New Roman" w:hAnsi="Times New Roman" w:eastAsia="宋体" w:cs="Times New Roman"/>
          <w:szCs w:val="22"/>
        </w:rPr>
      </w:pPr>
    </w:p>
    <w:p w14:paraId="02CD22B5">
      <w:pPr>
        <w:spacing w:line="360" w:lineRule="auto"/>
        <w:jc w:val="center"/>
        <w:rPr>
          <w:rFonts w:ascii="Times New Roman" w:hAnsi="Times New Roman" w:eastAsia="宋体" w:cs="Times New Roman"/>
          <w:szCs w:val="22"/>
        </w:rPr>
      </w:pPr>
    </w:p>
    <w:p w14:paraId="12B93DB8">
      <w:pPr>
        <w:spacing w:line="360" w:lineRule="auto"/>
        <w:rPr>
          <w:rFonts w:ascii="Times New Roman" w:hAnsi="Times New Roman" w:eastAsia="宋体" w:cs="Times New Roman"/>
          <w:szCs w:val="22"/>
        </w:rPr>
      </w:pPr>
    </w:p>
    <w:p w14:paraId="678165A7">
      <w:pPr>
        <w:spacing w:after="120" w:line="360" w:lineRule="auto"/>
        <w:jc w:val="center"/>
        <w:rPr>
          <w:rFonts w:ascii="Times New Roman" w:hAnsi="Times New Roman" w:eastAsia="宋体" w:cs="Times New Roman"/>
          <w:b/>
          <w:sz w:val="72"/>
          <w:szCs w:val="72"/>
        </w:rPr>
      </w:pPr>
      <w:r>
        <w:rPr>
          <w:rFonts w:ascii="Times New Roman" w:hAnsi="Times New Roman" w:eastAsia="宋体" w:cs="Times New Roman"/>
          <w:b/>
          <w:sz w:val="72"/>
          <w:szCs w:val="72"/>
        </w:rPr>
        <w:t>建设项目环境影响报告表</w:t>
      </w:r>
    </w:p>
    <w:p w14:paraId="6A25B625">
      <w:pPr>
        <w:topLinePunct/>
        <w:spacing w:line="360" w:lineRule="auto"/>
        <w:jc w:val="center"/>
        <w:rPr>
          <w:rFonts w:ascii="Times New Roman" w:hAnsi="Times New Roman" w:eastAsia="宋体" w:cs="Times New Roman"/>
          <w:b/>
          <w:snapToGrid w:val="0"/>
          <w:sz w:val="44"/>
          <w:szCs w:val="44"/>
        </w:rPr>
      </w:pPr>
    </w:p>
    <w:p w14:paraId="43C99AA8">
      <w:pPr>
        <w:topLinePunct/>
        <w:spacing w:line="360" w:lineRule="auto"/>
        <w:jc w:val="center"/>
        <w:rPr>
          <w:rFonts w:ascii="Times New Roman" w:hAnsi="Times New Roman" w:eastAsia="宋体" w:cs="Times New Roman"/>
          <w:b/>
          <w:snapToGrid w:val="0"/>
          <w:color w:val="FF0000"/>
          <w:sz w:val="44"/>
          <w:szCs w:val="44"/>
        </w:rPr>
      </w:pPr>
      <w:r>
        <w:rPr>
          <w:rFonts w:hint="eastAsia" w:ascii="Times New Roman" w:hAnsi="Times New Roman" w:eastAsia="宋体" w:cs="Times New Roman"/>
          <w:b/>
          <w:snapToGrid w:val="0"/>
          <w:color w:val="FF0000"/>
          <w:sz w:val="44"/>
          <w:szCs w:val="44"/>
          <w:lang w:eastAsia="zh-CN"/>
        </w:rPr>
        <w:t>（</w:t>
      </w:r>
      <w:r>
        <w:rPr>
          <w:rFonts w:hint="eastAsia" w:ascii="Times New Roman" w:hAnsi="Times New Roman" w:eastAsia="宋体" w:cs="Times New Roman"/>
          <w:b/>
          <w:snapToGrid w:val="0"/>
          <w:color w:val="FF0000"/>
          <w:sz w:val="44"/>
          <w:szCs w:val="44"/>
        </w:rPr>
        <w:t>报 批 件</w:t>
      </w:r>
      <w:r>
        <w:rPr>
          <w:rFonts w:hint="eastAsia" w:ascii="Times New Roman" w:hAnsi="Times New Roman" w:eastAsia="宋体" w:cs="Times New Roman"/>
          <w:b/>
          <w:snapToGrid w:val="0"/>
          <w:color w:val="FF0000"/>
          <w:sz w:val="44"/>
          <w:szCs w:val="44"/>
          <w:lang w:eastAsia="zh-CN"/>
        </w:rPr>
        <w:t>）</w:t>
      </w:r>
    </w:p>
    <w:p w14:paraId="283F0A7B">
      <w:pPr>
        <w:spacing w:line="360" w:lineRule="auto"/>
        <w:rPr>
          <w:rFonts w:ascii="Times New Roman" w:hAnsi="Times New Roman" w:eastAsia="宋体" w:cs="Times New Roman"/>
          <w:sz w:val="32"/>
        </w:rPr>
      </w:pPr>
    </w:p>
    <w:p w14:paraId="1581D64B">
      <w:pPr>
        <w:spacing w:line="360" w:lineRule="auto"/>
        <w:rPr>
          <w:rFonts w:ascii="Times New Roman" w:hAnsi="Times New Roman" w:eastAsia="宋体" w:cs="Times New Roman"/>
          <w:sz w:val="32"/>
        </w:rPr>
      </w:pPr>
    </w:p>
    <w:p w14:paraId="3106CB45">
      <w:pPr>
        <w:spacing w:line="360" w:lineRule="auto"/>
        <w:rPr>
          <w:rFonts w:ascii="Times New Roman" w:hAnsi="Times New Roman" w:eastAsia="宋体" w:cs="Times New Roman"/>
          <w:sz w:val="32"/>
        </w:rPr>
      </w:pPr>
    </w:p>
    <w:p w14:paraId="6CB0EF9A">
      <w:pPr>
        <w:spacing w:line="360" w:lineRule="auto"/>
        <w:ind w:left="1718" w:leftChars="67" w:hanging="1577" w:hangingChars="491"/>
        <w:jc w:val="left"/>
        <w:rPr>
          <w:rFonts w:ascii="Times New Roman" w:hAnsi="Times New Roman" w:eastAsia="宋体" w:cs="Times New Roman"/>
          <w:b/>
          <w:bCs/>
          <w:sz w:val="32"/>
          <w:u w:val="single"/>
        </w:rPr>
      </w:pPr>
      <w:r>
        <w:rPr>
          <w:rFonts w:ascii="Times New Roman" w:hAnsi="Times New Roman" w:eastAsia="宋体" w:cs="Times New Roman"/>
          <w:b/>
          <w:sz w:val="32"/>
        </w:rPr>
        <w:t>项目名称：</w:t>
      </w:r>
      <w:r>
        <w:rPr>
          <w:rFonts w:hint="eastAsia" w:ascii="Times New Roman" w:hAnsi="Times New Roman" w:eastAsia="宋体" w:cs="Times New Roman"/>
          <w:b/>
          <w:sz w:val="32"/>
          <w:u w:val="thick"/>
        </w:rPr>
        <w:t xml:space="preserve"> </w:t>
      </w:r>
      <w:r>
        <w:rPr>
          <w:rFonts w:ascii="Times New Roman" w:hAnsi="Times New Roman" w:eastAsia="宋体" w:cs="Times New Roman"/>
          <w:b/>
          <w:sz w:val="32"/>
          <w:u w:val="thick"/>
        </w:rPr>
        <w:t xml:space="preserve">    </w:t>
      </w:r>
      <w:r>
        <w:rPr>
          <w:rFonts w:hint="eastAsia" w:ascii="Times New Roman" w:hAnsi="Times New Roman" w:eastAsia="宋体" w:cs="Times New Roman"/>
          <w:b/>
          <w:sz w:val="32"/>
          <w:u w:val="thick"/>
          <w:lang w:eastAsia="zh-CN"/>
        </w:rPr>
        <w:t>峨边彝族自治县</w:t>
      </w:r>
      <w:r>
        <w:rPr>
          <w:rFonts w:hint="eastAsia" w:ascii="Times New Roman" w:hAnsi="Times New Roman" w:eastAsia="宋体" w:cs="Times New Roman"/>
          <w:b/>
          <w:sz w:val="32"/>
          <w:u w:val="thick"/>
        </w:rPr>
        <w:t xml:space="preserve">建筑垃圾资源化回收利用项目 </w:t>
      </w:r>
      <w:r>
        <w:rPr>
          <w:rFonts w:ascii="Times New Roman" w:hAnsi="Times New Roman" w:eastAsia="宋体" w:cs="Times New Roman"/>
          <w:b/>
          <w:sz w:val="32"/>
          <w:u w:val="thick"/>
        </w:rPr>
        <w:t xml:space="preserve">  </w:t>
      </w:r>
      <w:r>
        <w:rPr>
          <w:rFonts w:hint="eastAsia" w:ascii="Times New Roman" w:hAnsi="Times New Roman" w:eastAsia="宋体" w:cs="Times New Roman"/>
          <w:b/>
          <w:sz w:val="32"/>
          <w:u w:val="thick"/>
        </w:rPr>
        <w:t xml:space="preserve"> </w:t>
      </w:r>
      <w:r>
        <w:rPr>
          <w:rFonts w:ascii="Times New Roman" w:hAnsi="Times New Roman" w:eastAsia="宋体" w:cs="Times New Roman"/>
          <w:b/>
          <w:sz w:val="32"/>
          <w:u w:val="thick"/>
        </w:rPr>
        <w:t xml:space="preserve"> </w:t>
      </w:r>
    </w:p>
    <w:p w14:paraId="5AE4E978">
      <w:pPr>
        <w:spacing w:line="360" w:lineRule="auto"/>
        <w:ind w:left="1806" w:leftChars="49" w:hanging="1703" w:hangingChars="530"/>
        <w:rPr>
          <w:rFonts w:ascii="Times New Roman" w:hAnsi="Times New Roman" w:eastAsia="宋体" w:cs="Times New Roman"/>
          <w:b/>
          <w:sz w:val="32"/>
          <w:u w:val="thick"/>
        </w:rPr>
      </w:pPr>
    </w:p>
    <w:p w14:paraId="1ADD8A9F">
      <w:pPr>
        <w:spacing w:line="360" w:lineRule="auto"/>
        <w:ind w:left="1806" w:leftChars="49" w:hanging="1703" w:hangingChars="530"/>
        <w:rPr>
          <w:rFonts w:ascii="Times New Roman" w:hAnsi="Times New Roman" w:eastAsia="宋体" w:cs="Times New Roman"/>
          <w:b/>
          <w:sz w:val="32"/>
          <w:u w:val="thick"/>
        </w:rPr>
      </w:pPr>
    </w:p>
    <w:p w14:paraId="401BAA10">
      <w:pPr>
        <w:spacing w:line="360" w:lineRule="auto"/>
        <w:ind w:firstLine="141" w:firstLineChars="44"/>
        <w:rPr>
          <w:rFonts w:ascii="Times New Roman" w:hAnsi="Times New Roman" w:eastAsia="宋体" w:cs="Times New Roman"/>
          <w:sz w:val="28"/>
          <w:u w:val="single"/>
        </w:rPr>
      </w:pPr>
      <w:r>
        <w:rPr>
          <w:rFonts w:ascii="Times New Roman" w:hAnsi="Times New Roman" w:eastAsia="宋体" w:cs="Times New Roman"/>
          <w:b/>
          <w:sz w:val="32"/>
        </w:rPr>
        <w:t>建设单位</w:t>
      </w:r>
      <w:r>
        <w:rPr>
          <w:rFonts w:hint="eastAsia" w:ascii="Times New Roman" w:hAnsi="Times New Roman" w:eastAsia="宋体" w:cs="Times New Roman"/>
          <w:b/>
          <w:sz w:val="32"/>
          <w:lang w:eastAsia="zh-CN"/>
        </w:rPr>
        <w:t>（</w:t>
      </w:r>
      <w:r>
        <w:rPr>
          <w:rFonts w:ascii="Times New Roman" w:hAnsi="Times New Roman" w:eastAsia="宋体" w:cs="Times New Roman"/>
          <w:b/>
          <w:sz w:val="32"/>
        </w:rPr>
        <w:t>盖章</w:t>
      </w:r>
      <w:r>
        <w:rPr>
          <w:rFonts w:hint="eastAsia" w:ascii="Times New Roman" w:hAnsi="Times New Roman" w:eastAsia="宋体" w:cs="Times New Roman"/>
          <w:b/>
          <w:sz w:val="32"/>
          <w:lang w:eastAsia="zh-CN"/>
        </w:rPr>
        <w:t>）</w:t>
      </w:r>
      <w:r>
        <w:rPr>
          <w:rFonts w:ascii="Times New Roman" w:hAnsi="Times New Roman" w:eastAsia="宋体" w:cs="Times New Roman"/>
          <w:b/>
          <w:sz w:val="32"/>
        </w:rPr>
        <w:t>：</w:t>
      </w:r>
      <w:r>
        <w:rPr>
          <w:rFonts w:ascii="Times New Roman" w:hAnsi="Times New Roman" w:eastAsia="宋体" w:cs="Times New Roman"/>
          <w:b/>
          <w:sz w:val="32"/>
          <w:u w:val="thick"/>
        </w:rPr>
        <w:t xml:space="preserve">    </w:t>
      </w:r>
      <w:r>
        <w:rPr>
          <w:rFonts w:hint="eastAsia" w:ascii="Times New Roman" w:hAnsi="Times New Roman" w:eastAsia="宋体" w:cs="Times New Roman"/>
          <w:b/>
          <w:sz w:val="32"/>
          <w:u w:val="thick"/>
        </w:rPr>
        <w:t>峨边鸿泰再生资源有限责任公司</w:t>
      </w:r>
      <w:r>
        <w:rPr>
          <w:rFonts w:ascii="Times New Roman" w:hAnsi="Times New Roman" w:eastAsia="宋体" w:cs="Times New Roman"/>
          <w:b/>
          <w:sz w:val="32"/>
          <w:u w:val="thick"/>
        </w:rPr>
        <w:t xml:space="preserve">               </w:t>
      </w:r>
      <w:r>
        <w:rPr>
          <w:rFonts w:ascii="Times New Roman" w:hAnsi="Times New Roman" w:eastAsia="宋体" w:cs="Times New Roman"/>
          <w:b/>
          <w:sz w:val="32"/>
          <w:u w:val="single"/>
        </w:rPr>
        <w:t xml:space="preserve">    </w:t>
      </w:r>
    </w:p>
    <w:p w14:paraId="0057F96A">
      <w:pPr>
        <w:spacing w:line="360" w:lineRule="auto"/>
        <w:rPr>
          <w:rFonts w:ascii="Times New Roman" w:hAnsi="Times New Roman" w:eastAsia="宋体" w:cs="Times New Roman"/>
          <w:sz w:val="32"/>
        </w:rPr>
      </w:pPr>
    </w:p>
    <w:p w14:paraId="4A080391">
      <w:pPr>
        <w:spacing w:line="360" w:lineRule="auto"/>
        <w:rPr>
          <w:rFonts w:ascii="Times New Roman" w:hAnsi="Times New Roman" w:eastAsia="宋体" w:cs="Times New Roman"/>
        </w:rPr>
      </w:pPr>
    </w:p>
    <w:p w14:paraId="307DA406">
      <w:pPr>
        <w:spacing w:line="360" w:lineRule="auto"/>
        <w:rPr>
          <w:rFonts w:ascii="Times New Roman" w:hAnsi="Times New Roman" w:eastAsia="宋体" w:cs="Times New Roman"/>
        </w:rPr>
      </w:pPr>
    </w:p>
    <w:p w14:paraId="5F0A53F1">
      <w:pPr>
        <w:spacing w:line="360" w:lineRule="auto"/>
        <w:rPr>
          <w:rFonts w:ascii="Times New Roman" w:hAnsi="Times New Roman" w:eastAsia="宋体" w:cs="Times New Roman"/>
          <w:sz w:val="32"/>
        </w:rPr>
      </w:pPr>
    </w:p>
    <w:tbl>
      <w:tblPr>
        <w:tblStyle w:val="26"/>
        <w:tblW w:w="7054" w:type="dxa"/>
        <w:jc w:val="center"/>
        <w:tblLayout w:type="fixed"/>
        <w:tblCellMar>
          <w:top w:w="0" w:type="dxa"/>
          <w:left w:w="108" w:type="dxa"/>
          <w:bottom w:w="0" w:type="dxa"/>
          <w:right w:w="108" w:type="dxa"/>
        </w:tblCellMar>
      </w:tblPr>
      <w:tblGrid>
        <w:gridCol w:w="1977"/>
        <w:gridCol w:w="5077"/>
      </w:tblGrid>
      <w:tr w14:paraId="3BD7777F">
        <w:tblPrEx>
          <w:tblCellMar>
            <w:top w:w="0" w:type="dxa"/>
            <w:left w:w="108" w:type="dxa"/>
            <w:bottom w:w="0" w:type="dxa"/>
            <w:right w:w="108" w:type="dxa"/>
          </w:tblCellMar>
        </w:tblPrEx>
        <w:trPr>
          <w:trHeight w:val="567" w:hRule="exact"/>
          <w:jc w:val="center"/>
        </w:trPr>
        <w:tc>
          <w:tcPr>
            <w:tcW w:w="1977" w:type="dxa"/>
            <w:vAlign w:val="center"/>
          </w:tcPr>
          <w:p w14:paraId="2A43359F">
            <w:pPr>
              <w:spacing w:line="240" w:lineRule="atLeast"/>
              <w:jc w:val="center"/>
              <w:rPr>
                <w:rFonts w:ascii="Times New Roman" w:hAnsi="Times New Roman" w:eastAsia="宋体" w:cs="Times New Roman"/>
                <w:b/>
                <w:sz w:val="28"/>
                <w:szCs w:val="28"/>
              </w:rPr>
            </w:pPr>
            <w:r>
              <w:rPr>
                <w:rFonts w:ascii="Times New Roman" w:hAnsi="Times New Roman" w:eastAsia="宋体" w:cs="Times New Roman"/>
                <w:b/>
                <w:sz w:val="28"/>
                <w:szCs w:val="28"/>
              </w:rPr>
              <w:t>编制单位：</w:t>
            </w:r>
          </w:p>
        </w:tc>
        <w:tc>
          <w:tcPr>
            <w:tcW w:w="5077" w:type="dxa"/>
            <w:vAlign w:val="center"/>
          </w:tcPr>
          <w:p w14:paraId="6F6CCBE8">
            <w:pPr>
              <w:spacing w:line="240" w:lineRule="atLeast"/>
              <w:jc w:val="left"/>
              <w:rPr>
                <w:rFonts w:ascii="Times New Roman" w:hAnsi="Times New Roman" w:eastAsia="宋体" w:cs="Times New Roman"/>
                <w:b/>
                <w:sz w:val="28"/>
                <w:szCs w:val="28"/>
              </w:rPr>
            </w:pPr>
            <w:bookmarkStart w:id="0" w:name="_Hlk42515894"/>
            <w:r>
              <w:rPr>
                <w:rFonts w:ascii="Times New Roman" w:hAnsi="Times New Roman" w:eastAsia="宋体" w:cs="Times New Roman"/>
                <w:b/>
                <w:sz w:val="28"/>
                <w:szCs w:val="28"/>
              </w:rPr>
              <w:t>四川银励环保科技有限公司</w:t>
            </w:r>
            <w:bookmarkEnd w:id="0"/>
          </w:p>
        </w:tc>
      </w:tr>
      <w:tr w14:paraId="07A2069A">
        <w:tblPrEx>
          <w:tblCellMar>
            <w:top w:w="0" w:type="dxa"/>
            <w:left w:w="108" w:type="dxa"/>
            <w:bottom w:w="0" w:type="dxa"/>
            <w:right w:w="108" w:type="dxa"/>
          </w:tblCellMar>
        </w:tblPrEx>
        <w:trPr>
          <w:trHeight w:val="567" w:hRule="exact"/>
          <w:jc w:val="center"/>
        </w:trPr>
        <w:tc>
          <w:tcPr>
            <w:tcW w:w="7054" w:type="dxa"/>
            <w:gridSpan w:val="2"/>
            <w:vAlign w:val="center"/>
          </w:tcPr>
          <w:p w14:paraId="5410127C">
            <w:pPr>
              <w:spacing w:line="240" w:lineRule="atLeast"/>
              <w:jc w:val="center"/>
              <w:rPr>
                <w:rFonts w:ascii="Times New Roman" w:hAnsi="Times New Roman" w:eastAsia="宋体" w:cs="Times New Roman"/>
                <w:b/>
                <w:sz w:val="28"/>
                <w:szCs w:val="28"/>
              </w:rPr>
            </w:pPr>
            <w:r>
              <w:rPr>
                <w:rFonts w:ascii="Times New Roman" w:hAnsi="Times New Roman" w:eastAsia="宋体" w:cs="Times New Roman"/>
                <w:b/>
                <w:sz w:val="28"/>
                <w:szCs w:val="28"/>
              </w:rPr>
              <w:t>二〇二〇年</w:t>
            </w:r>
            <w:r>
              <w:rPr>
                <w:rFonts w:hint="eastAsia" w:ascii="Times New Roman" w:hAnsi="Times New Roman" w:eastAsia="宋体" w:cs="Times New Roman"/>
                <w:b/>
                <w:color w:val="FF0000"/>
                <w:sz w:val="28"/>
                <w:szCs w:val="28"/>
              </w:rPr>
              <w:t>十</w:t>
            </w:r>
            <w:r>
              <w:rPr>
                <w:rFonts w:ascii="Times New Roman" w:hAnsi="Times New Roman" w:eastAsia="宋体" w:cs="Times New Roman"/>
                <w:b/>
                <w:sz w:val="28"/>
                <w:szCs w:val="28"/>
              </w:rPr>
              <w:t>月</w:t>
            </w:r>
          </w:p>
        </w:tc>
      </w:tr>
    </w:tbl>
    <w:p w14:paraId="3E9AA769">
      <w:pPr>
        <w:snapToGrid w:val="0"/>
        <w:spacing w:line="360" w:lineRule="auto"/>
        <w:jc w:val="center"/>
        <w:rPr>
          <w:rFonts w:ascii="Times New Roman" w:hAnsi="Times New Roman" w:eastAsia="宋体" w:cs="Times New Roman"/>
          <w:b/>
          <w:sz w:val="32"/>
          <w:szCs w:val="28"/>
        </w:rPr>
        <w:sectPr>
          <w:headerReference r:id="rId3" w:type="default"/>
          <w:footerReference r:id="rId4" w:type="default"/>
          <w:footerReference r:id="rId5" w:type="even"/>
          <w:pgSz w:w="11906" w:h="16838"/>
          <w:pgMar w:top="1440" w:right="1797" w:bottom="1440" w:left="1797" w:header="851" w:footer="958" w:gutter="0"/>
          <w:pgNumType w:start="1"/>
          <w:cols w:space="720" w:num="1"/>
          <w:docGrid w:linePitch="312" w:charSpace="0"/>
        </w:sectPr>
      </w:pPr>
    </w:p>
    <w:p w14:paraId="5D734018">
      <w:pPr>
        <w:snapToGrid w:val="0"/>
        <w:spacing w:line="360" w:lineRule="auto"/>
        <w:jc w:val="center"/>
        <w:rPr>
          <w:rFonts w:ascii="Times New Roman" w:hAnsi="Times New Roman" w:eastAsia="宋体" w:cs="Times New Roman"/>
          <w:b/>
          <w:sz w:val="32"/>
          <w:szCs w:val="28"/>
        </w:rPr>
      </w:pPr>
      <w:r>
        <w:rPr>
          <w:rFonts w:ascii="Times New Roman" w:hAnsi="Times New Roman" w:eastAsia="宋体" w:cs="Times New Roman"/>
          <w:b/>
          <w:sz w:val="32"/>
          <w:szCs w:val="28"/>
        </w:rPr>
        <w:t>《建设项目环境影响报告表》编制说明</w:t>
      </w:r>
    </w:p>
    <w:p w14:paraId="296EC524">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《建设项目环境影响报告表》由具有从事环境影响评价工作资质的单位编制。</w:t>
      </w:r>
    </w:p>
    <w:p w14:paraId="198DC98D">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1、项目名称－－指项目立项批复时的名称，应不超过30个字（两个英文字段作一个汉字）。</w:t>
      </w:r>
    </w:p>
    <w:p w14:paraId="6F79E708">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2、建设地点－－指项目所在地详细地址，公路、铁路应填写起止地点。</w:t>
      </w:r>
    </w:p>
    <w:p w14:paraId="32A122AE">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3、行业类别－－按国标填写。</w:t>
      </w:r>
    </w:p>
    <w:p w14:paraId="6ABC41F4">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4、总投资－－指项目投资总额。</w:t>
      </w:r>
    </w:p>
    <w:p w14:paraId="533B1830">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5、主要环境保护目标－－指项目区周围一定范围内集中居民住宅区、学校、医院、保护文物、风景名胜区、水源地和生态敏感点等、应尽可能给出保护目标、性质、规模和距厂界距离等。</w:t>
      </w:r>
    </w:p>
    <w:p w14:paraId="1D1BCE85">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6、结论与建议－－给出本项目清洁生产、达标排放和总量控制的分析结论，确定污染防治措施的有效性，说明本项目对环境造成的影响，给出建设项目环境可行性的明确结论。同时提出减少环境影响的其他建议。</w:t>
      </w:r>
    </w:p>
    <w:p w14:paraId="4ECE7911">
      <w:pPr>
        <w:snapToGrid w:val="0"/>
        <w:spacing w:line="600" w:lineRule="exact"/>
        <w:ind w:firstLine="560" w:firstLineChars="200"/>
        <w:rPr>
          <w:rFonts w:ascii="Times New Roman" w:hAnsi="Times New Roman" w:eastAsia="宋体" w:cs="Times New Roman"/>
          <w:sz w:val="28"/>
        </w:rPr>
      </w:pPr>
      <w:r>
        <w:rPr>
          <w:rFonts w:ascii="Times New Roman" w:hAnsi="Times New Roman" w:eastAsia="宋体" w:cs="Times New Roman"/>
          <w:sz w:val="28"/>
        </w:rPr>
        <w:t>7、预审意见－－由行业主管部门填写答复意见，无主管部门项目，可不填。</w:t>
      </w:r>
    </w:p>
    <w:p w14:paraId="6489637A">
      <w:pPr>
        <w:snapToGrid w:val="0"/>
        <w:spacing w:line="600" w:lineRule="exact"/>
        <w:ind w:firstLine="560" w:firstLineChars="200"/>
        <w:rPr>
          <w:rFonts w:ascii="Times New Roman" w:hAnsi="Times New Roman" w:eastAsia="宋体" w:cs="Times New Roman"/>
          <w:sz w:val="28"/>
        </w:rPr>
        <w:sectPr>
          <w:pgSz w:w="11906" w:h="16838"/>
          <w:pgMar w:top="1440" w:right="1797" w:bottom="1440" w:left="1797" w:header="851" w:footer="958" w:gutter="0"/>
          <w:pgNumType w:start="1"/>
          <w:cols w:space="720" w:num="1"/>
          <w:docGrid w:linePitch="312" w:charSpace="0"/>
        </w:sectPr>
      </w:pPr>
      <w:r>
        <w:rPr>
          <w:rFonts w:ascii="Times New Roman" w:hAnsi="Times New Roman" w:eastAsia="宋体" w:cs="Times New Roman"/>
          <w:sz w:val="28"/>
        </w:rPr>
        <w:t>8、审批意见－－负责审批该项目的环境保护行政主管部门批复。</w:t>
      </w:r>
    </w:p>
    <w:p w14:paraId="4E838267">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t>建设项目基本情况（表一）</w:t>
      </w:r>
    </w:p>
    <w:tbl>
      <w:tblPr>
        <w:tblStyle w:val="26"/>
        <w:tblW w:w="9174"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361"/>
        <w:gridCol w:w="1507"/>
        <w:gridCol w:w="200"/>
        <w:gridCol w:w="1066"/>
        <w:gridCol w:w="98"/>
        <w:gridCol w:w="1284"/>
        <w:gridCol w:w="228"/>
        <w:gridCol w:w="198"/>
        <w:gridCol w:w="1253"/>
        <w:gridCol w:w="374"/>
        <w:gridCol w:w="1605"/>
      </w:tblGrid>
      <w:tr w14:paraId="383E61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0" w:hRule="atLeast"/>
          <w:jc w:val="center"/>
        </w:trPr>
        <w:tc>
          <w:tcPr>
            <w:tcW w:w="1479" w:type="dxa"/>
            <w:tcBorders>
              <w:top w:val="single" w:color="auto" w:sz="4" w:space="0"/>
              <w:bottom w:val="single" w:color="auto" w:sz="4" w:space="0"/>
              <w:right w:val="single" w:color="auto" w:sz="4" w:space="0"/>
            </w:tcBorders>
            <w:vAlign w:val="center"/>
          </w:tcPr>
          <w:p w14:paraId="262E7E04">
            <w:pPr>
              <w:jc w:val="center"/>
              <w:rPr>
                <w:rFonts w:ascii="Times New Roman" w:hAnsi="Times New Roman" w:eastAsia="宋体" w:cs="Times New Roman"/>
                <w:b/>
                <w:sz w:val="24"/>
              </w:rPr>
            </w:pPr>
            <w:r>
              <w:rPr>
                <w:rFonts w:ascii="Times New Roman" w:hAnsi="Times New Roman" w:eastAsia="宋体" w:cs="Times New Roman"/>
                <w:b/>
                <w:sz w:val="24"/>
              </w:rPr>
              <w:t>项目名称</w:t>
            </w:r>
          </w:p>
        </w:tc>
        <w:tc>
          <w:tcPr>
            <w:tcW w:w="7695" w:type="dxa"/>
            <w:gridSpan w:val="10"/>
            <w:tcBorders>
              <w:top w:val="single" w:color="auto" w:sz="4" w:space="0"/>
              <w:left w:val="single" w:color="auto" w:sz="4" w:space="0"/>
              <w:bottom w:val="single" w:color="auto" w:sz="4" w:space="0"/>
            </w:tcBorders>
            <w:vAlign w:val="center"/>
          </w:tcPr>
          <w:p w14:paraId="60A515B3">
            <w:pPr>
              <w:pStyle w:val="126"/>
              <w:adjustRightInd/>
              <w:spacing w:before="0" w:line="240" w:lineRule="auto"/>
              <w:textAlignment w:val="auto"/>
              <w:rPr>
                <w:rFonts w:ascii="Times New Roman" w:hAnsi="Times New Roman" w:eastAsia="宋体" w:cs="Times New Roman"/>
                <w:bCs/>
              </w:rPr>
            </w:pPr>
            <w:bookmarkStart w:id="1" w:name="_Hlk47446614"/>
            <w:r>
              <w:rPr>
                <w:rFonts w:hint="eastAsia" w:ascii="Times New Roman" w:hAnsi="Times New Roman" w:eastAsia="宋体" w:cs="Times New Roman"/>
                <w:bCs/>
                <w:lang w:eastAsia="zh-CN"/>
              </w:rPr>
              <w:t>峨边彝族自治县</w:t>
            </w:r>
            <w:r>
              <w:rPr>
                <w:rFonts w:hint="eastAsia" w:ascii="Times New Roman" w:hAnsi="Times New Roman" w:eastAsia="宋体" w:cs="Times New Roman"/>
                <w:bCs/>
              </w:rPr>
              <w:t>建筑垃圾资源化回收利用项目</w:t>
            </w:r>
            <w:bookmarkEnd w:id="1"/>
          </w:p>
        </w:tc>
      </w:tr>
      <w:tr w14:paraId="0BB5A5A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6" w:hRule="atLeast"/>
          <w:jc w:val="center"/>
        </w:trPr>
        <w:tc>
          <w:tcPr>
            <w:tcW w:w="1479" w:type="dxa"/>
            <w:tcBorders>
              <w:top w:val="single" w:color="auto" w:sz="4" w:space="0"/>
              <w:bottom w:val="single" w:color="auto" w:sz="4" w:space="0"/>
              <w:right w:val="single" w:color="auto" w:sz="4" w:space="0"/>
            </w:tcBorders>
            <w:vAlign w:val="center"/>
          </w:tcPr>
          <w:p w14:paraId="4C296DB2">
            <w:pPr>
              <w:jc w:val="center"/>
              <w:rPr>
                <w:rFonts w:ascii="Times New Roman" w:hAnsi="Times New Roman" w:eastAsia="宋体" w:cs="Times New Roman"/>
                <w:b/>
                <w:sz w:val="24"/>
              </w:rPr>
            </w:pPr>
            <w:r>
              <w:rPr>
                <w:rFonts w:ascii="Times New Roman" w:hAnsi="Times New Roman" w:eastAsia="宋体" w:cs="Times New Roman"/>
                <w:b/>
                <w:sz w:val="24"/>
              </w:rPr>
              <w:t>建设单位</w:t>
            </w:r>
          </w:p>
        </w:tc>
        <w:tc>
          <w:tcPr>
            <w:tcW w:w="7695" w:type="dxa"/>
            <w:gridSpan w:val="10"/>
            <w:tcBorders>
              <w:top w:val="single" w:color="auto" w:sz="4" w:space="0"/>
              <w:left w:val="single" w:color="auto" w:sz="4" w:space="0"/>
              <w:bottom w:val="single" w:color="auto" w:sz="4" w:space="0"/>
            </w:tcBorders>
            <w:vAlign w:val="center"/>
          </w:tcPr>
          <w:p w14:paraId="6C6221C0">
            <w:pPr>
              <w:pStyle w:val="126"/>
              <w:adjustRightInd/>
              <w:spacing w:before="0" w:line="240" w:lineRule="auto"/>
              <w:textAlignment w:val="auto"/>
              <w:rPr>
                <w:rFonts w:ascii="Times New Roman" w:hAnsi="Times New Roman" w:eastAsia="宋体" w:cs="Times New Roman"/>
                <w:bCs/>
              </w:rPr>
            </w:pPr>
            <w:bookmarkStart w:id="2" w:name="_Hlk47446623"/>
            <w:r>
              <w:rPr>
                <w:rFonts w:hint="eastAsia" w:ascii="Times New Roman" w:hAnsi="Times New Roman" w:eastAsia="宋体" w:cs="Times New Roman"/>
                <w:bCs/>
              </w:rPr>
              <w:t>峨边鸿泰再生资源有限责任公司</w:t>
            </w:r>
            <w:bookmarkEnd w:id="2"/>
          </w:p>
        </w:tc>
      </w:tr>
      <w:tr w14:paraId="117487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1479" w:type="dxa"/>
            <w:tcBorders>
              <w:top w:val="single" w:color="auto" w:sz="4" w:space="0"/>
              <w:bottom w:val="single" w:color="auto" w:sz="4" w:space="0"/>
              <w:right w:val="single" w:color="auto" w:sz="4" w:space="0"/>
            </w:tcBorders>
            <w:vAlign w:val="center"/>
          </w:tcPr>
          <w:p w14:paraId="52A0EEE1">
            <w:pPr>
              <w:jc w:val="center"/>
              <w:rPr>
                <w:rFonts w:ascii="Times New Roman" w:hAnsi="Times New Roman" w:eastAsia="宋体" w:cs="Times New Roman"/>
                <w:b/>
                <w:sz w:val="24"/>
                <w:szCs w:val="24"/>
              </w:rPr>
            </w:pPr>
            <w:r>
              <w:rPr>
                <w:rFonts w:ascii="Times New Roman" w:hAnsi="Times New Roman" w:eastAsia="宋体" w:cs="Times New Roman"/>
                <w:b/>
                <w:sz w:val="24"/>
                <w:szCs w:val="24"/>
              </w:rPr>
              <w:t>法人代表</w:t>
            </w:r>
          </w:p>
        </w:tc>
        <w:tc>
          <w:tcPr>
            <w:tcW w:w="2814" w:type="dxa"/>
            <w:gridSpan w:val="3"/>
            <w:tcBorders>
              <w:top w:val="single" w:color="auto" w:sz="4" w:space="0"/>
              <w:left w:val="single" w:color="auto" w:sz="4" w:space="0"/>
              <w:bottom w:val="single" w:color="auto" w:sz="4" w:space="0"/>
              <w:right w:val="single" w:color="auto" w:sz="4" w:space="0"/>
            </w:tcBorders>
            <w:vAlign w:val="center"/>
          </w:tcPr>
          <w:p w14:paraId="02F90735">
            <w:pPr>
              <w:pStyle w:val="126"/>
              <w:adjustRightInd/>
              <w:spacing w:before="0" w:line="240" w:lineRule="auto"/>
              <w:textAlignment w:val="auto"/>
              <w:rPr>
                <w:rFonts w:ascii="Times New Roman" w:hAnsi="Times New Roman" w:eastAsia="宋体" w:cs="Times New Roman"/>
                <w:szCs w:val="24"/>
              </w:rPr>
            </w:pPr>
            <w:r>
              <w:rPr>
                <w:rFonts w:hint="eastAsia" w:ascii="Times New Roman" w:hAnsi="Times New Roman" w:eastAsia="宋体" w:cs="Times New Roman"/>
                <w:szCs w:val="24"/>
              </w:rPr>
              <w:t>张剑</w:t>
            </w:r>
          </w:p>
        </w:tc>
        <w:tc>
          <w:tcPr>
            <w:tcW w:w="1713" w:type="dxa"/>
            <w:gridSpan w:val="3"/>
            <w:tcBorders>
              <w:top w:val="single" w:color="auto" w:sz="4" w:space="0"/>
              <w:left w:val="single" w:color="auto" w:sz="4" w:space="0"/>
              <w:bottom w:val="single" w:color="auto" w:sz="4" w:space="0"/>
              <w:right w:val="single" w:color="auto" w:sz="4" w:space="0"/>
            </w:tcBorders>
            <w:vAlign w:val="center"/>
          </w:tcPr>
          <w:p w14:paraId="26962B16">
            <w:pPr>
              <w:jc w:val="center"/>
              <w:rPr>
                <w:rFonts w:ascii="Times New Roman" w:hAnsi="Times New Roman" w:eastAsia="宋体" w:cs="Times New Roman"/>
                <w:b/>
                <w:sz w:val="24"/>
              </w:rPr>
            </w:pPr>
            <w:r>
              <w:rPr>
                <w:rFonts w:ascii="Times New Roman" w:hAnsi="Times New Roman" w:eastAsia="宋体" w:cs="Times New Roman"/>
                <w:b/>
                <w:sz w:val="24"/>
              </w:rPr>
              <w:t>联系人</w:t>
            </w:r>
          </w:p>
        </w:tc>
        <w:tc>
          <w:tcPr>
            <w:tcW w:w="3168" w:type="dxa"/>
            <w:gridSpan w:val="4"/>
            <w:tcBorders>
              <w:top w:val="single" w:color="auto" w:sz="4" w:space="0"/>
              <w:left w:val="single" w:color="auto" w:sz="4" w:space="0"/>
              <w:bottom w:val="single" w:color="auto" w:sz="4" w:space="0"/>
            </w:tcBorders>
            <w:vAlign w:val="center"/>
          </w:tcPr>
          <w:p w14:paraId="69FFB2A0">
            <w:pPr>
              <w:pStyle w:val="126"/>
              <w:adjustRightInd/>
              <w:spacing w:before="0" w:line="240" w:lineRule="auto"/>
              <w:textAlignment w:val="auto"/>
              <w:rPr>
                <w:rFonts w:ascii="Times New Roman" w:hAnsi="Times New Roman" w:eastAsia="宋体" w:cs="Times New Roman"/>
                <w:kern w:val="2"/>
              </w:rPr>
            </w:pPr>
            <w:r>
              <w:rPr>
                <w:rFonts w:hint="eastAsia" w:ascii="Times New Roman" w:hAnsi="Times New Roman" w:eastAsia="宋体" w:cs="Times New Roman"/>
                <w:szCs w:val="24"/>
              </w:rPr>
              <w:t>张剑</w:t>
            </w:r>
          </w:p>
        </w:tc>
      </w:tr>
      <w:tr w14:paraId="394D732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3" w:hRule="atLeast"/>
          <w:jc w:val="center"/>
        </w:trPr>
        <w:tc>
          <w:tcPr>
            <w:tcW w:w="1479" w:type="dxa"/>
            <w:tcBorders>
              <w:top w:val="single" w:color="auto" w:sz="4" w:space="0"/>
              <w:bottom w:val="single" w:color="auto" w:sz="4" w:space="0"/>
              <w:right w:val="single" w:color="auto" w:sz="4" w:space="0"/>
            </w:tcBorders>
            <w:vAlign w:val="center"/>
          </w:tcPr>
          <w:p w14:paraId="3E7E4DFA">
            <w:pPr>
              <w:jc w:val="center"/>
              <w:rPr>
                <w:rFonts w:ascii="Times New Roman" w:hAnsi="Times New Roman" w:eastAsia="宋体" w:cs="Times New Roman"/>
                <w:b/>
                <w:sz w:val="24"/>
                <w:szCs w:val="24"/>
              </w:rPr>
            </w:pPr>
            <w:r>
              <w:rPr>
                <w:rFonts w:ascii="Times New Roman" w:hAnsi="Times New Roman" w:eastAsia="宋体" w:cs="Times New Roman"/>
                <w:b/>
                <w:sz w:val="24"/>
                <w:szCs w:val="24"/>
              </w:rPr>
              <w:t>通讯地址</w:t>
            </w:r>
          </w:p>
        </w:tc>
        <w:tc>
          <w:tcPr>
            <w:tcW w:w="7695" w:type="dxa"/>
            <w:gridSpan w:val="10"/>
            <w:tcBorders>
              <w:top w:val="single" w:color="auto" w:sz="4" w:space="0"/>
              <w:left w:val="single" w:color="auto" w:sz="4" w:space="0"/>
              <w:bottom w:val="single" w:color="auto" w:sz="4" w:space="0"/>
            </w:tcBorders>
            <w:vAlign w:val="center"/>
          </w:tcPr>
          <w:p w14:paraId="0E8256ED">
            <w:pPr>
              <w:pStyle w:val="126"/>
              <w:adjustRightInd/>
              <w:spacing w:before="0" w:line="240" w:lineRule="auto"/>
              <w:textAlignment w:val="auto"/>
              <w:rPr>
                <w:rFonts w:ascii="Times New Roman" w:hAnsi="Times New Roman" w:eastAsia="宋体" w:cs="Times New Roman"/>
                <w:szCs w:val="24"/>
              </w:rPr>
            </w:pPr>
            <w:r>
              <w:rPr>
                <w:rFonts w:hint="eastAsia" w:ascii="Times New Roman" w:hAnsi="Times New Roman" w:eastAsia="宋体" w:cs="Times New Roman"/>
                <w:szCs w:val="24"/>
              </w:rPr>
              <w:t>峨边彝族自治县新林镇卷木村4组</w:t>
            </w:r>
            <w:r>
              <w:rPr>
                <w:rFonts w:ascii="Times New Roman" w:hAnsi="Times New Roman" w:eastAsia="宋体" w:cs="Times New Roman"/>
                <w:szCs w:val="24"/>
              </w:rPr>
              <w:t xml:space="preserve"> </w:t>
            </w:r>
          </w:p>
        </w:tc>
      </w:tr>
      <w:tr w14:paraId="6DBE805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479" w:type="dxa"/>
            <w:tcBorders>
              <w:top w:val="single" w:color="auto" w:sz="4" w:space="0"/>
              <w:bottom w:val="single" w:color="auto" w:sz="4" w:space="0"/>
              <w:right w:val="single" w:color="auto" w:sz="4" w:space="0"/>
            </w:tcBorders>
            <w:vAlign w:val="center"/>
          </w:tcPr>
          <w:p w14:paraId="6B485E36">
            <w:pPr>
              <w:jc w:val="center"/>
              <w:rPr>
                <w:rFonts w:ascii="Times New Roman" w:hAnsi="Times New Roman" w:eastAsia="宋体" w:cs="Times New Roman"/>
                <w:b/>
                <w:sz w:val="24"/>
              </w:rPr>
            </w:pPr>
            <w:r>
              <w:rPr>
                <w:rFonts w:ascii="Times New Roman" w:hAnsi="Times New Roman" w:eastAsia="宋体" w:cs="Times New Roman"/>
                <w:b/>
                <w:sz w:val="24"/>
              </w:rPr>
              <w:t>联系电话</w:t>
            </w:r>
          </w:p>
        </w:tc>
        <w:tc>
          <w:tcPr>
            <w:tcW w:w="1748" w:type="dxa"/>
            <w:gridSpan w:val="2"/>
            <w:tcBorders>
              <w:top w:val="single" w:color="auto" w:sz="4" w:space="0"/>
              <w:left w:val="single" w:color="auto" w:sz="4" w:space="0"/>
              <w:bottom w:val="single" w:color="auto" w:sz="4" w:space="0"/>
              <w:right w:val="single" w:color="auto" w:sz="4" w:space="0"/>
            </w:tcBorders>
            <w:vAlign w:val="center"/>
          </w:tcPr>
          <w:p w14:paraId="525327CA">
            <w:pPr>
              <w:pStyle w:val="126"/>
              <w:adjustRightInd/>
              <w:spacing w:before="0" w:line="240" w:lineRule="auto"/>
              <w:textAlignment w:val="auto"/>
              <w:rPr>
                <w:rFonts w:ascii="Times New Roman" w:hAnsi="Times New Roman" w:eastAsia="宋体" w:cs="Times New Roman"/>
                <w:szCs w:val="24"/>
              </w:rPr>
            </w:pPr>
            <w:r>
              <w:rPr>
                <w:rFonts w:ascii="Times New Roman" w:hAnsi="Times New Roman" w:eastAsia="宋体" w:cs="Times New Roman"/>
                <w:szCs w:val="24"/>
              </w:rPr>
              <w:t>15378629332</w:t>
            </w:r>
          </w:p>
        </w:tc>
        <w:tc>
          <w:tcPr>
            <w:tcW w:w="1066" w:type="dxa"/>
            <w:tcBorders>
              <w:top w:val="single" w:color="auto" w:sz="4" w:space="0"/>
              <w:left w:val="single" w:color="auto" w:sz="4" w:space="0"/>
              <w:bottom w:val="single" w:color="auto" w:sz="4" w:space="0"/>
              <w:right w:val="single" w:color="auto" w:sz="4" w:space="0"/>
            </w:tcBorders>
            <w:vAlign w:val="center"/>
          </w:tcPr>
          <w:p w14:paraId="5B2A590E">
            <w:pPr>
              <w:jc w:val="center"/>
              <w:rPr>
                <w:rFonts w:ascii="Times New Roman" w:hAnsi="Times New Roman" w:eastAsia="宋体" w:cs="Times New Roman"/>
                <w:b/>
                <w:sz w:val="24"/>
              </w:rPr>
            </w:pPr>
            <w:r>
              <w:rPr>
                <w:rFonts w:ascii="Times New Roman" w:hAnsi="Times New Roman" w:eastAsia="宋体" w:cs="Times New Roman"/>
                <w:b/>
                <w:sz w:val="24"/>
              </w:rPr>
              <w:t>传真</w:t>
            </w:r>
          </w:p>
        </w:tc>
        <w:tc>
          <w:tcPr>
            <w:tcW w:w="1911" w:type="dxa"/>
            <w:gridSpan w:val="4"/>
            <w:tcBorders>
              <w:top w:val="single" w:color="auto" w:sz="4" w:space="0"/>
              <w:left w:val="single" w:color="auto" w:sz="4" w:space="0"/>
              <w:bottom w:val="single" w:color="auto" w:sz="4" w:space="0"/>
              <w:right w:val="single" w:color="auto" w:sz="4" w:space="0"/>
            </w:tcBorders>
            <w:vAlign w:val="center"/>
          </w:tcPr>
          <w:p w14:paraId="02A764C7">
            <w:pPr>
              <w:pStyle w:val="126"/>
              <w:adjustRightInd/>
              <w:spacing w:before="0" w:line="240" w:lineRule="auto"/>
              <w:textAlignment w:val="auto"/>
              <w:rPr>
                <w:rFonts w:ascii="Times New Roman" w:hAnsi="Times New Roman" w:eastAsia="宋体" w:cs="Times New Roman"/>
                <w:kern w:val="2"/>
              </w:rPr>
            </w:pPr>
            <w:r>
              <w:rPr>
                <w:rFonts w:ascii="Times New Roman" w:hAnsi="Times New Roman" w:eastAsia="宋体" w:cs="Times New Roman"/>
                <w:szCs w:val="24"/>
              </w:rPr>
              <w:t>/</w:t>
            </w:r>
          </w:p>
        </w:tc>
        <w:tc>
          <w:tcPr>
            <w:tcW w:w="1253" w:type="dxa"/>
            <w:tcBorders>
              <w:top w:val="single" w:color="auto" w:sz="4" w:space="0"/>
              <w:left w:val="single" w:color="auto" w:sz="4" w:space="0"/>
              <w:bottom w:val="single" w:color="auto" w:sz="4" w:space="0"/>
              <w:right w:val="single" w:color="auto" w:sz="4" w:space="0"/>
            </w:tcBorders>
            <w:vAlign w:val="center"/>
          </w:tcPr>
          <w:p w14:paraId="6AD1CEFA">
            <w:pPr>
              <w:ind w:leftChars="-32" w:hanging="67" w:hangingChars="28"/>
              <w:jc w:val="center"/>
              <w:rPr>
                <w:rFonts w:ascii="Times New Roman" w:hAnsi="Times New Roman" w:eastAsia="宋体" w:cs="Times New Roman"/>
                <w:b/>
                <w:sz w:val="24"/>
              </w:rPr>
            </w:pPr>
            <w:r>
              <w:rPr>
                <w:rFonts w:ascii="Times New Roman" w:hAnsi="Times New Roman" w:eastAsia="宋体" w:cs="Times New Roman"/>
                <w:b/>
                <w:sz w:val="24"/>
              </w:rPr>
              <w:t>邮政编码</w:t>
            </w:r>
          </w:p>
        </w:tc>
        <w:tc>
          <w:tcPr>
            <w:tcW w:w="1717" w:type="dxa"/>
            <w:gridSpan w:val="2"/>
            <w:tcBorders>
              <w:top w:val="single" w:color="auto" w:sz="4" w:space="0"/>
              <w:left w:val="single" w:color="auto" w:sz="4" w:space="0"/>
              <w:bottom w:val="single" w:color="auto" w:sz="4" w:space="0"/>
            </w:tcBorders>
            <w:vAlign w:val="center"/>
          </w:tcPr>
          <w:p w14:paraId="0DFE3EDE">
            <w:pPr>
              <w:pStyle w:val="126"/>
              <w:adjustRightInd/>
              <w:spacing w:before="0" w:line="240" w:lineRule="auto"/>
              <w:textAlignment w:val="auto"/>
              <w:rPr>
                <w:rFonts w:ascii="Times New Roman" w:hAnsi="Times New Roman" w:eastAsia="宋体" w:cs="Times New Roman"/>
                <w:kern w:val="2"/>
              </w:rPr>
            </w:pPr>
            <w:r>
              <w:rPr>
                <w:rFonts w:ascii="Times New Roman" w:hAnsi="Times New Roman" w:eastAsia="宋体" w:cs="Times New Roman"/>
                <w:kern w:val="2"/>
              </w:rPr>
              <w:t>614300</w:t>
            </w:r>
          </w:p>
        </w:tc>
      </w:tr>
      <w:tr w14:paraId="24C018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1" w:hRule="atLeast"/>
          <w:jc w:val="center"/>
        </w:trPr>
        <w:tc>
          <w:tcPr>
            <w:tcW w:w="1479" w:type="dxa"/>
            <w:tcBorders>
              <w:top w:val="single" w:color="auto" w:sz="4" w:space="0"/>
              <w:bottom w:val="single" w:color="auto" w:sz="4" w:space="0"/>
              <w:right w:val="single" w:color="auto" w:sz="4" w:space="0"/>
            </w:tcBorders>
            <w:vAlign w:val="center"/>
          </w:tcPr>
          <w:p w14:paraId="404F9F6B">
            <w:pPr>
              <w:jc w:val="center"/>
              <w:rPr>
                <w:rFonts w:ascii="Times New Roman" w:hAnsi="Times New Roman" w:eastAsia="宋体" w:cs="Times New Roman"/>
                <w:b/>
                <w:sz w:val="24"/>
              </w:rPr>
            </w:pPr>
            <w:r>
              <w:rPr>
                <w:rFonts w:ascii="Times New Roman" w:hAnsi="Times New Roman" w:eastAsia="宋体" w:cs="Times New Roman"/>
                <w:b/>
                <w:sz w:val="24"/>
              </w:rPr>
              <w:t>建设地点</w:t>
            </w:r>
          </w:p>
        </w:tc>
        <w:tc>
          <w:tcPr>
            <w:tcW w:w="7695" w:type="dxa"/>
            <w:gridSpan w:val="10"/>
            <w:tcBorders>
              <w:top w:val="single" w:color="auto" w:sz="4" w:space="0"/>
              <w:left w:val="single" w:color="auto" w:sz="4" w:space="0"/>
              <w:bottom w:val="single" w:color="auto" w:sz="4" w:space="0"/>
            </w:tcBorders>
            <w:vAlign w:val="center"/>
          </w:tcPr>
          <w:p w14:paraId="49A39CB8">
            <w:pPr>
              <w:pStyle w:val="126"/>
              <w:spacing w:line="240" w:lineRule="auto"/>
              <w:rPr>
                <w:rFonts w:ascii="Times New Roman" w:hAnsi="Times New Roman" w:eastAsia="宋体" w:cs="Times New Roman"/>
                <w:bCs/>
              </w:rPr>
            </w:pPr>
            <w:r>
              <w:rPr>
                <w:rFonts w:hint="eastAsia" w:ascii="Times New Roman" w:hAnsi="Times New Roman" w:eastAsia="宋体" w:cs="Times New Roman"/>
                <w:szCs w:val="24"/>
              </w:rPr>
              <w:t>峨边彝族自治县新林镇卷木村</w:t>
            </w:r>
            <w:r>
              <w:rPr>
                <w:rFonts w:ascii="Times New Roman" w:hAnsi="Times New Roman" w:eastAsia="宋体" w:cs="Times New Roman"/>
                <w:szCs w:val="24"/>
              </w:rPr>
              <w:t>4</w:t>
            </w:r>
            <w:r>
              <w:rPr>
                <w:rFonts w:hint="eastAsia" w:ascii="Times New Roman" w:hAnsi="Times New Roman" w:eastAsia="宋体" w:cs="Times New Roman"/>
                <w:szCs w:val="24"/>
              </w:rPr>
              <w:t>组、7组</w:t>
            </w:r>
            <w:r>
              <w:rPr>
                <w:rFonts w:ascii="Times New Roman" w:hAnsi="Times New Roman" w:eastAsia="宋体" w:cs="Times New Roman"/>
                <w:szCs w:val="24"/>
              </w:rPr>
              <w:t>（E103.2309°，N29.1976°）</w:t>
            </w:r>
          </w:p>
        </w:tc>
      </w:tr>
      <w:tr w14:paraId="3626E0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85" w:hRule="atLeast"/>
          <w:jc w:val="center"/>
        </w:trPr>
        <w:tc>
          <w:tcPr>
            <w:tcW w:w="1479" w:type="dxa"/>
            <w:tcBorders>
              <w:top w:val="single" w:color="auto" w:sz="4" w:space="0"/>
              <w:bottom w:val="single" w:color="auto" w:sz="4" w:space="0"/>
              <w:right w:val="single" w:color="auto" w:sz="4" w:space="0"/>
            </w:tcBorders>
            <w:vAlign w:val="center"/>
          </w:tcPr>
          <w:p w14:paraId="787163E4">
            <w:pPr>
              <w:spacing w:line="440" w:lineRule="exact"/>
              <w:jc w:val="center"/>
              <w:rPr>
                <w:rFonts w:ascii="Times New Roman" w:hAnsi="Times New Roman" w:eastAsia="宋体" w:cs="Times New Roman"/>
                <w:b/>
                <w:spacing w:val="-4"/>
                <w:sz w:val="24"/>
              </w:rPr>
            </w:pPr>
            <w:r>
              <w:rPr>
                <w:rFonts w:ascii="Times New Roman" w:hAnsi="Times New Roman" w:eastAsia="宋体" w:cs="Times New Roman"/>
                <w:b/>
                <w:spacing w:val="-4"/>
                <w:sz w:val="24"/>
              </w:rPr>
              <w:t>立项审批</w:t>
            </w:r>
          </w:p>
          <w:p w14:paraId="31120FD3">
            <w:pPr>
              <w:spacing w:line="440" w:lineRule="exact"/>
              <w:jc w:val="center"/>
              <w:rPr>
                <w:rFonts w:ascii="Times New Roman" w:hAnsi="Times New Roman" w:eastAsia="宋体" w:cs="Times New Roman"/>
                <w:b/>
                <w:spacing w:val="-4"/>
                <w:sz w:val="24"/>
              </w:rPr>
            </w:pPr>
            <w:r>
              <w:rPr>
                <w:rFonts w:ascii="Times New Roman" w:hAnsi="Times New Roman" w:eastAsia="宋体" w:cs="Times New Roman"/>
                <w:b/>
                <w:spacing w:val="-4"/>
                <w:sz w:val="24"/>
              </w:rPr>
              <w:t>部门</w:t>
            </w:r>
          </w:p>
        </w:tc>
        <w:tc>
          <w:tcPr>
            <w:tcW w:w="2993" w:type="dxa"/>
            <w:gridSpan w:val="4"/>
            <w:tcBorders>
              <w:top w:val="single" w:color="auto" w:sz="4" w:space="0"/>
              <w:left w:val="single" w:color="auto" w:sz="4" w:space="0"/>
              <w:bottom w:val="single" w:color="auto" w:sz="4" w:space="0"/>
              <w:right w:val="single" w:color="auto" w:sz="4" w:space="0"/>
            </w:tcBorders>
            <w:vAlign w:val="center"/>
          </w:tcPr>
          <w:p w14:paraId="1CF5DE02">
            <w:pPr>
              <w:jc w:val="center"/>
              <w:rPr>
                <w:rFonts w:ascii="Times New Roman" w:hAnsi="Times New Roman" w:eastAsia="宋体" w:cs="Times New Roman"/>
                <w:sz w:val="24"/>
              </w:rPr>
            </w:pPr>
            <w:r>
              <w:rPr>
                <w:rFonts w:hint="eastAsia" w:ascii="Times New Roman" w:hAnsi="Times New Roman" w:eastAsia="宋体" w:cs="Times New Roman"/>
                <w:sz w:val="24"/>
              </w:rPr>
              <w:t>峨边彝族自治县发展和改革局</w:t>
            </w:r>
          </w:p>
        </w:tc>
        <w:tc>
          <w:tcPr>
            <w:tcW w:w="1306" w:type="dxa"/>
            <w:tcBorders>
              <w:top w:val="single" w:color="auto" w:sz="4" w:space="0"/>
              <w:left w:val="single" w:color="auto" w:sz="4" w:space="0"/>
              <w:bottom w:val="single" w:color="auto" w:sz="4" w:space="0"/>
              <w:right w:val="single" w:color="auto" w:sz="4" w:space="0"/>
            </w:tcBorders>
            <w:vAlign w:val="center"/>
          </w:tcPr>
          <w:p w14:paraId="1F52A9BA">
            <w:pPr>
              <w:pStyle w:val="166"/>
              <w:spacing w:line="360" w:lineRule="auto"/>
              <w:jc w:val="center"/>
              <w:rPr>
                <w:rFonts w:ascii="Times New Roman" w:hAnsi="Times New Roman" w:eastAsia="宋体" w:cs="Times New Roman"/>
                <w:b/>
              </w:rPr>
            </w:pPr>
            <w:r>
              <w:rPr>
                <w:rFonts w:ascii="Times New Roman" w:hAnsi="Times New Roman" w:eastAsia="宋体" w:cs="Times New Roman"/>
                <w:b/>
              </w:rPr>
              <w:t>批准文号</w:t>
            </w:r>
          </w:p>
        </w:tc>
        <w:tc>
          <w:tcPr>
            <w:tcW w:w="3396" w:type="dxa"/>
            <w:gridSpan w:val="5"/>
            <w:tcBorders>
              <w:top w:val="single" w:color="auto" w:sz="4" w:space="0"/>
              <w:left w:val="single" w:color="auto" w:sz="4" w:space="0"/>
              <w:bottom w:val="single" w:color="auto" w:sz="4" w:space="0"/>
            </w:tcBorders>
            <w:vAlign w:val="center"/>
          </w:tcPr>
          <w:p w14:paraId="4146047C">
            <w:pPr>
              <w:jc w:val="center"/>
              <w:rPr>
                <w:rFonts w:ascii="Times New Roman" w:hAnsi="Times New Roman" w:eastAsia="宋体" w:cs="Times New Roman"/>
                <w:sz w:val="24"/>
              </w:rPr>
            </w:pPr>
            <w:r>
              <w:rPr>
                <w:rFonts w:hint="eastAsia" w:ascii="Times New Roman" w:hAnsi="Times New Roman" w:eastAsia="宋体" w:cs="Times New Roman"/>
                <w:sz w:val="24"/>
              </w:rPr>
              <w:t>川投资备【2020-511132-</w:t>
            </w:r>
            <w:r>
              <w:rPr>
                <w:rFonts w:ascii="Times New Roman" w:hAnsi="Times New Roman" w:eastAsia="宋体" w:cs="Times New Roman"/>
                <w:sz w:val="24"/>
              </w:rPr>
              <w:t>42</w:t>
            </w:r>
            <w:r>
              <w:rPr>
                <w:rFonts w:hint="eastAsia" w:ascii="Times New Roman" w:hAnsi="Times New Roman" w:eastAsia="宋体" w:cs="Times New Roman"/>
                <w:sz w:val="24"/>
              </w:rPr>
              <w:t>-03-</w:t>
            </w:r>
            <w:r>
              <w:rPr>
                <w:rFonts w:ascii="Times New Roman" w:hAnsi="Times New Roman" w:eastAsia="宋体" w:cs="Times New Roman"/>
                <w:sz w:val="24"/>
              </w:rPr>
              <w:t>422053</w:t>
            </w:r>
            <w:r>
              <w:rPr>
                <w:rFonts w:hint="eastAsia" w:ascii="Times New Roman" w:hAnsi="Times New Roman" w:eastAsia="宋体" w:cs="Times New Roman"/>
                <w:sz w:val="24"/>
              </w:rPr>
              <w:t>】</w:t>
            </w:r>
            <w:r>
              <w:rPr>
                <w:rFonts w:ascii="Times New Roman" w:hAnsi="Times New Roman" w:eastAsia="宋体" w:cs="Times New Roman"/>
                <w:sz w:val="24"/>
              </w:rPr>
              <w:t>FG</w:t>
            </w:r>
            <w:r>
              <w:rPr>
                <w:rFonts w:hint="eastAsia" w:ascii="Times New Roman" w:hAnsi="Times New Roman" w:eastAsia="宋体" w:cs="Times New Roman"/>
                <w:sz w:val="24"/>
              </w:rPr>
              <w:t>QB-00</w:t>
            </w:r>
            <w:r>
              <w:rPr>
                <w:rFonts w:ascii="Times New Roman" w:hAnsi="Times New Roman" w:eastAsia="宋体" w:cs="Times New Roman"/>
                <w:sz w:val="24"/>
              </w:rPr>
              <w:t>03</w:t>
            </w:r>
            <w:r>
              <w:rPr>
                <w:rFonts w:hint="eastAsia" w:ascii="Times New Roman" w:hAnsi="Times New Roman" w:eastAsia="宋体" w:cs="Times New Roman"/>
                <w:sz w:val="24"/>
              </w:rPr>
              <w:t>号</w:t>
            </w:r>
          </w:p>
        </w:tc>
      </w:tr>
      <w:tr w14:paraId="22E57AE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9" w:hRule="atLeast"/>
          <w:jc w:val="center"/>
        </w:trPr>
        <w:tc>
          <w:tcPr>
            <w:tcW w:w="1479" w:type="dxa"/>
            <w:tcBorders>
              <w:top w:val="single" w:color="auto" w:sz="4" w:space="0"/>
              <w:bottom w:val="single" w:color="auto" w:sz="4" w:space="0"/>
              <w:right w:val="single" w:color="auto" w:sz="4" w:space="0"/>
            </w:tcBorders>
            <w:vAlign w:val="center"/>
          </w:tcPr>
          <w:p w14:paraId="0C81D426">
            <w:pPr>
              <w:jc w:val="center"/>
              <w:rPr>
                <w:rFonts w:ascii="Times New Roman" w:hAnsi="Times New Roman" w:eastAsia="宋体" w:cs="Times New Roman"/>
                <w:b/>
                <w:sz w:val="24"/>
              </w:rPr>
            </w:pPr>
            <w:r>
              <w:rPr>
                <w:rFonts w:ascii="Times New Roman" w:hAnsi="Times New Roman" w:eastAsia="宋体" w:cs="Times New Roman"/>
                <w:b/>
                <w:sz w:val="24"/>
              </w:rPr>
              <w:t>建设性质</w:t>
            </w:r>
          </w:p>
        </w:tc>
        <w:tc>
          <w:tcPr>
            <w:tcW w:w="2993" w:type="dxa"/>
            <w:gridSpan w:val="4"/>
            <w:tcBorders>
              <w:top w:val="single" w:color="auto" w:sz="4" w:space="0"/>
              <w:left w:val="single" w:color="auto" w:sz="4" w:space="0"/>
              <w:bottom w:val="single" w:color="auto" w:sz="4" w:space="0"/>
              <w:right w:val="single" w:color="auto" w:sz="4" w:space="0"/>
            </w:tcBorders>
            <w:vAlign w:val="center"/>
          </w:tcPr>
          <w:p w14:paraId="6BB4757E">
            <w:pPr>
              <w:pStyle w:val="126"/>
              <w:adjustRightInd/>
              <w:spacing w:before="0" w:line="240" w:lineRule="auto"/>
              <w:textAlignment w:val="auto"/>
              <w:rPr>
                <w:rFonts w:ascii="Times New Roman" w:hAnsi="Times New Roman" w:eastAsia="宋体" w:cs="Times New Roman"/>
                <w:kern w:val="2"/>
              </w:rPr>
            </w:pPr>
            <w:r>
              <w:rPr>
                <w:rFonts w:ascii="Segoe UI Emoji" w:hAnsi="Segoe UI Emoji" w:eastAsia="宋体" w:cs="Segoe UI Emoji"/>
                <w:sz w:val="13"/>
                <w:szCs w:val="8"/>
              </w:rPr>
              <w:t>☑</w:t>
            </w:r>
            <w:r>
              <w:rPr>
                <w:rFonts w:ascii="Times New Roman" w:hAnsi="Times New Roman" w:eastAsia="宋体" w:cs="Times New Roman"/>
              </w:rPr>
              <w:t>新建  □改扩建  □技改</w:t>
            </w:r>
          </w:p>
        </w:tc>
        <w:tc>
          <w:tcPr>
            <w:tcW w:w="1306" w:type="dxa"/>
            <w:tcBorders>
              <w:top w:val="single" w:color="auto" w:sz="4" w:space="0"/>
              <w:left w:val="single" w:color="auto" w:sz="4" w:space="0"/>
              <w:bottom w:val="single" w:color="auto" w:sz="4" w:space="0"/>
              <w:right w:val="single" w:color="auto" w:sz="4" w:space="0"/>
            </w:tcBorders>
            <w:vAlign w:val="center"/>
          </w:tcPr>
          <w:p w14:paraId="050C4BC0">
            <w:pPr>
              <w:jc w:val="center"/>
              <w:rPr>
                <w:rFonts w:ascii="Times New Roman" w:hAnsi="Times New Roman" w:eastAsia="宋体" w:cs="Times New Roman"/>
                <w:b/>
                <w:sz w:val="24"/>
              </w:rPr>
            </w:pPr>
            <w:r>
              <w:rPr>
                <w:rFonts w:ascii="Times New Roman" w:hAnsi="Times New Roman" w:eastAsia="宋体" w:cs="Times New Roman"/>
                <w:b/>
                <w:sz w:val="24"/>
              </w:rPr>
              <w:t>行业类别及代码</w:t>
            </w:r>
          </w:p>
        </w:tc>
        <w:tc>
          <w:tcPr>
            <w:tcW w:w="3396" w:type="dxa"/>
            <w:gridSpan w:val="5"/>
            <w:tcBorders>
              <w:top w:val="single" w:color="auto" w:sz="4" w:space="0"/>
              <w:left w:val="single" w:color="auto" w:sz="4" w:space="0"/>
              <w:bottom w:val="single" w:color="auto" w:sz="4" w:space="0"/>
            </w:tcBorders>
            <w:vAlign w:val="center"/>
          </w:tcPr>
          <w:p w14:paraId="43C2CAA8">
            <w:pPr>
              <w:widowControl/>
              <w:jc w:val="center"/>
              <w:rPr>
                <w:rFonts w:ascii="Times New Roman" w:hAnsi="Times New Roman" w:eastAsia="宋体" w:cs="Times New Roman"/>
                <w:sz w:val="24"/>
                <w:szCs w:val="24"/>
              </w:rPr>
            </w:pPr>
            <w:r>
              <w:rPr>
                <w:rFonts w:ascii="Times New Roman" w:hAnsi="Times New Roman" w:eastAsia="宋体" w:cs="Times New Roman"/>
                <w:sz w:val="24"/>
                <w:szCs w:val="24"/>
              </w:rPr>
              <w:t xml:space="preserve">C4220 </w:t>
            </w:r>
            <w:r>
              <w:rPr>
                <w:rFonts w:hint="eastAsia" w:ascii="Times New Roman" w:hAnsi="Times New Roman" w:eastAsia="宋体" w:cs="Times New Roman"/>
                <w:sz w:val="24"/>
                <w:szCs w:val="24"/>
              </w:rPr>
              <w:t>非金属废料和碎屑加工处理</w:t>
            </w:r>
          </w:p>
        </w:tc>
      </w:tr>
      <w:tr w14:paraId="5260632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479" w:type="dxa"/>
            <w:tcBorders>
              <w:top w:val="single" w:color="auto" w:sz="4" w:space="0"/>
              <w:bottom w:val="single" w:color="auto" w:sz="4" w:space="0"/>
              <w:right w:val="single" w:color="auto" w:sz="4" w:space="0"/>
            </w:tcBorders>
            <w:vAlign w:val="center"/>
          </w:tcPr>
          <w:p w14:paraId="58A9C584">
            <w:pPr>
              <w:jc w:val="center"/>
              <w:rPr>
                <w:rFonts w:ascii="Times New Roman" w:hAnsi="Times New Roman" w:eastAsia="宋体" w:cs="Times New Roman"/>
                <w:b/>
                <w:sz w:val="24"/>
              </w:rPr>
            </w:pPr>
            <w:r>
              <w:rPr>
                <w:rFonts w:ascii="Times New Roman" w:hAnsi="Times New Roman" w:eastAsia="宋体" w:cs="Times New Roman"/>
                <w:b/>
                <w:sz w:val="24"/>
              </w:rPr>
              <w:t>用地面积</w:t>
            </w:r>
          </w:p>
          <w:p w14:paraId="040B369E">
            <w:pPr>
              <w:jc w:val="center"/>
              <w:rPr>
                <w:rFonts w:ascii="Times New Roman" w:hAnsi="Times New Roman" w:eastAsia="宋体" w:cs="Times New Roman"/>
                <w:b/>
                <w:sz w:val="24"/>
              </w:rPr>
            </w:pPr>
            <w:r>
              <w:rPr>
                <w:rFonts w:hint="eastAsia" w:ascii="Times New Roman" w:hAnsi="Times New Roman" w:eastAsia="宋体" w:cs="Times New Roman"/>
                <w:b/>
                <w:sz w:val="24"/>
                <w:lang w:eastAsia="zh-CN"/>
              </w:rPr>
              <w:t>（</w:t>
            </w:r>
            <w:r>
              <w:rPr>
                <w:rFonts w:ascii="Times New Roman" w:hAnsi="Times New Roman" w:eastAsia="宋体" w:cs="Times New Roman"/>
                <w:b/>
                <w:sz w:val="24"/>
              </w:rPr>
              <w:t>平方米</w:t>
            </w:r>
            <w:r>
              <w:rPr>
                <w:rFonts w:hint="eastAsia" w:ascii="Times New Roman" w:hAnsi="Times New Roman" w:eastAsia="宋体" w:cs="Times New Roman"/>
                <w:b/>
                <w:sz w:val="24"/>
                <w:lang w:eastAsia="zh-CN"/>
              </w:rPr>
              <w:t>）</w:t>
            </w:r>
          </w:p>
        </w:tc>
        <w:tc>
          <w:tcPr>
            <w:tcW w:w="2993" w:type="dxa"/>
            <w:gridSpan w:val="4"/>
            <w:tcBorders>
              <w:top w:val="single" w:color="auto" w:sz="4" w:space="0"/>
              <w:left w:val="single" w:color="auto" w:sz="4" w:space="0"/>
              <w:bottom w:val="single" w:color="auto" w:sz="4" w:space="0"/>
              <w:right w:val="single" w:color="auto" w:sz="4" w:space="0"/>
            </w:tcBorders>
            <w:vAlign w:val="center"/>
          </w:tcPr>
          <w:p w14:paraId="3D3B00D3">
            <w:pPr>
              <w:jc w:val="center"/>
              <w:rPr>
                <w:rFonts w:ascii="Times New Roman" w:hAnsi="Times New Roman" w:eastAsia="宋体" w:cs="Times New Roman"/>
                <w:sz w:val="24"/>
              </w:rPr>
            </w:pPr>
            <w:r>
              <w:rPr>
                <w:rFonts w:ascii="Times New Roman" w:hAnsi="Times New Roman" w:eastAsia="宋体" w:cs="Times New Roman"/>
                <w:sz w:val="24"/>
              </w:rPr>
              <w:t>8439</w:t>
            </w:r>
          </w:p>
        </w:tc>
        <w:tc>
          <w:tcPr>
            <w:tcW w:w="1306" w:type="dxa"/>
            <w:tcBorders>
              <w:top w:val="single" w:color="auto" w:sz="4" w:space="0"/>
              <w:left w:val="single" w:color="auto" w:sz="4" w:space="0"/>
              <w:bottom w:val="single" w:color="auto" w:sz="4" w:space="0"/>
              <w:right w:val="single" w:color="auto" w:sz="4" w:space="0"/>
            </w:tcBorders>
            <w:vAlign w:val="center"/>
          </w:tcPr>
          <w:p w14:paraId="1B9B65B0">
            <w:pPr>
              <w:jc w:val="center"/>
              <w:rPr>
                <w:rFonts w:ascii="Times New Roman" w:hAnsi="Times New Roman" w:eastAsia="宋体" w:cs="Times New Roman"/>
                <w:b/>
                <w:sz w:val="24"/>
              </w:rPr>
            </w:pPr>
            <w:r>
              <w:rPr>
                <w:rFonts w:ascii="Times New Roman" w:hAnsi="Times New Roman" w:eastAsia="宋体" w:cs="Times New Roman"/>
                <w:b/>
                <w:sz w:val="24"/>
              </w:rPr>
              <w:t>绿化面积</w:t>
            </w:r>
          </w:p>
          <w:p w14:paraId="3398CBE8">
            <w:pPr>
              <w:jc w:val="center"/>
              <w:rPr>
                <w:rFonts w:ascii="Times New Roman" w:hAnsi="Times New Roman" w:eastAsia="宋体" w:cs="Times New Roman"/>
                <w:b/>
                <w:sz w:val="24"/>
              </w:rPr>
            </w:pPr>
            <w:r>
              <w:rPr>
                <w:rFonts w:hint="eastAsia" w:ascii="Times New Roman" w:hAnsi="Times New Roman" w:eastAsia="宋体" w:cs="Times New Roman"/>
                <w:b/>
                <w:sz w:val="24"/>
                <w:lang w:eastAsia="zh-CN"/>
              </w:rPr>
              <w:t>（</w:t>
            </w:r>
            <w:r>
              <w:rPr>
                <w:rFonts w:ascii="Times New Roman" w:hAnsi="Times New Roman" w:eastAsia="宋体" w:cs="Times New Roman"/>
                <w:b/>
                <w:sz w:val="24"/>
              </w:rPr>
              <w:t>平方米</w:t>
            </w:r>
            <w:r>
              <w:rPr>
                <w:rFonts w:hint="eastAsia" w:ascii="Times New Roman" w:hAnsi="Times New Roman" w:eastAsia="宋体" w:cs="Times New Roman"/>
                <w:b/>
                <w:sz w:val="24"/>
                <w:lang w:eastAsia="zh-CN"/>
              </w:rPr>
              <w:t>）</w:t>
            </w:r>
          </w:p>
        </w:tc>
        <w:tc>
          <w:tcPr>
            <w:tcW w:w="3396" w:type="dxa"/>
            <w:gridSpan w:val="5"/>
            <w:tcBorders>
              <w:top w:val="single" w:color="auto" w:sz="4" w:space="0"/>
              <w:left w:val="single" w:color="auto" w:sz="4" w:space="0"/>
              <w:bottom w:val="single" w:color="auto" w:sz="4" w:space="0"/>
            </w:tcBorders>
            <w:vAlign w:val="center"/>
          </w:tcPr>
          <w:p w14:paraId="07D35B40">
            <w:pPr>
              <w:pStyle w:val="126"/>
              <w:adjustRightInd/>
              <w:spacing w:before="0" w:line="240" w:lineRule="auto"/>
              <w:textAlignment w:val="auto"/>
              <w:rPr>
                <w:rFonts w:ascii="Times New Roman" w:hAnsi="Times New Roman" w:eastAsia="宋体" w:cs="Times New Roman"/>
                <w:kern w:val="2"/>
              </w:rPr>
            </w:pPr>
            <w:r>
              <w:rPr>
                <w:rFonts w:ascii="Times New Roman" w:hAnsi="Times New Roman" w:eastAsia="宋体" w:cs="Times New Roman"/>
                <w:kern w:val="2"/>
              </w:rPr>
              <w:t>/</w:t>
            </w:r>
          </w:p>
        </w:tc>
      </w:tr>
      <w:tr w14:paraId="1CDE4D3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479" w:type="dxa"/>
            <w:tcBorders>
              <w:top w:val="single" w:color="auto" w:sz="4" w:space="0"/>
              <w:bottom w:val="single" w:color="auto" w:sz="4" w:space="0"/>
              <w:right w:val="single" w:color="auto" w:sz="4" w:space="0"/>
            </w:tcBorders>
            <w:vAlign w:val="center"/>
          </w:tcPr>
          <w:p w14:paraId="56C935F2">
            <w:pPr>
              <w:jc w:val="center"/>
              <w:rPr>
                <w:rFonts w:ascii="Times New Roman" w:hAnsi="Times New Roman" w:eastAsia="宋体" w:cs="Times New Roman"/>
                <w:b/>
                <w:sz w:val="24"/>
              </w:rPr>
            </w:pPr>
            <w:r>
              <w:rPr>
                <w:rFonts w:ascii="Times New Roman" w:hAnsi="Times New Roman" w:eastAsia="宋体" w:cs="Times New Roman"/>
                <w:b/>
                <w:sz w:val="24"/>
              </w:rPr>
              <w:t>总投资</w:t>
            </w:r>
          </w:p>
          <w:p w14:paraId="00277024">
            <w:pPr>
              <w:jc w:val="center"/>
              <w:rPr>
                <w:rFonts w:ascii="Times New Roman" w:hAnsi="Times New Roman" w:eastAsia="宋体" w:cs="Times New Roman"/>
                <w:b/>
                <w:sz w:val="24"/>
              </w:rPr>
            </w:pPr>
            <w:r>
              <w:rPr>
                <w:rFonts w:hint="eastAsia" w:ascii="Times New Roman" w:hAnsi="Times New Roman" w:eastAsia="宋体" w:cs="Times New Roman"/>
                <w:b/>
                <w:sz w:val="24"/>
                <w:lang w:eastAsia="zh-CN"/>
              </w:rPr>
              <w:t>（</w:t>
            </w:r>
            <w:r>
              <w:rPr>
                <w:rFonts w:ascii="Times New Roman" w:hAnsi="Times New Roman" w:eastAsia="宋体" w:cs="Times New Roman"/>
                <w:b/>
                <w:sz w:val="24"/>
              </w:rPr>
              <w:t>万元</w:t>
            </w:r>
            <w:r>
              <w:rPr>
                <w:rFonts w:hint="eastAsia" w:ascii="Times New Roman" w:hAnsi="Times New Roman" w:eastAsia="宋体" w:cs="Times New Roman"/>
                <w:b/>
                <w:sz w:val="24"/>
                <w:lang w:eastAsia="zh-CN"/>
              </w:rPr>
              <w:t>）</w:t>
            </w:r>
          </w:p>
        </w:tc>
        <w:tc>
          <w:tcPr>
            <w:tcW w:w="1507" w:type="dxa"/>
            <w:tcBorders>
              <w:top w:val="single" w:color="auto" w:sz="4" w:space="0"/>
              <w:left w:val="single" w:color="auto" w:sz="4" w:space="0"/>
              <w:bottom w:val="single" w:color="auto" w:sz="4" w:space="0"/>
              <w:right w:val="single" w:color="auto" w:sz="4" w:space="0"/>
            </w:tcBorders>
            <w:vAlign w:val="center"/>
          </w:tcPr>
          <w:p w14:paraId="0405C5C9">
            <w:pPr>
              <w:pStyle w:val="126"/>
              <w:adjustRightInd/>
              <w:spacing w:before="0" w:line="240" w:lineRule="auto"/>
              <w:textAlignment w:val="auto"/>
              <w:rPr>
                <w:rFonts w:ascii="Times New Roman" w:hAnsi="Times New Roman" w:eastAsia="宋体" w:cs="Times New Roman"/>
                <w:kern w:val="2"/>
              </w:rPr>
            </w:pPr>
            <w:r>
              <w:rPr>
                <w:rFonts w:ascii="Times New Roman" w:hAnsi="Times New Roman" w:eastAsia="宋体" w:cs="Times New Roman"/>
                <w:kern w:val="2"/>
              </w:rPr>
              <w:t>200</w:t>
            </w:r>
          </w:p>
        </w:tc>
        <w:tc>
          <w:tcPr>
            <w:tcW w:w="1486" w:type="dxa"/>
            <w:gridSpan w:val="3"/>
            <w:tcBorders>
              <w:top w:val="single" w:color="auto" w:sz="4" w:space="0"/>
              <w:left w:val="single" w:color="auto" w:sz="4" w:space="0"/>
              <w:bottom w:val="single" w:color="auto" w:sz="4" w:space="0"/>
              <w:right w:val="single" w:color="auto" w:sz="4" w:space="0"/>
            </w:tcBorders>
            <w:vAlign w:val="center"/>
          </w:tcPr>
          <w:p w14:paraId="6C81660B">
            <w:pPr>
              <w:jc w:val="center"/>
              <w:rPr>
                <w:rFonts w:ascii="Times New Roman" w:hAnsi="Times New Roman" w:eastAsia="宋体" w:cs="Times New Roman"/>
                <w:b/>
                <w:sz w:val="24"/>
              </w:rPr>
            </w:pPr>
            <w:r>
              <w:rPr>
                <w:rFonts w:ascii="Times New Roman" w:hAnsi="Times New Roman" w:eastAsia="宋体" w:cs="Times New Roman"/>
                <w:b/>
                <w:sz w:val="24"/>
              </w:rPr>
              <w:t>其中：环保投资</w:t>
            </w:r>
            <w:r>
              <w:rPr>
                <w:rFonts w:hint="eastAsia" w:ascii="Times New Roman" w:hAnsi="Times New Roman" w:eastAsia="宋体" w:cs="Times New Roman"/>
                <w:b/>
                <w:sz w:val="24"/>
                <w:lang w:eastAsia="zh-CN"/>
              </w:rPr>
              <w:t>（</w:t>
            </w:r>
            <w:r>
              <w:rPr>
                <w:rFonts w:ascii="Times New Roman" w:hAnsi="Times New Roman" w:eastAsia="宋体" w:cs="Times New Roman"/>
                <w:b/>
                <w:sz w:val="24"/>
              </w:rPr>
              <w:t>万元</w:t>
            </w:r>
            <w:r>
              <w:rPr>
                <w:rFonts w:hint="eastAsia" w:ascii="Times New Roman" w:hAnsi="Times New Roman" w:eastAsia="宋体" w:cs="Times New Roman"/>
                <w:b/>
                <w:sz w:val="24"/>
                <w:lang w:eastAsia="zh-CN"/>
              </w:rPr>
              <w:t>）</w:t>
            </w:r>
          </w:p>
        </w:tc>
        <w:tc>
          <w:tcPr>
            <w:tcW w:w="1306" w:type="dxa"/>
            <w:tcBorders>
              <w:top w:val="single" w:color="auto" w:sz="4" w:space="0"/>
              <w:left w:val="single" w:color="auto" w:sz="4" w:space="0"/>
              <w:bottom w:val="single" w:color="auto" w:sz="4" w:space="0"/>
              <w:right w:val="single" w:color="auto" w:sz="4" w:space="0"/>
            </w:tcBorders>
            <w:vAlign w:val="center"/>
          </w:tcPr>
          <w:p w14:paraId="3B349AC9">
            <w:pPr>
              <w:jc w:val="center"/>
              <w:rPr>
                <w:rFonts w:ascii="Times New Roman" w:hAnsi="Times New Roman" w:eastAsia="宋体" w:cs="Times New Roman"/>
                <w:sz w:val="24"/>
              </w:rPr>
            </w:pPr>
            <w:r>
              <w:rPr>
                <w:rFonts w:ascii="Times New Roman" w:hAnsi="Times New Roman" w:eastAsia="宋体" w:cs="Times New Roman"/>
                <w:sz w:val="24"/>
              </w:rPr>
              <w:t>17.5</w:t>
            </w:r>
          </w:p>
        </w:tc>
        <w:tc>
          <w:tcPr>
            <w:tcW w:w="2053" w:type="dxa"/>
            <w:gridSpan w:val="4"/>
            <w:tcBorders>
              <w:top w:val="single" w:color="auto" w:sz="4" w:space="0"/>
              <w:left w:val="single" w:color="auto" w:sz="4" w:space="0"/>
              <w:bottom w:val="single" w:color="auto" w:sz="4" w:space="0"/>
              <w:right w:val="single" w:color="auto" w:sz="4" w:space="0"/>
            </w:tcBorders>
            <w:vAlign w:val="center"/>
          </w:tcPr>
          <w:p w14:paraId="6C22DC2C">
            <w:pPr>
              <w:jc w:val="center"/>
              <w:rPr>
                <w:rFonts w:ascii="Times New Roman" w:hAnsi="Times New Roman" w:eastAsia="宋体" w:cs="Times New Roman"/>
                <w:b/>
                <w:sz w:val="24"/>
              </w:rPr>
            </w:pPr>
            <w:r>
              <w:rPr>
                <w:rFonts w:ascii="Times New Roman" w:hAnsi="Times New Roman" w:eastAsia="宋体" w:cs="Times New Roman"/>
                <w:b/>
                <w:sz w:val="24"/>
              </w:rPr>
              <w:t>环保投资占总投资比例</w:t>
            </w:r>
          </w:p>
        </w:tc>
        <w:tc>
          <w:tcPr>
            <w:tcW w:w="1343" w:type="dxa"/>
            <w:tcBorders>
              <w:top w:val="single" w:color="auto" w:sz="4" w:space="0"/>
              <w:left w:val="single" w:color="auto" w:sz="4" w:space="0"/>
              <w:bottom w:val="single" w:color="auto" w:sz="4" w:space="0"/>
            </w:tcBorders>
            <w:vAlign w:val="center"/>
          </w:tcPr>
          <w:p w14:paraId="106564F2">
            <w:pPr>
              <w:pStyle w:val="126"/>
              <w:adjustRightInd/>
              <w:spacing w:before="0" w:line="240" w:lineRule="auto"/>
              <w:textAlignment w:val="auto"/>
              <w:rPr>
                <w:rFonts w:ascii="Times New Roman" w:hAnsi="Times New Roman" w:eastAsia="宋体" w:cs="Times New Roman"/>
                <w:kern w:val="2"/>
              </w:rPr>
            </w:pPr>
            <w:r>
              <w:rPr>
                <w:rFonts w:ascii="Times New Roman" w:hAnsi="Times New Roman" w:eastAsia="宋体" w:cs="Times New Roman"/>
                <w:kern w:val="2"/>
              </w:rPr>
              <w:t>8.75%</w:t>
            </w:r>
          </w:p>
        </w:tc>
      </w:tr>
      <w:tr w14:paraId="7FAFA8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479" w:type="dxa"/>
            <w:tcBorders>
              <w:top w:val="single" w:color="auto" w:sz="4" w:space="0"/>
              <w:bottom w:val="single" w:color="auto" w:sz="4" w:space="0"/>
              <w:right w:val="single" w:color="auto" w:sz="4" w:space="0"/>
            </w:tcBorders>
            <w:vAlign w:val="center"/>
          </w:tcPr>
          <w:p w14:paraId="174409E6">
            <w:pPr>
              <w:jc w:val="center"/>
              <w:rPr>
                <w:rFonts w:ascii="Times New Roman" w:hAnsi="Times New Roman" w:eastAsia="宋体" w:cs="Times New Roman"/>
                <w:b/>
                <w:sz w:val="24"/>
              </w:rPr>
            </w:pPr>
            <w:r>
              <w:rPr>
                <w:rFonts w:ascii="Times New Roman" w:hAnsi="Times New Roman" w:eastAsia="宋体" w:cs="Times New Roman"/>
                <w:b/>
                <w:sz w:val="24"/>
              </w:rPr>
              <w:t>评价经费</w:t>
            </w:r>
          </w:p>
          <w:p w14:paraId="283C7FC4">
            <w:pPr>
              <w:jc w:val="center"/>
              <w:rPr>
                <w:rFonts w:ascii="Times New Roman" w:hAnsi="Times New Roman" w:eastAsia="宋体" w:cs="Times New Roman"/>
                <w:b/>
                <w:sz w:val="24"/>
              </w:rPr>
            </w:pPr>
            <w:r>
              <w:rPr>
                <w:rFonts w:hint="eastAsia" w:ascii="Times New Roman" w:hAnsi="Times New Roman" w:eastAsia="宋体" w:cs="Times New Roman"/>
                <w:b/>
                <w:sz w:val="24"/>
                <w:lang w:eastAsia="zh-CN"/>
              </w:rPr>
              <w:t>（</w:t>
            </w:r>
            <w:r>
              <w:rPr>
                <w:rFonts w:ascii="Times New Roman" w:hAnsi="Times New Roman" w:eastAsia="宋体" w:cs="Times New Roman"/>
                <w:b/>
                <w:sz w:val="24"/>
              </w:rPr>
              <w:t>万元</w:t>
            </w:r>
            <w:r>
              <w:rPr>
                <w:rFonts w:hint="eastAsia" w:ascii="Times New Roman" w:hAnsi="Times New Roman" w:eastAsia="宋体" w:cs="Times New Roman"/>
                <w:b/>
                <w:sz w:val="24"/>
                <w:lang w:eastAsia="zh-CN"/>
              </w:rPr>
              <w:t>）</w:t>
            </w:r>
          </w:p>
        </w:tc>
        <w:tc>
          <w:tcPr>
            <w:tcW w:w="1507" w:type="dxa"/>
            <w:tcBorders>
              <w:top w:val="single" w:color="auto" w:sz="4" w:space="0"/>
              <w:left w:val="single" w:color="auto" w:sz="4" w:space="0"/>
              <w:bottom w:val="single" w:color="auto" w:sz="4" w:space="0"/>
              <w:right w:val="single" w:color="auto" w:sz="4" w:space="0"/>
            </w:tcBorders>
            <w:vAlign w:val="center"/>
          </w:tcPr>
          <w:p w14:paraId="33FE596C">
            <w:pPr>
              <w:jc w:val="center"/>
              <w:rPr>
                <w:rFonts w:ascii="Times New Roman" w:hAnsi="Times New Roman" w:eastAsia="宋体" w:cs="Times New Roman"/>
                <w:b/>
                <w:sz w:val="24"/>
              </w:rPr>
            </w:pPr>
            <w:r>
              <w:rPr>
                <w:rFonts w:ascii="Times New Roman" w:hAnsi="Times New Roman" w:eastAsia="宋体" w:cs="Times New Roman"/>
                <w:b/>
                <w:sz w:val="24"/>
              </w:rPr>
              <w:t>/</w:t>
            </w:r>
          </w:p>
        </w:tc>
        <w:tc>
          <w:tcPr>
            <w:tcW w:w="1486" w:type="dxa"/>
            <w:gridSpan w:val="3"/>
            <w:tcBorders>
              <w:top w:val="single" w:color="auto" w:sz="4" w:space="0"/>
              <w:left w:val="single" w:color="auto" w:sz="4" w:space="0"/>
              <w:bottom w:val="single" w:color="auto" w:sz="4" w:space="0"/>
              <w:right w:val="single" w:color="auto" w:sz="4" w:space="0"/>
            </w:tcBorders>
            <w:vAlign w:val="center"/>
          </w:tcPr>
          <w:p w14:paraId="3FB94832">
            <w:pPr>
              <w:jc w:val="center"/>
              <w:rPr>
                <w:rFonts w:ascii="Times New Roman" w:hAnsi="Times New Roman" w:eastAsia="宋体" w:cs="Times New Roman"/>
                <w:b/>
                <w:sz w:val="24"/>
              </w:rPr>
            </w:pPr>
            <w:r>
              <w:rPr>
                <w:rFonts w:ascii="Times New Roman" w:hAnsi="Times New Roman" w:eastAsia="宋体" w:cs="Times New Roman"/>
                <w:b/>
                <w:sz w:val="24"/>
              </w:rPr>
              <w:t>投产日期</w:t>
            </w:r>
          </w:p>
        </w:tc>
        <w:tc>
          <w:tcPr>
            <w:tcW w:w="4702" w:type="dxa"/>
            <w:gridSpan w:val="6"/>
            <w:tcBorders>
              <w:top w:val="single" w:color="auto" w:sz="4" w:space="0"/>
              <w:left w:val="single" w:color="auto" w:sz="4" w:space="0"/>
              <w:bottom w:val="single" w:color="auto" w:sz="4" w:space="0"/>
            </w:tcBorders>
            <w:vAlign w:val="center"/>
          </w:tcPr>
          <w:p w14:paraId="42137656">
            <w:pPr>
              <w:pStyle w:val="126"/>
              <w:adjustRightInd/>
              <w:spacing w:before="0" w:line="240" w:lineRule="auto"/>
              <w:textAlignment w:val="auto"/>
              <w:rPr>
                <w:rFonts w:ascii="Times New Roman" w:hAnsi="Times New Roman" w:eastAsia="宋体" w:cs="Times New Roman"/>
                <w:kern w:val="2"/>
              </w:rPr>
            </w:pPr>
            <w:r>
              <w:rPr>
                <w:rFonts w:ascii="Times New Roman" w:hAnsi="Times New Roman" w:eastAsia="宋体" w:cs="Times New Roman"/>
                <w:kern w:val="2"/>
              </w:rPr>
              <w:t>2021年9月</w:t>
            </w:r>
          </w:p>
        </w:tc>
      </w:tr>
      <w:tr w14:paraId="1348CE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99" w:hRule="atLeast"/>
          <w:jc w:val="center"/>
        </w:trPr>
        <w:tc>
          <w:tcPr>
            <w:tcW w:w="9174" w:type="dxa"/>
            <w:gridSpan w:val="11"/>
            <w:tcBorders>
              <w:top w:val="single" w:color="auto" w:sz="4" w:space="0"/>
              <w:bottom w:val="single" w:color="auto" w:sz="4" w:space="0"/>
            </w:tcBorders>
            <w:vAlign w:val="center"/>
          </w:tcPr>
          <w:p w14:paraId="10E86EC4">
            <w:pPr>
              <w:spacing w:before="180" w:after="180" w:line="480" w:lineRule="exact"/>
              <w:rPr>
                <w:rFonts w:ascii="Times New Roman" w:hAnsi="Times New Roman" w:eastAsia="宋体" w:cs="Times New Roman"/>
                <w:b/>
                <w:sz w:val="30"/>
                <w:szCs w:val="30"/>
              </w:rPr>
            </w:pPr>
            <w:r>
              <w:rPr>
                <w:rFonts w:ascii="Times New Roman" w:hAnsi="Times New Roman" w:eastAsia="宋体" w:cs="Times New Roman"/>
                <w:b/>
                <w:sz w:val="30"/>
                <w:szCs w:val="30"/>
              </w:rPr>
              <w:t>项目内容及规模：</w:t>
            </w:r>
          </w:p>
          <w:p w14:paraId="3FEE1977">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一、建设项目的由来</w:t>
            </w:r>
          </w:p>
          <w:p w14:paraId="2C53AFEA">
            <w:pPr>
              <w:spacing w:line="360" w:lineRule="auto"/>
              <w:ind w:firstLine="480" w:firstLineChars="200"/>
              <w:rPr>
                <w:rFonts w:ascii="Times New Roman" w:hAnsi="Times New Roman" w:eastAsia="宋体" w:cs="Times New Roman"/>
                <w:bCs/>
                <w:sz w:val="24"/>
                <w:szCs w:val="24"/>
              </w:rPr>
            </w:pPr>
            <w:r>
              <w:rPr>
                <w:rFonts w:hint="eastAsia" w:ascii="Times New Roman" w:hAnsi="Times New Roman" w:eastAsia="宋体" w:cs="Times New Roman"/>
                <w:bCs/>
                <w:sz w:val="24"/>
                <w:szCs w:val="24"/>
              </w:rPr>
              <w:t>建筑垃圾是指在从事拆迁、建设、装修、修缮等建筑行业的生活活动中产生的渣土、废旧混凝土、废旧砖石及其他废弃物的统称。按照产生源分类，建筑垃圾可分为工程渣土、装修垃圾、拆迁垃圾、工程泥浆等；按照组成成分分类，建筑垃圾可分为渣土、混凝土块、碎石块、砖瓦碎块、废砂浆、泥浆、沥青块、废塑料、废金属、废竹木等。绝大多数建筑垃圾是可以作为再生资源重新利用的，如废金属可回收重新回炉加工成各种规格的钢材；废竹木、木屑可以回收制造各种人造板材；碎砖、混凝土块等废料经破碎后可以代替砂直接在施工场所利用，用于砌筑砂浆、抹灰砂浆、</w:t>
            </w:r>
            <w:r>
              <w:rPr>
                <w:rFonts w:hint="eastAsia" w:ascii="Times New Roman" w:hAnsi="Times New Roman" w:eastAsia="宋体" w:cs="Times New Roman"/>
                <w:bCs/>
                <w:sz w:val="24"/>
                <w:szCs w:val="24"/>
                <w:lang w:eastAsia="zh-CN"/>
              </w:rPr>
              <w:t>混凝土</w:t>
            </w:r>
            <w:r>
              <w:rPr>
                <w:rFonts w:hint="eastAsia" w:ascii="Times New Roman" w:hAnsi="Times New Roman" w:eastAsia="宋体" w:cs="Times New Roman"/>
                <w:bCs/>
                <w:sz w:val="24"/>
                <w:szCs w:val="24"/>
              </w:rPr>
              <w:t>等，也可用于制作砌块墙体材料和复合材料。</w:t>
            </w:r>
          </w:p>
          <w:p w14:paraId="21907B00">
            <w:pPr>
              <w:spacing w:line="360" w:lineRule="auto"/>
              <w:ind w:firstLine="480" w:firstLineChars="200"/>
              <w:rPr>
                <w:rFonts w:ascii="Times New Roman" w:hAnsi="Times New Roman" w:eastAsia="宋体" w:cs="Times New Roman"/>
                <w:bCs/>
                <w:sz w:val="24"/>
                <w:szCs w:val="24"/>
              </w:rPr>
            </w:pPr>
            <w:r>
              <w:rPr>
                <w:rFonts w:hint="eastAsia" w:ascii="Times New Roman" w:hAnsi="Times New Roman" w:eastAsia="宋体" w:cs="Times New Roman"/>
                <w:bCs/>
                <w:sz w:val="24"/>
                <w:szCs w:val="24"/>
              </w:rPr>
              <w:t>随着经济社会快速发展，城市化进程加快，旧城改造、基础设施建设等产生的建筑垃圾日益增多，城市建设每年产填埋占地上百甚至上千亩。同时，传统的填埋处理方式，不仅占用大量土地，还污染城市环境，对地表水、深层水水质造成不同程度的影响。开展建筑垃圾综合利用，是建设资源节约型、环境友好型社会的必然要求，对减少土地占用、净化城市环境、节约资源、促进节能减排、发展建筑建材业循环经济具有重要意义。项目建立可以带来良好的社会效益和环境效益，缓解建筑垃圾给城市带来的环境和交通压力，节约大量：土地和不可再生资源，并能为乐山地区提供大量的建筑材料，有利于促进形成新的产业链，推动区域的经济发展。因此乐山市委</w:t>
            </w:r>
            <w:r>
              <w:rPr>
                <w:rFonts w:hint="eastAsia" w:ascii="Times New Roman" w:hAnsi="Times New Roman" w:eastAsia="宋体" w:cs="Times New Roman"/>
                <w:bCs/>
                <w:sz w:val="24"/>
                <w:szCs w:val="24"/>
                <w:lang w:eastAsia="zh-CN"/>
              </w:rPr>
              <w:t>、市</w:t>
            </w:r>
            <w:r>
              <w:rPr>
                <w:rFonts w:hint="eastAsia" w:ascii="Times New Roman" w:hAnsi="Times New Roman" w:eastAsia="宋体" w:cs="Times New Roman"/>
                <w:bCs/>
                <w:sz w:val="24"/>
                <w:szCs w:val="24"/>
              </w:rPr>
              <w:t>政府从建筑垃圾处理“减量化、资源化、无害化”和循环经济角度出发，把建筑垃圾的综合利用纳入政府的日常工作议程，组织发改、城建、土地、环保、环卫、规划、卫生等部门，对市区建筑垃圾处理进行了专题调研，鼓励和支持企业加强建筑垃圾综合利用的技术研发投入；鼓励和支持社会资金开办建筑垃圾综合处理厂，对建筑垃圾进行综合处理，利用建筑垃圾生产新型建筑材料；鼓励和要求建筑施工企业使用这些新型建筑材料。</w:t>
            </w:r>
          </w:p>
          <w:p w14:paraId="3ECB846B">
            <w:pPr>
              <w:spacing w:line="360" w:lineRule="auto"/>
              <w:ind w:firstLine="480" w:firstLineChars="200"/>
              <w:rPr>
                <w:rFonts w:ascii="Times New Roman" w:hAnsi="Times New Roman" w:eastAsia="宋体" w:cs="Times New Roman"/>
                <w:bCs/>
                <w:sz w:val="24"/>
                <w:szCs w:val="24"/>
              </w:rPr>
            </w:pPr>
            <w:r>
              <w:rPr>
                <w:rFonts w:hint="eastAsia" w:ascii="Times New Roman" w:hAnsi="Times New Roman" w:eastAsia="宋体" w:cs="Times New Roman"/>
                <w:bCs/>
                <w:sz w:val="24"/>
                <w:szCs w:val="24"/>
              </w:rPr>
              <w:t>峨边鸿泰再生资源有限责任公司</w:t>
            </w:r>
            <w:r>
              <w:rPr>
                <w:rFonts w:ascii="Times New Roman" w:hAnsi="Times New Roman" w:eastAsia="宋体" w:cs="Times New Roman"/>
                <w:bCs/>
                <w:sz w:val="24"/>
                <w:szCs w:val="24"/>
              </w:rPr>
              <w:t>，成立于</w:t>
            </w:r>
            <w:r>
              <w:rPr>
                <w:rFonts w:hint="eastAsia" w:ascii="Times New Roman" w:hAnsi="Times New Roman" w:eastAsia="宋体" w:cs="Times New Roman"/>
                <w:bCs/>
                <w:sz w:val="24"/>
                <w:szCs w:val="24"/>
              </w:rPr>
              <w:t>20</w:t>
            </w:r>
            <w:r>
              <w:rPr>
                <w:rFonts w:ascii="Times New Roman" w:hAnsi="Times New Roman" w:eastAsia="宋体" w:cs="Times New Roman"/>
                <w:bCs/>
                <w:sz w:val="24"/>
                <w:szCs w:val="24"/>
              </w:rPr>
              <w:t>20年1月，</w:t>
            </w:r>
            <w:r>
              <w:rPr>
                <w:rFonts w:hint="eastAsia" w:ascii="Times New Roman" w:hAnsi="Times New Roman" w:eastAsia="宋体" w:cs="Times New Roman"/>
                <w:bCs/>
                <w:sz w:val="24"/>
                <w:szCs w:val="24"/>
              </w:rPr>
              <w:t>注册地位于四川省乐山市峨边彝族自治县卷木村4组，法定代表人为张剑。经营范围包括非金属废料和碎屑加工处理；建筑垃圾清运；建筑垃圾综合利用；建筑废弃物再生技术研发；建筑废弃物无害化利用技术设备制造；建筑废弃物生产道路结构层材料技术设备制造；建筑废弃物生产人行道透水材料技术设备制造；建筑废弃物生产市政设施复合材料技术设备制造；建筑废弃物混杂料再生利用装备制造；废旧金属回收与批发服务；有色金属废料与碎屑加工处理；市政道路工程建筑；公路工程建筑；市政设施管理。（依法须经批准的项目，经相关部门批准后方可开展经营活动）项目在已退役中铁十二局搅拌站加工场地上新建建筑垃圾资源化回收项目，项目设计年回收加工建筑垃圾20万吨，主要产品为：建筑颗粒</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其中0.5cm颗粒12万吨，2</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4cm颗粒8万吨</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，项目总建筑面积5000平方米</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5×5×3料仓10个、机械厂房1500平方米，环保配套设施500平方米其他辅助设施2250平方米</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，主要设备：1142重型给料机1台、1060×750鄂破机1台、141制砂机1台、2470振动筛1台、输送机1台、30装载机1台、降尘喷雾机4台，厂区采用封闭作业，全面降尘，粉尘不出车间。</w:t>
            </w:r>
          </w:p>
          <w:p w14:paraId="20A3D969">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2020年2月25日，</w:t>
            </w:r>
            <w:r>
              <w:rPr>
                <w:rFonts w:hint="eastAsia" w:ascii="Times New Roman" w:hAnsi="Times New Roman" w:eastAsia="宋体" w:cs="Times New Roman"/>
                <w:bCs/>
                <w:sz w:val="24"/>
                <w:szCs w:val="24"/>
              </w:rPr>
              <w:t>峨边彝族自治县发展和改革局</w:t>
            </w:r>
            <w:r>
              <w:rPr>
                <w:rFonts w:ascii="Times New Roman" w:hAnsi="Times New Roman" w:eastAsia="宋体" w:cs="Times New Roman"/>
                <w:bCs/>
                <w:sz w:val="24"/>
                <w:szCs w:val="24"/>
              </w:rPr>
              <w:t>对本项目进行了立项</w:t>
            </w:r>
            <w:r>
              <w:rPr>
                <w:rFonts w:ascii="Times New Roman" w:hAnsi="Times New Roman" w:eastAsia="宋体" w:cs="Times New Roman"/>
                <w:sz w:val="24"/>
                <w:szCs w:val="24"/>
              </w:rPr>
              <w:t>《四川省</w:t>
            </w:r>
            <w:r>
              <w:rPr>
                <w:rFonts w:hint="eastAsia" w:ascii="Times New Roman" w:hAnsi="Times New Roman" w:eastAsia="宋体" w:cs="Times New Roman"/>
                <w:sz w:val="24"/>
                <w:szCs w:val="24"/>
              </w:rPr>
              <w:t>固定资产</w:t>
            </w:r>
            <w:r>
              <w:rPr>
                <w:rFonts w:ascii="Times New Roman" w:hAnsi="Times New Roman" w:eastAsia="宋体" w:cs="Times New Roman"/>
                <w:sz w:val="24"/>
                <w:szCs w:val="24"/>
              </w:rPr>
              <w:t>投资项目备案表》，备案号：</w:t>
            </w:r>
            <w:r>
              <w:rPr>
                <w:rFonts w:hint="eastAsia" w:ascii="Times New Roman" w:hAnsi="Times New Roman" w:eastAsia="宋体" w:cs="Times New Roman"/>
                <w:sz w:val="24"/>
                <w:szCs w:val="24"/>
              </w:rPr>
              <w:t>川投资备【2020-511132-</w:t>
            </w:r>
            <w:r>
              <w:rPr>
                <w:rFonts w:ascii="Times New Roman" w:hAnsi="Times New Roman" w:eastAsia="宋体" w:cs="Times New Roman"/>
                <w:sz w:val="24"/>
                <w:szCs w:val="24"/>
              </w:rPr>
              <w:t>4</w:t>
            </w:r>
            <w:r>
              <w:rPr>
                <w:rFonts w:hint="eastAsia" w:ascii="Times New Roman" w:hAnsi="Times New Roman" w:eastAsia="宋体" w:cs="Times New Roman"/>
                <w:sz w:val="24"/>
                <w:szCs w:val="24"/>
              </w:rPr>
              <w:t>2-03-</w:t>
            </w:r>
            <w:r>
              <w:rPr>
                <w:rFonts w:ascii="Times New Roman" w:hAnsi="Times New Roman" w:eastAsia="宋体" w:cs="Times New Roman"/>
                <w:sz w:val="24"/>
                <w:szCs w:val="24"/>
              </w:rPr>
              <w:t>422053</w:t>
            </w:r>
            <w:r>
              <w:rPr>
                <w:rFonts w:hint="eastAsia" w:ascii="Times New Roman" w:hAnsi="Times New Roman" w:eastAsia="宋体" w:cs="Times New Roman"/>
                <w:sz w:val="24"/>
                <w:szCs w:val="24"/>
              </w:rPr>
              <w:t>】</w:t>
            </w:r>
            <w:r>
              <w:rPr>
                <w:rFonts w:ascii="Times New Roman" w:hAnsi="Times New Roman" w:eastAsia="宋体" w:cs="Times New Roman"/>
                <w:sz w:val="24"/>
                <w:szCs w:val="24"/>
              </w:rPr>
              <w:t>FG</w:t>
            </w:r>
            <w:r>
              <w:rPr>
                <w:rFonts w:hint="eastAsia" w:ascii="Times New Roman" w:hAnsi="Times New Roman" w:eastAsia="宋体" w:cs="Times New Roman"/>
                <w:sz w:val="24"/>
                <w:szCs w:val="24"/>
              </w:rPr>
              <w:t>QB-00</w:t>
            </w:r>
            <w:r>
              <w:rPr>
                <w:rFonts w:ascii="Times New Roman" w:hAnsi="Times New Roman" w:eastAsia="宋体" w:cs="Times New Roman"/>
                <w:sz w:val="24"/>
                <w:szCs w:val="24"/>
              </w:rPr>
              <w:t>03</w:t>
            </w:r>
            <w:r>
              <w:rPr>
                <w:rFonts w:hint="eastAsia" w:ascii="Times New Roman" w:hAnsi="Times New Roman" w:eastAsia="宋体" w:cs="Times New Roman"/>
                <w:sz w:val="24"/>
                <w:szCs w:val="24"/>
              </w:rPr>
              <w:t>号</w:t>
            </w:r>
            <w:r>
              <w:rPr>
                <w:rFonts w:ascii="Times New Roman" w:hAnsi="Times New Roman" w:eastAsia="宋体" w:cs="Times New Roman"/>
                <w:sz w:val="24"/>
                <w:szCs w:val="24"/>
              </w:rPr>
              <w:t>，同意本项目建设。</w:t>
            </w:r>
          </w:p>
          <w:p w14:paraId="48D85122">
            <w:pPr>
              <w:spacing w:line="360" w:lineRule="auto"/>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根据《中华人民共和国环境保护法</w:t>
            </w:r>
            <w:r>
              <w:rPr>
                <w:rFonts w:hint="eastAsia" w:ascii="Times New Roman" w:hAnsi="Times New Roman" w:eastAsia="宋体" w:cs="Times New Roman"/>
                <w:bCs/>
                <w:sz w:val="24"/>
                <w:szCs w:val="24"/>
                <w:lang w:eastAsia="zh-CN"/>
              </w:rPr>
              <w:t>》《</w:t>
            </w:r>
            <w:r>
              <w:rPr>
                <w:rFonts w:ascii="Times New Roman" w:hAnsi="Times New Roman" w:eastAsia="宋体" w:cs="Times New Roman"/>
                <w:bCs/>
                <w:sz w:val="24"/>
                <w:szCs w:val="24"/>
              </w:rPr>
              <w:t>关于修改</w:t>
            </w:r>
            <w:r>
              <w:rPr>
                <w:rFonts w:hint="eastAsia" w:ascii="Times New Roman" w:hAnsi="Times New Roman" w:eastAsia="宋体" w:cs="Times New Roman"/>
                <w:bCs/>
                <w:sz w:val="24"/>
                <w:szCs w:val="24"/>
                <w:lang w:eastAsia="zh-CN"/>
              </w:rPr>
              <w:t>〈</w:t>
            </w:r>
            <w:r>
              <w:rPr>
                <w:rFonts w:ascii="Times New Roman" w:hAnsi="Times New Roman" w:eastAsia="宋体" w:cs="Times New Roman"/>
                <w:bCs/>
                <w:sz w:val="24"/>
                <w:szCs w:val="24"/>
              </w:rPr>
              <w:t>建设项目环境保护管理条例</w:t>
            </w:r>
            <w:r>
              <w:rPr>
                <w:rFonts w:hint="eastAsia" w:ascii="Times New Roman" w:hAnsi="Times New Roman" w:eastAsia="宋体" w:cs="Times New Roman"/>
                <w:bCs/>
                <w:sz w:val="24"/>
                <w:szCs w:val="24"/>
                <w:lang w:eastAsia="zh-CN"/>
              </w:rPr>
              <w:t>〉</w:t>
            </w:r>
            <w:r>
              <w:rPr>
                <w:rFonts w:ascii="Times New Roman" w:hAnsi="Times New Roman" w:eastAsia="宋体" w:cs="Times New Roman"/>
                <w:bCs/>
                <w:sz w:val="24"/>
                <w:szCs w:val="24"/>
              </w:rPr>
              <w:t>的决定》（中华人民共和国国务院令 第682号）、《中华人民共和国环境影响评价法》及国务院253号令的要求，本项目应进行环境影响评价工作，故于2020年7月，建设单位委托我单位承担</w:t>
            </w:r>
            <w:r>
              <w:rPr>
                <w:rFonts w:hint="eastAsia" w:ascii="Times New Roman" w:hAnsi="Times New Roman" w:eastAsia="宋体" w:cs="Times New Roman"/>
                <w:bCs/>
                <w:sz w:val="24"/>
                <w:szCs w:val="24"/>
              </w:rPr>
              <w:t>“</w:t>
            </w:r>
            <w:r>
              <w:rPr>
                <w:rFonts w:hint="eastAsia" w:ascii="Times New Roman" w:hAnsi="Times New Roman" w:eastAsia="宋体" w:cs="Times New Roman"/>
                <w:bCs/>
                <w:sz w:val="24"/>
                <w:szCs w:val="24"/>
                <w:lang w:eastAsia="zh-CN"/>
              </w:rPr>
              <w:t>峨边彝族自治县</w:t>
            </w:r>
            <w:r>
              <w:rPr>
                <w:rFonts w:hint="eastAsia" w:ascii="Times New Roman" w:hAnsi="Times New Roman" w:eastAsia="宋体" w:cs="Times New Roman"/>
                <w:bCs/>
                <w:sz w:val="24"/>
                <w:szCs w:val="24"/>
              </w:rPr>
              <w:t>建筑垃圾资源化回收利用项目”</w:t>
            </w:r>
            <w:r>
              <w:rPr>
                <w:rFonts w:ascii="Times New Roman" w:hAnsi="Times New Roman" w:eastAsia="宋体" w:cs="Times New Roman"/>
                <w:bCs/>
                <w:sz w:val="24"/>
                <w:szCs w:val="24"/>
              </w:rPr>
              <w:t>环保手续。</w:t>
            </w:r>
          </w:p>
          <w:p w14:paraId="2DAD63D6">
            <w:pPr>
              <w:spacing w:line="360" w:lineRule="auto"/>
              <w:ind w:firstLine="504" w:firstLineChars="210"/>
              <w:rPr>
                <w:rFonts w:ascii="Times New Roman" w:hAnsi="Times New Roman" w:eastAsia="宋体" w:cs="Times New Roman"/>
                <w:bCs/>
                <w:sz w:val="24"/>
                <w:u w:val="single"/>
              </w:rPr>
            </w:pPr>
            <w:r>
              <w:rPr>
                <w:rFonts w:ascii="Times New Roman" w:hAnsi="Times New Roman" w:eastAsia="宋体" w:cs="Times New Roman"/>
                <w:bCs/>
                <w:sz w:val="24"/>
                <w:szCs w:val="24"/>
              </w:rPr>
              <w:t>接受委托后，我单位根据相关法律法规并查阅《建设项目环境影响评价分类管理名录》（部令第44号及部令第1号），本项目属于“</w:t>
            </w:r>
            <w:r>
              <w:rPr>
                <w:rFonts w:hint="eastAsia" w:ascii="Times New Roman" w:hAnsi="Times New Roman" w:eastAsia="宋体" w:cs="Times New Roman"/>
                <w:b/>
                <w:bCs/>
                <w:sz w:val="24"/>
                <w:szCs w:val="24"/>
              </w:rPr>
              <w:t>三十、废弃资源综合利用</w:t>
            </w:r>
            <w:r>
              <w:rPr>
                <w:rFonts w:ascii="Times New Roman" w:hAnsi="Times New Roman" w:eastAsia="宋体" w:cs="Times New Roman"/>
                <w:bCs/>
                <w:sz w:val="24"/>
                <w:szCs w:val="24"/>
              </w:rPr>
              <w:t>”中的“</w:t>
            </w:r>
            <w:r>
              <w:rPr>
                <w:rFonts w:ascii="Times New Roman" w:hAnsi="Times New Roman" w:eastAsia="宋体" w:cs="Times New Roman"/>
                <w:b/>
                <w:bCs/>
                <w:sz w:val="24"/>
                <w:szCs w:val="24"/>
              </w:rPr>
              <w:t xml:space="preserve">86 </w:t>
            </w:r>
            <w:r>
              <w:rPr>
                <w:rFonts w:hint="eastAsia" w:ascii="Times New Roman" w:hAnsi="Times New Roman" w:eastAsia="宋体" w:cs="Times New Roman"/>
                <w:b/>
                <w:bCs/>
                <w:sz w:val="24"/>
                <w:szCs w:val="24"/>
              </w:rPr>
              <w:t>废旧资源（含生物质）加工、再生利用 其他</w:t>
            </w:r>
            <w:r>
              <w:rPr>
                <w:rFonts w:ascii="Times New Roman" w:hAnsi="Times New Roman" w:eastAsia="宋体" w:cs="Times New Roman"/>
                <w:bCs/>
                <w:sz w:val="24"/>
                <w:szCs w:val="24"/>
              </w:rPr>
              <w:t>”，</w:t>
            </w:r>
            <w:r>
              <w:rPr>
                <w:rFonts w:ascii="Times New Roman" w:hAnsi="Times New Roman" w:eastAsia="宋体" w:cs="Times New Roman"/>
                <w:bCs/>
                <w:sz w:val="24"/>
              </w:rPr>
              <w:t>均应编制环境影响报告表。</w:t>
            </w:r>
            <w:r>
              <w:rPr>
                <w:rFonts w:ascii="Times New Roman" w:hAnsi="Times New Roman" w:eastAsia="宋体" w:cs="Times New Roman"/>
                <w:bCs/>
                <w:sz w:val="24"/>
                <w:szCs w:val="24"/>
              </w:rPr>
              <w:t>通过现场勘察、收集资料等工作，结合本项目的特点，按照国家有关技术规范要求，编制完成了《</w:t>
            </w:r>
            <w:r>
              <w:rPr>
                <w:rFonts w:hint="eastAsia" w:ascii="Times New Roman" w:hAnsi="Times New Roman" w:eastAsia="宋体" w:cs="Times New Roman"/>
                <w:bCs/>
                <w:sz w:val="24"/>
                <w:szCs w:val="24"/>
                <w:lang w:eastAsia="zh-CN"/>
              </w:rPr>
              <w:t>峨边彝族自治县</w:t>
            </w:r>
            <w:r>
              <w:rPr>
                <w:rFonts w:hint="eastAsia" w:ascii="Times New Roman" w:hAnsi="Times New Roman" w:eastAsia="宋体" w:cs="Times New Roman"/>
                <w:bCs/>
                <w:sz w:val="24"/>
                <w:szCs w:val="24"/>
              </w:rPr>
              <w:t>建筑垃圾资源化回收利用项目</w:t>
            </w:r>
            <w:r>
              <w:rPr>
                <w:rFonts w:ascii="Times New Roman" w:hAnsi="Times New Roman" w:eastAsia="宋体" w:cs="Times New Roman"/>
                <w:bCs/>
                <w:sz w:val="24"/>
                <w:szCs w:val="24"/>
              </w:rPr>
              <w:t>》，现呈报审查，待审批后作为开展项目建设环保设计及主管部门环境管理工作的依据。</w:t>
            </w:r>
          </w:p>
          <w:p w14:paraId="6FDBE474">
            <w:pPr>
              <w:spacing w:before="120" w:after="120" w:line="360" w:lineRule="auto"/>
              <w:rPr>
                <w:rFonts w:ascii="Times New Roman" w:hAnsi="Times New Roman" w:eastAsia="宋体" w:cs="Times New Roman"/>
                <w:b/>
                <w:sz w:val="24"/>
                <w:szCs w:val="24"/>
              </w:rPr>
            </w:pPr>
            <w:r>
              <w:rPr>
                <w:rFonts w:ascii="Times New Roman" w:hAnsi="Times New Roman" w:eastAsia="宋体" w:cs="Times New Roman"/>
                <w:b/>
                <w:sz w:val="24"/>
                <w:szCs w:val="24"/>
              </w:rPr>
              <w:t>二、分析判定相关情况分析</w:t>
            </w:r>
          </w:p>
          <w:p w14:paraId="61D81C91">
            <w:pPr>
              <w:spacing w:before="120" w:after="120"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（1）产业政策符合性分析</w:t>
            </w:r>
          </w:p>
          <w:p w14:paraId="3ACCCC34">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根据国民经济行业分类与代码（GB/T4754－2017），本项目属于</w:t>
            </w:r>
            <w:r>
              <w:rPr>
                <w:rFonts w:hint="eastAsia" w:ascii="Times New Roman" w:hAnsi="Times New Roman" w:eastAsia="宋体" w:cs="Times New Roman"/>
                <w:b/>
                <w:bCs/>
                <w:sz w:val="24"/>
                <w:szCs w:val="24"/>
              </w:rPr>
              <w:t>“C4220 非金属废料和碎屑加工处理</w:t>
            </w:r>
            <w:r>
              <w:rPr>
                <w:rFonts w:hint="eastAsia" w:ascii="Times New Roman" w:hAnsi="Times New Roman" w:eastAsia="宋体" w:cs="Times New Roman"/>
                <w:sz w:val="24"/>
                <w:szCs w:val="24"/>
              </w:rPr>
              <w:t>”</w:t>
            </w:r>
            <w:r>
              <w:rPr>
                <w:rFonts w:ascii="Times New Roman" w:hAnsi="Times New Roman" w:eastAsia="宋体" w:cs="Times New Roman"/>
                <w:kern w:val="44"/>
                <w:sz w:val="24"/>
              </w:rPr>
              <w:t>，中华人民共和国国家发展和改革委员会令第29号《产业结构调整指导目录（2019年本）</w:t>
            </w:r>
            <w:r>
              <w:rPr>
                <w:rFonts w:ascii="Times New Roman" w:hAnsi="Times New Roman" w:eastAsia="宋体" w:cs="Times New Roman"/>
                <w:sz w:val="24"/>
                <w:szCs w:val="24"/>
              </w:rPr>
              <w:t>》，本项目</w:t>
            </w:r>
            <w:r>
              <w:rPr>
                <w:rFonts w:hint="eastAsia" w:ascii="Times New Roman" w:hAnsi="Times New Roman" w:eastAsia="宋体" w:cs="Times New Roman"/>
                <w:sz w:val="24"/>
                <w:szCs w:val="24"/>
              </w:rPr>
              <w:t>为建筑垃圾再生利用项目，</w:t>
            </w:r>
            <w:r>
              <w:rPr>
                <w:rFonts w:ascii="Times New Roman" w:hAnsi="Times New Roman" w:eastAsia="宋体" w:cs="Times New Roman"/>
                <w:sz w:val="24"/>
                <w:szCs w:val="24"/>
              </w:rPr>
              <w:t>属于</w:t>
            </w:r>
            <w:r>
              <w:rPr>
                <w:rFonts w:hint="eastAsia" w:ascii="Times New Roman" w:hAnsi="Times New Roman" w:eastAsia="宋体" w:cs="Times New Roman"/>
                <w:sz w:val="24"/>
                <w:szCs w:val="24"/>
              </w:rPr>
              <w:t>“第一类 鼓励类”中的“四十三、环境保护与资源节约综合利用 26、再生资源、建筑垃圾资源化回收利用工程和产业化”，</w:t>
            </w:r>
            <w:r>
              <w:rPr>
                <w:rFonts w:ascii="Times New Roman" w:hAnsi="Times New Roman" w:eastAsia="宋体" w:cs="Times New Roman"/>
                <w:sz w:val="24"/>
                <w:szCs w:val="24"/>
              </w:rPr>
              <w:t>且符合国家有关</w:t>
            </w:r>
            <w:r>
              <w:rPr>
                <w:rFonts w:hint="eastAsia" w:ascii="Times New Roman" w:hAnsi="Times New Roman" w:eastAsia="宋体" w:cs="Times New Roman"/>
                <w:sz w:val="24"/>
                <w:szCs w:val="24"/>
                <w:lang w:eastAsia="zh-CN"/>
              </w:rPr>
              <w:t>法律法规</w:t>
            </w:r>
            <w:r>
              <w:rPr>
                <w:rFonts w:ascii="Times New Roman" w:hAnsi="Times New Roman" w:eastAsia="宋体" w:cs="Times New Roman"/>
                <w:sz w:val="24"/>
                <w:szCs w:val="24"/>
              </w:rPr>
              <w:t>和政策规定，为</w:t>
            </w:r>
            <w:r>
              <w:rPr>
                <w:rFonts w:hint="eastAsia" w:ascii="Times New Roman" w:hAnsi="Times New Roman" w:eastAsia="宋体" w:cs="Times New Roman"/>
                <w:sz w:val="24"/>
                <w:szCs w:val="24"/>
              </w:rPr>
              <w:t>鼓励</w:t>
            </w:r>
            <w:r>
              <w:rPr>
                <w:rFonts w:ascii="Times New Roman" w:hAnsi="Times New Roman" w:eastAsia="宋体" w:cs="Times New Roman"/>
                <w:sz w:val="24"/>
                <w:szCs w:val="24"/>
              </w:rPr>
              <w:t>类</w:t>
            </w:r>
            <w:r>
              <w:rPr>
                <w:rFonts w:hint="eastAsia" w:ascii="Times New Roman" w:hAnsi="Times New Roman" w:eastAsia="宋体" w:cs="Times New Roman"/>
                <w:sz w:val="24"/>
                <w:szCs w:val="24"/>
              </w:rPr>
              <w:t>。</w:t>
            </w:r>
          </w:p>
          <w:p w14:paraId="5DC2C573">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因此，本项目属于</w:t>
            </w:r>
            <w:r>
              <w:rPr>
                <w:rFonts w:hint="eastAsia" w:ascii="Times New Roman" w:hAnsi="Times New Roman" w:eastAsia="宋体" w:cs="Times New Roman"/>
                <w:sz w:val="24"/>
                <w:szCs w:val="24"/>
              </w:rPr>
              <w:t>鼓励</w:t>
            </w:r>
            <w:r>
              <w:rPr>
                <w:rFonts w:ascii="Times New Roman" w:hAnsi="Times New Roman" w:eastAsia="宋体" w:cs="Times New Roman"/>
                <w:sz w:val="24"/>
                <w:szCs w:val="24"/>
              </w:rPr>
              <w:t>类，符合相关法律法规和相关政策规定。</w:t>
            </w:r>
          </w:p>
          <w:p w14:paraId="141DAF76">
            <w:pPr>
              <w:widowControl/>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szCs w:val="24"/>
              </w:rPr>
              <w:t>同时，</w:t>
            </w:r>
            <w:r>
              <w:rPr>
                <w:rFonts w:hint="eastAsia" w:ascii="Times New Roman" w:hAnsi="Times New Roman" w:eastAsia="宋体" w:cs="Times New Roman"/>
                <w:bCs/>
                <w:sz w:val="24"/>
                <w:szCs w:val="24"/>
              </w:rPr>
              <w:t>峨边彝族自治县发展和改革局</w:t>
            </w:r>
            <w:r>
              <w:rPr>
                <w:rFonts w:ascii="Times New Roman" w:hAnsi="Times New Roman" w:eastAsia="宋体" w:cs="Times New Roman"/>
                <w:sz w:val="24"/>
              </w:rPr>
              <w:t>以</w:t>
            </w:r>
            <w:r>
              <w:rPr>
                <w:rFonts w:ascii="Times New Roman" w:hAnsi="Times New Roman" w:eastAsia="宋体" w:cs="Times New Roman"/>
                <w:sz w:val="24"/>
                <w:szCs w:val="24"/>
              </w:rPr>
              <w:t>《四川省</w:t>
            </w:r>
            <w:r>
              <w:rPr>
                <w:rFonts w:hint="eastAsia" w:ascii="Times New Roman" w:hAnsi="Times New Roman" w:eastAsia="宋体" w:cs="Times New Roman"/>
                <w:sz w:val="24"/>
                <w:szCs w:val="24"/>
              </w:rPr>
              <w:t>固定资产</w:t>
            </w:r>
            <w:r>
              <w:rPr>
                <w:rFonts w:ascii="Times New Roman" w:hAnsi="Times New Roman" w:eastAsia="宋体" w:cs="Times New Roman"/>
                <w:sz w:val="24"/>
                <w:szCs w:val="24"/>
              </w:rPr>
              <w:t>投资项目备案表》</w:t>
            </w:r>
            <w:r>
              <w:rPr>
                <w:rFonts w:ascii="Times New Roman" w:hAnsi="Times New Roman" w:eastAsia="宋体" w:cs="Times New Roman"/>
                <w:sz w:val="24"/>
              </w:rPr>
              <w:t>（</w:t>
            </w:r>
            <w:r>
              <w:rPr>
                <w:rFonts w:hint="eastAsia" w:ascii="Times New Roman" w:hAnsi="Times New Roman" w:eastAsia="宋体" w:cs="Times New Roman"/>
                <w:sz w:val="24"/>
                <w:szCs w:val="24"/>
              </w:rPr>
              <w:t>川投资备【2020-511132-42-03-422053】FGQB-0003号</w:t>
            </w:r>
            <w:r>
              <w:rPr>
                <w:rFonts w:ascii="Times New Roman" w:hAnsi="Times New Roman" w:eastAsia="宋体" w:cs="Times New Roman"/>
                <w:sz w:val="24"/>
              </w:rPr>
              <w:t>）予以备案，同意实施。</w:t>
            </w:r>
          </w:p>
          <w:p w14:paraId="51E0FDCF">
            <w:pPr>
              <w:widowControl/>
              <w:spacing w:line="480" w:lineRule="exact"/>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综上所述，本项目的建设符合国家现行的产业政策。</w:t>
            </w:r>
          </w:p>
          <w:p w14:paraId="3F75D407">
            <w:pPr>
              <w:spacing w:before="120" w:after="120" w:line="480" w:lineRule="exact"/>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（2）“三线一单”符合性分析</w:t>
            </w:r>
          </w:p>
          <w:p w14:paraId="2653E49D">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为更好</w:t>
            </w:r>
            <w:r>
              <w:rPr>
                <w:rFonts w:hint="eastAsia" w:ascii="Times New Roman" w:hAnsi="Times New Roman" w:eastAsia="宋体" w:cs="Times New Roman"/>
                <w:sz w:val="24"/>
                <w:szCs w:val="24"/>
                <w:lang w:eastAsia="zh-CN"/>
              </w:rPr>
              <w:t>地</w:t>
            </w:r>
            <w:r>
              <w:rPr>
                <w:rFonts w:ascii="Times New Roman" w:hAnsi="Times New Roman" w:eastAsia="宋体" w:cs="Times New Roman"/>
                <w:sz w:val="24"/>
                <w:szCs w:val="24"/>
              </w:rPr>
              <w:t>建立项目环评审批与规划环评、现有项目环境管理、区域环境质量联动机制，更好地发挥环评制度从源头防范环境污染和生态破坏的作用，加快推进改善环境质量，环保部于 2016 年 10 月 27 日印发了《关于以改善环境质量为核心加强环境影响评价管理的通知》（环环评【2016】150 号），该《通知》明确环境影响评价需要落实“生态保护红线、环境质量底线、资源利用上限和环境准入负面清单”（简称“三线一单”）约束。本项目与《通知》的符合性分析见下表：</w:t>
            </w:r>
          </w:p>
          <w:p w14:paraId="7B762D3A">
            <w:pPr>
              <w:widowControl/>
              <w:adjustRightInd w:val="0"/>
              <w:snapToGrid w:val="0"/>
              <w:spacing w:line="480" w:lineRule="exact"/>
              <w:ind w:right="92" w:rightChars="44"/>
              <w:jc w:val="center"/>
              <w:rPr>
                <w:rFonts w:ascii="黑体" w:hAnsi="黑体" w:eastAsia="黑体" w:cs="Times New Roman"/>
                <w:snapToGrid w:val="0"/>
                <w:kern w:val="0"/>
                <w:sz w:val="24"/>
                <w:szCs w:val="24"/>
              </w:rPr>
            </w:pPr>
            <w:r>
              <w:rPr>
                <w:rFonts w:ascii="黑体" w:hAnsi="黑体" w:eastAsia="黑体" w:cs="Times New Roman"/>
                <w:snapToGrid w:val="0"/>
                <w:kern w:val="0"/>
                <w:sz w:val="24"/>
                <w:szCs w:val="24"/>
              </w:rPr>
              <w:t>表1-1  项目“三线一单”符合性分析表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118"/>
              <w:gridCol w:w="6063"/>
              <w:gridCol w:w="747"/>
            </w:tblGrid>
            <w:tr w14:paraId="6308A9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22" w:type="dxa"/>
                  <w:vAlign w:val="center"/>
                </w:tcPr>
                <w:p w14:paraId="7FB2143C">
                  <w:pPr>
                    <w:widowControl/>
                    <w:jc w:val="center"/>
                    <w:rPr>
                      <w:rFonts w:ascii="Times New Roman" w:hAnsi="Times New Roman" w:eastAsia="宋体" w:cs="Times New Roman"/>
                      <w:b/>
                      <w:snapToGrid w:val="0"/>
                      <w:kern w:val="0"/>
                      <w:szCs w:val="21"/>
                    </w:rPr>
                  </w:pPr>
                  <w:r>
                    <w:rPr>
                      <w:rFonts w:ascii="Times New Roman" w:hAnsi="Times New Roman" w:eastAsia="宋体" w:cs="Times New Roman"/>
                      <w:b/>
                      <w:snapToGrid w:val="0"/>
                      <w:kern w:val="0"/>
                      <w:szCs w:val="21"/>
                    </w:rPr>
                    <w:t>“三线一单”</w:t>
                  </w:r>
                </w:p>
              </w:tc>
              <w:tc>
                <w:tcPr>
                  <w:tcW w:w="6073" w:type="dxa"/>
                  <w:vAlign w:val="center"/>
                </w:tcPr>
                <w:p w14:paraId="6DBF3FE6">
                  <w:pPr>
                    <w:widowControl/>
                    <w:jc w:val="center"/>
                    <w:rPr>
                      <w:rFonts w:ascii="Times New Roman" w:hAnsi="Times New Roman" w:eastAsia="宋体" w:cs="Times New Roman"/>
                      <w:b/>
                      <w:snapToGrid w:val="0"/>
                      <w:kern w:val="0"/>
                      <w:szCs w:val="21"/>
                    </w:rPr>
                  </w:pPr>
                  <w:r>
                    <w:rPr>
                      <w:rFonts w:ascii="Times New Roman" w:hAnsi="Times New Roman" w:eastAsia="宋体" w:cs="Times New Roman"/>
                      <w:b/>
                      <w:snapToGrid w:val="0"/>
                      <w:kern w:val="0"/>
                      <w:szCs w:val="21"/>
                    </w:rPr>
                    <w:t>符合性</w:t>
                  </w:r>
                </w:p>
              </w:tc>
              <w:tc>
                <w:tcPr>
                  <w:tcW w:w="748" w:type="dxa"/>
                  <w:vAlign w:val="center"/>
                </w:tcPr>
                <w:p w14:paraId="5D034F5E">
                  <w:pPr>
                    <w:widowControl/>
                    <w:jc w:val="center"/>
                    <w:rPr>
                      <w:rFonts w:ascii="Times New Roman" w:hAnsi="Times New Roman" w:eastAsia="宋体" w:cs="Times New Roman"/>
                      <w:b/>
                      <w:snapToGrid w:val="0"/>
                      <w:kern w:val="0"/>
                      <w:szCs w:val="21"/>
                    </w:rPr>
                  </w:pPr>
                  <w:r>
                    <w:rPr>
                      <w:rFonts w:ascii="Times New Roman" w:hAnsi="Times New Roman" w:eastAsia="宋体" w:cs="Times New Roman"/>
                      <w:b/>
                      <w:snapToGrid w:val="0"/>
                      <w:kern w:val="0"/>
                      <w:szCs w:val="21"/>
                    </w:rPr>
                    <w:t>备注</w:t>
                  </w:r>
                </w:p>
              </w:tc>
            </w:tr>
            <w:tr w14:paraId="6BE290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22" w:type="dxa"/>
                  <w:vAlign w:val="center"/>
                </w:tcPr>
                <w:p w14:paraId="5E6A09AF">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生态保护红线</w:t>
                  </w:r>
                </w:p>
              </w:tc>
              <w:tc>
                <w:tcPr>
                  <w:tcW w:w="6073" w:type="dxa"/>
                  <w:vAlign w:val="center"/>
                </w:tcPr>
                <w:p w14:paraId="25025C76">
                  <w:pPr>
                    <w:widowControl/>
                    <w:rPr>
                      <w:rFonts w:ascii="Times New Roman" w:hAnsi="Times New Roman" w:eastAsia="宋体" w:cs="Times New Roman"/>
                      <w:snapToGrid w:val="0"/>
                      <w:kern w:val="0"/>
                      <w:szCs w:val="21"/>
                    </w:rPr>
                  </w:pPr>
                  <w:r>
                    <w:rPr>
                      <w:rFonts w:hint="eastAsia" w:ascii="Times New Roman" w:hAnsi="Times New Roman" w:eastAsia="宋体" w:cs="Times New Roman"/>
                      <w:snapToGrid w:val="0"/>
                      <w:kern w:val="0"/>
                      <w:szCs w:val="21"/>
                    </w:rPr>
                    <w:t>峨边彝族自治县新林镇卷木村4组、7组（E103.2309°，N29.1976°）</w:t>
                  </w:r>
                  <w:r>
                    <w:rPr>
                      <w:rFonts w:ascii="Times New Roman" w:hAnsi="Times New Roman" w:eastAsia="宋体" w:cs="Times New Roman"/>
                      <w:snapToGrid w:val="0"/>
                      <w:kern w:val="0"/>
                      <w:szCs w:val="21"/>
                    </w:rPr>
                    <w:t>，详见附图1，系利用现有场地</w:t>
                  </w:r>
                  <w:r>
                    <w:rPr>
                      <w:rFonts w:hint="eastAsia" w:ascii="Times New Roman" w:hAnsi="Times New Roman" w:eastAsia="宋体" w:cs="Times New Roman"/>
                      <w:snapToGrid w:val="0"/>
                      <w:kern w:val="0"/>
                      <w:szCs w:val="21"/>
                      <w:lang w:eastAsia="zh-CN"/>
                    </w:rPr>
                    <w:t>实施</w:t>
                  </w:r>
                  <w:r>
                    <w:rPr>
                      <w:rFonts w:ascii="Times New Roman" w:hAnsi="Times New Roman" w:eastAsia="宋体" w:cs="Times New Roman"/>
                      <w:snapToGrid w:val="0"/>
                      <w:kern w:val="0"/>
                      <w:szCs w:val="21"/>
                    </w:rPr>
                    <w:t>，属于</w:t>
                  </w:r>
                  <w:r>
                    <w:rPr>
                      <w:rFonts w:hint="eastAsia" w:ascii="Times New Roman" w:hAnsi="Times New Roman" w:eastAsia="宋体" w:cs="Times New Roman"/>
                      <w:snapToGrid w:val="0"/>
                      <w:kern w:val="0"/>
                      <w:szCs w:val="21"/>
                    </w:rPr>
                    <w:t>临时建设用</w:t>
                  </w:r>
                  <w:r>
                    <w:rPr>
                      <w:rFonts w:ascii="Times New Roman" w:hAnsi="Times New Roman" w:eastAsia="宋体" w:cs="Times New Roman"/>
                      <w:snapToGrid w:val="0"/>
                      <w:kern w:val="0"/>
                      <w:szCs w:val="21"/>
                    </w:rPr>
                    <w:t>地，</w:t>
                  </w:r>
                  <w:r>
                    <w:rPr>
                      <w:rFonts w:hint="eastAsia" w:ascii="Times New Roman" w:hAnsi="Times New Roman" w:eastAsia="宋体" w:cs="Times New Roman"/>
                      <w:snapToGrid w:val="0"/>
                      <w:kern w:val="0"/>
                      <w:szCs w:val="21"/>
                    </w:rPr>
                    <w:t>根据《峨边彝族自治县生态红线图》，项目建设不涉及划定的生态红线区域，项目建设符合峨边彝族自治县生态红线图及实施意见的相关要求。</w:t>
                  </w:r>
                </w:p>
              </w:tc>
              <w:tc>
                <w:tcPr>
                  <w:tcW w:w="748" w:type="dxa"/>
                  <w:vAlign w:val="center"/>
                </w:tcPr>
                <w:p w14:paraId="66A1E532">
                  <w:pPr>
                    <w:widowControl/>
                    <w:jc w:val="left"/>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符合</w:t>
                  </w:r>
                </w:p>
              </w:tc>
            </w:tr>
            <w:tr w14:paraId="6AE606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22" w:type="dxa"/>
                  <w:vAlign w:val="center"/>
                </w:tcPr>
                <w:p w14:paraId="6DC2B09E">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环境质量底线</w:t>
                  </w:r>
                </w:p>
              </w:tc>
              <w:tc>
                <w:tcPr>
                  <w:tcW w:w="6073" w:type="dxa"/>
                  <w:vAlign w:val="center"/>
                </w:tcPr>
                <w:p w14:paraId="60FE9150">
                  <w:pPr>
                    <w:widowControl/>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根据《乐山市2019年环境质量公报》，项目所在区域为不达标区，</w:t>
                  </w:r>
                  <w:r>
                    <w:rPr>
                      <w:rFonts w:hint="eastAsia" w:ascii="Times New Roman" w:hAnsi="Times New Roman" w:eastAsia="宋体" w:cs="Times New Roman"/>
                      <w:snapToGrid w:val="0"/>
                      <w:kern w:val="0"/>
                      <w:szCs w:val="21"/>
                    </w:rPr>
                    <w:t>由《峨边彝族自治县环境空气质量限期达标规划（2018年</w:t>
                  </w:r>
                  <w:r>
                    <w:rPr>
                      <w:rFonts w:hint="eastAsia" w:ascii="Times New Roman" w:hAnsi="Times New Roman" w:eastAsia="宋体" w:cs="Times New Roman"/>
                      <w:snapToGrid w:val="0"/>
                      <w:kern w:val="0"/>
                      <w:szCs w:val="21"/>
                      <w:lang w:eastAsia="zh-CN"/>
                    </w:rPr>
                    <w:t>—</w:t>
                  </w:r>
                  <w:r>
                    <w:rPr>
                      <w:rFonts w:hint="eastAsia" w:ascii="Times New Roman" w:hAnsi="Times New Roman" w:eastAsia="宋体" w:cs="Times New Roman"/>
                      <w:snapToGrid w:val="0"/>
                      <w:kern w:val="0"/>
                      <w:szCs w:val="21"/>
                    </w:rPr>
                    <w:t>2025年）》，力争到2025年，PM</w:t>
                  </w:r>
                  <w:r>
                    <w:rPr>
                      <w:rFonts w:hint="eastAsia" w:ascii="Times New Roman" w:hAnsi="Times New Roman" w:eastAsia="宋体" w:cs="Times New Roman"/>
                      <w:snapToGrid w:val="0"/>
                      <w:kern w:val="0"/>
                      <w:szCs w:val="21"/>
                      <w:vertAlign w:val="subscript"/>
                    </w:rPr>
                    <w:t>10</w:t>
                  </w:r>
                  <w:r>
                    <w:rPr>
                      <w:rFonts w:hint="eastAsia" w:ascii="Times New Roman" w:hAnsi="Times New Roman" w:eastAsia="宋体" w:cs="Times New Roman"/>
                      <w:snapToGrid w:val="0"/>
                      <w:kern w:val="0"/>
                      <w:szCs w:val="21"/>
                    </w:rPr>
                    <w:t>控制在70μg/m</w:t>
                  </w:r>
                  <w:r>
                    <w:rPr>
                      <w:rFonts w:hint="eastAsia" w:ascii="Times New Roman" w:hAnsi="Times New Roman" w:eastAsia="宋体" w:cs="Times New Roman"/>
                      <w:snapToGrid w:val="0"/>
                      <w:kern w:val="0"/>
                      <w:szCs w:val="21"/>
                      <w:vertAlign w:val="superscript"/>
                    </w:rPr>
                    <w:t>3</w:t>
                  </w:r>
                  <w:r>
                    <w:rPr>
                      <w:rFonts w:hint="eastAsia" w:ascii="Times New Roman" w:hAnsi="Times New Roman" w:eastAsia="宋体" w:cs="Times New Roman"/>
                      <w:snapToGrid w:val="0"/>
                      <w:kern w:val="0"/>
                      <w:szCs w:val="21"/>
                    </w:rPr>
                    <w:t>以内，PM</w:t>
                  </w:r>
                  <w:r>
                    <w:rPr>
                      <w:rFonts w:hint="eastAsia" w:ascii="Times New Roman" w:hAnsi="Times New Roman" w:eastAsia="宋体" w:cs="Times New Roman"/>
                      <w:snapToGrid w:val="0"/>
                      <w:kern w:val="0"/>
                      <w:szCs w:val="21"/>
                      <w:vertAlign w:val="subscript"/>
                    </w:rPr>
                    <w:t>2.5</w:t>
                  </w:r>
                  <w:r>
                    <w:rPr>
                      <w:rFonts w:hint="eastAsia" w:ascii="Times New Roman" w:hAnsi="Times New Roman" w:eastAsia="宋体" w:cs="Times New Roman"/>
                      <w:snapToGrid w:val="0"/>
                      <w:kern w:val="0"/>
                      <w:szCs w:val="21"/>
                    </w:rPr>
                    <w:t>控制在35μg/m</w:t>
                  </w:r>
                  <w:r>
                    <w:rPr>
                      <w:rFonts w:hint="eastAsia" w:ascii="Times New Roman" w:hAnsi="Times New Roman" w:eastAsia="宋体" w:cs="Times New Roman"/>
                      <w:snapToGrid w:val="0"/>
                      <w:kern w:val="0"/>
                      <w:szCs w:val="21"/>
                      <w:vertAlign w:val="superscript"/>
                    </w:rPr>
                    <w:t>3</w:t>
                  </w:r>
                  <w:r>
                    <w:rPr>
                      <w:rFonts w:hint="eastAsia" w:ascii="Times New Roman" w:hAnsi="Times New Roman" w:eastAsia="宋体" w:cs="Times New Roman"/>
                      <w:snapToGrid w:val="0"/>
                      <w:kern w:val="0"/>
                      <w:szCs w:val="21"/>
                    </w:rPr>
                    <w:t>以内，达到国家二级标准要求；</w:t>
                  </w:r>
                  <w:r>
                    <w:rPr>
                      <w:rFonts w:ascii="Times New Roman" w:hAnsi="Times New Roman" w:eastAsia="宋体" w:cs="Times New Roman"/>
                      <w:snapToGrid w:val="0"/>
                      <w:kern w:val="0"/>
                      <w:szCs w:val="21"/>
                    </w:rPr>
                    <w:t>根据现状监测区域声环境质量</w:t>
                  </w:r>
                  <w:r>
                    <w:rPr>
                      <w:rFonts w:hint="eastAsia" w:ascii="Times New Roman" w:hAnsi="Times New Roman" w:eastAsia="宋体" w:cs="Times New Roman"/>
                      <w:snapToGrid w:val="0"/>
                      <w:kern w:val="0"/>
                      <w:szCs w:val="21"/>
                    </w:rPr>
                    <w:t>昼间监测值</w:t>
                  </w:r>
                  <w:r>
                    <w:rPr>
                      <w:rFonts w:ascii="Times New Roman" w:hAnsi="Times New Roman" w:eastAsia="宋体" w:cs="Times New Roman"/>
                      <w:snapToGrid w:val="0"/>
                      <w:kern w:val="0"/>
                      <w:szCs w:val="21"/>
                    </w:rPr>
                    <w:t>满足《声环境质量标准》（GB3096-2008）中的2类标准限值；项目为</w:t>
                  </w:r>
                  <w:r>
                    <w:rPr>
                      <w:rFonts w:hint="eastAsia" w:ascii="Times New Roman" w:hAnsi="Times New Roman" w:eastAsia="宋体" w:cs="Times New Roman"/>
                      <w:snapToGrid w:val="0"/>
                      <w:kern w:val="0"/>
                      <w:szCs w:val="21"/>
                    </w:rPr>
                    <w:t>非金属废料和碎屑加工处理</w:t>
                  </w:r>
                  <w:r>
                    <w:rPr>
                      <w:rFonts w:ascii="Times New Roman" w:hAnsi="Times New Roman" w:eastAsia="宋体" w:cs="Times New Roman"/>
                      <w:snapToGrid w:val="0"/>
                      <w:kern w:val="0"/>
                      <w:szCs w:val="21"/>
                    </w:rPr>
                    <w:t>，无废水外排；固废均得到合理处置，处置率为100%。项目的建设不触及环境质量底线。</w:t>
                  </w:r>
                </w:p>
              </w:tc>
              <w:tc>
                <w:tcPr>
                  <w:tcW w:w="748" w:type="dxa"/>
                  <w:vAlign w:val="center"/>
                </w:tcPr>
                <w:p w14:paraId="211983E7">
                  <w:pPr>
                    <w:widowControl/>
                    <w:jc w:val="left"/>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符合</w:t>
                  </w:r>
                </w:p>
              </w:tc>
            </w:tr>
            <w:tr w14:paraId="7B211F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22" w:type="dxa"/>
                  <w:vAlign w:val="center"/>
                </w:tcPr>
                <w:p w14:paraId="1597A83F">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资源利用上线</w:t>
                  </w:r>
                </w:p>
              </w:tc>
              <w:tc>
                <w:tcPr>
                  <w:tcW w:w="6073" w:type="dxa"/>
                  <w:vAlign w:val="center"/>
                </w:tcPr>
                <w:p w14:paraId="761E472F">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本项目能源消耗合理分配，</w:t>
                  </w:r>
                  <w:r>
                    <w:rPr>
                      <w:rFonts w:hint="eastAsia" w:ascii="Times New Roman" w:hAnsi="Times New Roman" w:eastAsia="宋体" w:cs="Times New Roman"/>
                      <w:snapToGrid w:val="0"/>
                      <w:kern w:val="0"/>
                      <w:szCs w:val="21"/>
                    </w:rPr>
                    <w:t>利用一般建筑废物进行加工提高了</w:t>
                  </w:r>
                  <w:r>
                    <w:rPr>
                      <w:rFonts w:ascii="Times New Roman" w:hAnsi="Times New Roman" w:eastAsia="宋体" w:cs="Times New Roman"/>
                      <w:snapToGrid w:val="0"/>
                      <w:kern w:val="0"/>
                      <w:szCs w:val="21"/>
                    </w:rPr>
                    <w:t>资源利用</w:t>
                  </w:r>
                  <w:r>
                    <w:rPr>
                      <w:rFonts w:hint="eastAsia" w:ascii="Times New Roman" w:hAnsi="Times New Roman" w:eastAsia="宋体" w:cs="Times New Roman"/>
                      <w:snapToGrid w:val="0"/>
                      <w:kern w:val="0"/>
                      <w:szCs w:val="21"/>
                      <w:lang w:eastAsia="zh-CN"/>
                    </w:rPr>
                    <w:t>上限</w:t>
                  </w:r>
                  <w:r>
                    <w:rPr>
                      <w:rFonts w:ascii="Times New Roman" w:hAnsi="Times New Roman" w:eastAsia="宋体" w:cs="Times New Roman"/>
                      <w:snapToGrid w:val="0"/>
                      <w:kern w:val="0"/>
                      <w:szCs w:val="21"/>
                    </w:rPr>
                    <w:t>。</w:t>
                  </w:r>
                </w:p>
              </w:tc>
              <w:tc>
                <w:tcPr>
                  <w:tcW w:w="748" w:type="dxa"/>
                  <w:vAlign w:val="center"/>
                </w:tcPr>
                <w:p w14:paraId="029DCF2A">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符合</w:t>
                  </w:r>
                </w:p>
              </w:tc>
            </w:tr>
            <w:tr w14:paraId="2CDE0A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22" w:type="dxa"/>
                  <w:vAlign w:val="center"/>
                </w:tcPr>
                <w:p w14:paraId="40CBEA02">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负面清单</w:t>
                  </w:r>
                </w:p>
              </w:tc>
              <w:tc>
                <w:tcPr>
                  <w:tcW w:w="6073" w:type="dxa"/>
                  <w:vAlign w:val="center"/>
                </w:tcPr>
                <w:p w14:paraId="69DD36CD">
                  <w:pPr>
                    <w:widowControl/>
                    <w:jc w:val="left"/>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本项目属于</w:t>
                  </w:r>
                  <w:r>
                    <w:rPr>
                      <w:rFonts w:hint="eastAsia" w:ascii="Times New Roman" w:hAnsi="Times New Roman" w:eastAsia="宋体" w:cs="Times New Roman"/>
                      <w:snapToGrid w:val="0"/>
                      <w:kern w:val="0"/>
                      <w:szCs w:val="21"/>
                    </w:rPr>
                    <w:t>非金属废料和碎屑加工处理</w:t>
                  </w:r>
                  <w:r>
                    <w:rPr>
                      <w:rFonts w:ascii="Times New Roman" w:hAnsi="Times New Roman" w:eastAsia="宋体" w:cs="Times New Roman"/>
                      <w:snapToGrid w:val="0"/>
                      <w:kern w:val="0"/>
                      <w:szCs w:val="21"/>
                    </w:rPr>
                    <w:t>项目，符合《四川省长江经济带发展负面清单实施细则（试行）》。</w:t>
                  </w:r>
                </w:p>
              </w:tc>
              <w:tc>
                <w:tcPr>
                  <w:tcW w:w="748" w:type="dxa"/>
                  <w:vAlign w:val="center"/>
                </w:tcPr>
                <w:p w14:paraId="668C3BC6">
                  <w:pPr>
                    <w:widowControl/>
                    <w:jc w:val="center"/>
                    <w:rPr>
                      <w:rFonts w:ascii="Times New Roman" w:hAnsi="Times New Roman" w:eastAsia="宋体" w:cs="Times New Roman"/>
                      <w:snapToGrid w:val="0"/>
                      <w:kern w:val="0"/>
                      <w:szCs w:val="21"/>
                    </w:rPr>
                  </w:pPr>
                  <w:r>
                    <w:rPr>
                      <w:rFonts w:ascii="Times New Roman" w:hAnsi="Times New Roman" w:eastAsia="宋体" w:cs="Times New Roman"/>
                      <w:snapToGrid w:val="0"/>
                      <w:kern w:val="0"/>
                      <w:szCs w:val="21"/>
                    </w:rPr>
                    <w:t>符合</w:t>
                  </w:r>
                </w:p>
              </w:tc>
            </w:tr>
          </w:tbl>
          <w:p w14:paraId="5D56D4F5">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（3）</w:t>
            </w:r>
            <w:r>
              <w:rPr>
                <w:rFonts w:hint="eastAsia" w:ascii="Times New Roman" w:hAnsi="Times New Roman" w:eastAsia="宋体" w:cs="Times New Roman"/>
                <w:b/>
                <w:sz w:val="24"/>
                <w:szCs w:val="24"/>
              </w:rPr>
              <w:t>与《</w:t>
            </w:r>
            <w:r>
              <w:rPr>
                <w:rFonts w:ascii="Times New Roman" w:hAnsi="Times New Roman" w:eastAsia="宋体" w:cs="Times New Roman"/>
                <w:b/>
                <w:sz w:val="24"/>
                <w:szCs w:val="24"/>
              </w:rPr>
              <w:t>建筑垃圾资源化利用行业规范条件（暂行）</w:t>
            </w:r>
            <w:r>
              <w:rPr>
                <w:rFonts w:hint="eastAsia" w:ascii="Times New Roman" w:hAnsi="Times New Roman" w:eastAsia="宋体" w:cs="Times New Roman"/>
                <w:b/>
                <w:sz w:val="24"/>
                <w:szCs w:val="24"/>
              </w:rPr>
              <w:t>》符合性分析</w:t>
            </w:r>
          </w:p>
          <w:p w14:paraId="67349C2F">
            <w:pPr>
              <w:spacing w:line="360" w:lineRule="auto"/>
              <w:ind w:firstLine="480" w:firstLineChars="200"/>
              <w:rPr>
                <w:rFonts w:ascii="Times New Roman" w:hAnsi="Times New Roman" w:eastAsia="宋体" w:cs="Times New Roman"/>
                <w:bCs/>
                <w:sz w:val="24"/>
                <w:szCs w:val="24"/>
              </w:rPr>
            </w:pPr>
            <w:r>
              <w:rPr>
                <w:rFonts w:hint="eastAsia" w:ascii="Times New Roman" w:hAnsi="Times New Roman" w:eastAsia="宋体" w:cs="Times New Roman"/>
                <w:bCs/>
                <w:sz w:val="24"/>
                <w:szCs w:val="24"/>
              </w:rPr>
              <w:t>为促进绿色发展，推进建筑垃圾资源化利用行业持续健康发展，工业和信息化部、住房城乡建设部组织起草了《建筑垃圾资源化利用行业规范条件》</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暂行</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（工业和信息化部 住房城乡建设部公告 2</w:t>
            </w:r>
            <w:r>
              <w:rPr>
                <w:rFonts w:ascii="Times New Roman" w:hAnsi="Times New Roman" w:eastAsia="宋体" w:cs="Times New Roman"/>
                <w:bCs/>
                <w:sz w:val="24"/>
                <w:szCs w:val="24"/>
              </w:rPr>
              <w:t>016</w:t>
            </w:r>
            <w:r>
              <w:rPr>
                <w:rFonts w:hint="eastAsia" w:ascii="Times New Roman" w:hAnsi="Times New Roman" w:eastAsia="宋体" w:cs="Times New Roman"/>
                <w:bCs/>
                <w:sz w:val="24"/>
                <w:szCs w:val="24"/>
              </w:rPr>
              <w:t>年 第7</w:t>
            </w:r>
            <w:r>
              <w:rPr>
                <w:rFonts w:ascii="Times New Roman" w:hAnsi="Times New Roman" w:eastAsia="宋体" w:cs="Times New Roman"/>
                <w:bCs/>
                <w:sz w:val="24"/>
                <w:szCs w:val="24"/>
              </w:rPr>
              <w:t>1</w:t>
            </w:r>
            <w:r>
              <w:rPr>
                <w:rFonts w:hint="eastAsia" w:ascii="Times New Roman" w:hAnsi="Times New Roman" w:eastAsia="宋体" w:cs="Times New Roman"/>
                <w:bCs/>
                <w:sz w:val="24"/>
                <w:szCs w:val="24"/>
              </w:rPr>
              <w:t>号）。规范建筑垃圾大宗固废综合利用产业发展秩序，提高建筑垃圾资源化利用水平，培育行业骨干企业，制定此规范条件。</w:t>
            </w:r>
          </w:p>
          <w:p w14:paraId="6858A777">
            <w:pPr>
              <w:spacing w:line="360" w:lineRule="auto"/>
              <w:ind w:firstLine="480" w:firstLineChars="200"/>
              <w:jc w:val="center"/>
              <w:rPr>
                <w:rFonts w:ascii="黑体" w:hAnsi="黑体" w:eastAsia="黑体" w:cs="Times New Roman"/>
                <w:bCs/>
                <w:sz w:val="24"/>
                <w:szCs w:val="24"/>
              </w:rPr>
            </w:pPr>
            <w:r>
              <w:rPr>
                <w:rFonts w:hint="eastAsia" w:ascii="黑体" w:hAnsi="黑体" w:eastAsia="黑体" w:cs="Times New Roman"/>
                <w:bCs/>
                <w:sz w:val="24"/>
                <w:szCs w:val="24"/>
              </w:rPr>
              <w:t>表1</w:t>
            </w:r>
            <w:r>
              <w:rPr>
                <w:rFonts w:ascii="黑体" w:hAnsi="黑体" w:eastAsia="黑体" w:cs="Times New Roman"/>
                <w:bCs/>
                <w:sz w:val="24"/>
                <w:szCs w:val="24"/>
              </w:rPr>
              <w:t xml:space="preserve">-2 </w:t>
            </w:r>
            <w:r>
              <w:rPr>
                <w:rFonts w:hint="eastAsia" w:ascii="黑体" w:hAnsi="黑体" w:eastAsia="黑体" w:cs="Times New Roman"/>
                <w:bCs/>
                <w:sz w:val="24"/>
                <w:szCs w:val="24"/>
              </w:rPr>
              <w:t>与《</w:t>
            </w:r>
            <w:r>
              <w:rPr>
                <w:rFonts w:ascii="黑体" w:hAnsi="黑体" w:eastAsia="黑体" w:cs="Times New Roman"/>
                <w:bCs/>
                <w:sz w:val="24"/>
                <w:szCs w:val="24"/>
              </w:rPr>
              <w:t>建筑垃圾资源化利用行业规范条件（暂行）</w:t>
            </w:r>
            <w:r>
              <w:rPr>
                <w:rFonts w:hint="eastAsia" w:ascii="黑体" w:hAnsi="黑体" w:eastAsia="黑体" w:cs="Times New Roman"/>
                <w:bCs/>
                <w:sz w:val="24"/>
                <w:szCs w:val="24"/>
              </w:rPr>
              <w:t>》对比表</w:t>
            </w:r>
          </w:p>
          <w:tbl>
            <w:tblPr>
              <w:tblStyle w:val="26"/>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84"/>
              <w:gridCol w:w="5091"/>
              <w:gridCol w:w="1984"/>
              <w:gridCol w:w="869"/>
            </w:tblGrid>
            <w:tr w14:paraId="404DFD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6089" w:type="dxa"/>
                  <w:gridSpan w:val="2"/>
                  <w:shd w:val="clear" w:color="auto" w:fill="auto"/>
                  <w:vAlign w:val="center"/>
                </w:tcPr>
                <w:p w14:paraId="2C1D6BC1">
                  <w:pPr>
                    <w:jc w:val="center"/>
                    <w:rPr>
                      <w:rFonts w:ascii="Times New Roman" w:hAnsi="Times New Roman" w:eastAsia="宋体" w:cs="Times New Roman"/>
                      <w:bCs/>
                      <w:szCs w:val="21"/>
                    </w:rPr>
                  </w:pPr>
                  <w:r>
                    <w:rPr>
                      <w:rFonts w:hint="eastAsia" w:ascii="Times New Roman" w:hAnsi="Times New Roman" w:eastAsia="宋体" w:cs="Times New Roman"/>
                      <w:bCs/>
                      <w:szCs w:val="21"/>
                    </w:rPr>
                    <w:t>规范要求</w:t>
                  </w:r>
                </w:p>
              </w:tc>
              <w:tc>
                <w:tcPr>
                  <w:tcW w:w="1984" w:type="dxa"/>
                  <w:shd w:val="clear" w:color="auto" w:fill="auto"/>
                  <w:vAlign w:val="center"/>
                </w:tcPr>
                <w:p w14:paraId="7FBB97B0">
                  <w:pPr>
                    <w:jc w:val="center"/>
                    <w:rPr>
                      <w:rFonts w:ascii="Times New Roman" w:hAnsi="Times New Roman" w:eastAsia="宋体" w:cs="Times New Roman"/>
                      <w:bCs/>
                      <w:szCs w:val="21"/>
                    </w:rPr>
                  </w:pPr>
                  <w:r>
                    <w:rPr>
                      <w:rFonts w:hint="eastAsia" w:ascii="Times New Roman" w:hAnsi="Times New Roman" w:eastAsia="宋体" w:cs="Times New Roman"/>
                      <w:bCs/>
                      <w:szCs w:val="21"/>
                    </w:rPr>
                    <w:t>本项目</w:t>
                  </w:r>
                </w:p>
              </w:tc>
              <w:tc>
                <w:tcPr>
                  <w:tcW w:w="870" w:type="dxa"/>
                  <w:shd w:val="clear" w:color="auto" w:fill="auto"/>
                  <w:vAlign w:val="center"/>
                </w:tcPr>
                <w:p w14:paraId="5AB72D34">
                  <w:pPr>
                    <w:jc w:val="center"/>
                    <w:rPr>
                      <w:rFonts w:ascii="Times New Roman" w:hAnsi="Times New Roman" w:eastAsia="宋体" w:cs="Times New Roman"/>
                      <w:bCs/>
                      <w:szCs w:val="21"/>
                    </w:rPr>
                  </w:pPr>
                  <w:r>
                    <w:rPr>
                      <w:rFonts w:hint="eastAsia" w:ascii="Times New Roman" w:hAnsi="Times New Roman" w:eastAsia="宋体" w:cs="Times New Roman"/>
                      <w:bCs/>
                      <w:szCs w:val="21"/>
                    </w:rPr>
                    <w:t>符合性</w:t>
                  </w:r>
                </w:p>
              </w:tc>
            </w:tr>
            <w:tr w14:paraId="2CCBB5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restart"/>
                  <w:shd w:val="clear" w:color="auto" w:fill="auto"/>
                  <w:vAlign w:val="center"/>
                </w:tcPr>
                <w:p w14:paraId="0B11805A">
                  <w:pPr>
                    <w:jc w:val="center"/>
                    <w:rPr>
                      <w:rFonts w:ascii="Times New Roman" w:hAnsi="Times New Roman" w:eastAsia="宋体" w:cs="Times New Roman"/>
                      <w:bCs/>
                      <w:szCs w:val="21"/>
                    </w:rPr>
                  </w:pPr>
                  <w:r>
                    <w:rPr>
                      <w:rFonts w:hint="eastAsia" w:ascii="Times New Roman" w:hAnsi="Times New Roman" w:eastAsia="宋体" w:cs="Times New Roman"/>
                      <w:bCs/>
                      <w:szCs w:val="21"/>
                    </w:rPr>
                    <w:t>一、生产企业的设立和布局</w:t>
                  </w:r>
                </w:p>
              </w:tc>
              <w:tc>
                <w:tcPr>
                  <w:tcW w:w="5103" w:type="dxa"/>
                  <w:shd w:val="clear" w:color="auto" w:fill="auto"/>
                  <w:vAlign w:val="center"/>
                </w:tcPr>
                <w:p w14:paraId="3975A77B">
                  <w:pPr>
                    <w:jc w:val="center"/>
                    <w:rPr>
                      <w:rFonts w:ascii="Times New Roman" w:hAnsi="Times New Roman" w:eastAsia="宋体" w:cs="Times New Roman"/>
                      <w:bCs/>
                      <w:szCs w:val="21"/>
                    </w:rPr>
                  </w:pPr>
                  <w:r>
                    <w:rPr>
                      <w:rFonts w:hint="eastAsia" w:ascii="Times New Roman" w:hAnsi="Times New Roman" w:eastAsia="宋体" w:cs="Times New Roman"/>
                      <w:bCs/>
                      <w:szCs w:val="21"/>
                    </w:rPr>
                    <w:t>各地建筑垃圾资源化利用企业的设立和布局应根据区域内建筑垃圾存量及增量预测情况、运输半径、应用条件等，统筹协调确定。建筑垃圾资源化利用要与城市总体规划、土地利用总体规划和循环经济规划及旧城改造、大型工业园区改造、城市新区建设等大型建设项目相结合。</w:t>
                  </w:r>
                </w:p>
              </w:tc>
              <w:tc>
                <w:tcPr>
                  <w:tcW w:w="1984" w:type="dxa"/>
                  <w:shd w:val="clear" w:color="auto" w:fill="auto"/>
                  <w:vAlign w:val="center"/>
                </w:tcPr>
                <w:p w14:paraId="71A6E8A8">
                  <w:pPr>
                    <w:jc w:val="center"/>
                    <w:rPr>
                      <w:rFonts w:ascii="Times New Roman" w:hAnsi="Times New Roman" w:eastAsia="宋体" w:cs="Times New Roman"/>
                      <w:bCs/>
                      <w:szCs w:val="21"/>
                    </w:rPr>
                  </w:pPr>
                  <w:r>
                    <w:rPr>
                      <w:rFonts w:hint="eastAsia" w:ascii="Times New Roman" w:hAnsi="Times New Roman" w:eastAsia="宋体" w:cs="Times New Roman"/>
                      <w:bCs/>
                      <w:szCs w:val="21"/>
                    </w:rPr>
                    <w:t>本项目对外收购建筑垃圾进行综合利用</w:t>
                  </w:r>
                </w:p>
              </w:tc>
              <w:tc>
                <w:tcPr>
                  <w:tcW w:w="870" w:type="dxa"/>
                  <w:shd w:val="clear" w:color="auto" w:fill="auto"/>
                  <w:vAlign w:val="center"/>
                </w:tcPr>
                <w:p w14:paraId="2B38601B">
                  <w:pPr>
                    <w:jc w:val="center"/>
                    <w:rPr>
                      <w:rFonts w:ascii="Times New Roman" w:hAnsi="Times New Roman" w:eastAsia="宋体" w:cs="Times New Roman"/>
                      <w:bCs/>
                      <w:szCs w:val="21"/>
                    </w:rPr>
                  </w:pPr>
                  <w:r>
                    <w:rPr>
                      <w:rFonts w:hint="eastAsia" w:ascii="Times New Roman" w:hAnsi="Times New Roman" w:eastAsia="宋体" w:cs="Times New Roman"/>
                      <w:bCs/>
                      <w:szCs w:val="21"/>
                    </w:rPr>
                    <w:t>符合</w:t>
                  </w:r>
                </w:p>
              </w:tc>
            </w:tr>
            <w:tr w14:paraId="2F4DD2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continue"/>
                  <w:shd w:val="clear" w:color="auto" w:fill="auto"/>
                  <w:vAlign w:val="center"/>
                </w:tcPr>
                <w:p w14:paraId="1DEC1FB0">
                  <w:pPr>
                    <w:jc w:val="center"/>
                    <w:rPr>
                      <w:rFonts w:ascii="Times New Roman" w:hAnsi="Times New Roman" w:eastAsia="宋体" w:cs="Times New Roman"/>
                      <w:bCs/>
                      <w:szCs w:val="21"/>
                    </w:rPr>
                  </w:pPr>
                </w:p>
              </w:tc>
              <w:tc>
                <w:tcPr>
                  <w:tcW w:w="5103" w:type="dxa"/>
                  <w:shd w:val="clear" w:color="auto" w:fill="auto"/>
                  <w:vAlign w:val="center"/>
                </w:tcPr>
                <w:p w14:paraId="0688767D">
                  <w:pPr>
                    <w:jc w:val="center"/>
                    <w:rPr>
                      <w:rFonts w:ascii="Times New Roman" w:hAnsi="Times New Roman" w:eastAsia="宋体" w:cs="Times New Roman"/>
                      <w:bCs/>
                      <w:szCs w:val="21"/>
                    </w:rPr>
                  </w:pPr>
                  <w:r>
                    <w:rPr>
                      <w:rFonts w:hint="eastAsia" w:ascii="Times New Roman" w:hAnsi="Times New Roman" w:eastAsia="宋体" w:cs="Times New Roman"/>
                      <w:bCs/>
                      <w:szCs w:val="21"/>
                    </w:rPr>
                    <w:t>建筑垃圾资源化利用企业选址必须符合国家法律法规、行业发展规划和产业政策，统筹资源、能源、环境、物流和市场等因素合理选址，有条件的地区要优先考虑利用现有垃圾消纳场。建筑垃圾资源化利用企业的固定生产场地宜接近建筑垃圾源头集中地，交通方便，可通行重载建筑垃圾运输车。在条件允许时，在拆迁现场进行现场作业。</w:t>
                  </w:r>
                </w:p>
              </w:tc>
              <w:tc>
                <w:tcPr>
                  <w:tcW w:w="1984" w:type="dxa"/>
                  <w:shd w:val="clear" w:color="auto" w:fill="auto"/>
                  <w:vAlign w:val="center"/>
                </w:tcPr>
                <w:p w14:paraId="3C363AD4">
                  <w:pPr>
                    <w:jc w:val="center"/>
                    <w:rPr>
                      <w:rFonts w:ascii="Times New Roman" w:hAnsi="Times New Roman" w:eastAsia="宋体" w:cs="Times New Roman"/>
                      <w:bCs/>
                      <w:szCs w:val="21"/>
                    </w:rPr>
                  </w:pPr>
                  <w:r>
                    <w:rPr>
                      <w:rFonts w:hint="eastAsia" w:ascii="Times New Roman" w:hAnsi="Times New Roman" w:eastAsia="宋体" w:cs="Times New Roman"/>
                      <w:bCs/>
                      <w:szCs w:val="21"/>
                    </w:rPr>
                    <w:t>本项目选址原为已退役中铁十二局搅拌站遗址，位于峨边彝族自治县新林镇卷木村4组、7组，属于临时建设用地，东侧为交通干道，交通便利</w:t>
                  </w:r>
                </w:p>
              </w:tc>
              <w:tc>
                <w:tcPr>
                  <w:tcW w:w="870" w:type="dxa"/>
                  <w:shd w:val="clear" w:color="auto" w:fill="auto"/>
                  <w:vAlign w:val="center"/>
                </w:tcPr>
                <w:p w14:paraId="077BB14F">
                  <w:pPr>
                    <w:jc w:val="center"/>
                    <w:rPr>
                      <w:rFonts w:ascii="Times New Roman" w:hAnsi="Times New Roman" w:eastAsia="宋体" w:cs="Times New Roman"/>
                      <w:bCs/>
                      <w:szCs w:val="21"/>
                    </w:rPr>
                  </w:pPr>
                  <w:r>
                    <w:rPr>
                      <w:rFonts w:hint="eastAsia" w:ascii="Times New Roman" w:hAnsi="Times New Roman" w:eastAsia="宋体" w:cs="Times New Roman"/>
                      <w:bCs/>
                      <w:szCs w:val="21"/>
                    </w:rPr>
                    <w:t>符合</w:t>
                  </w:r>
                </w:p>
              </w:tc>
            </w:tr>
            <w:tr w14:paraId="2EDCBE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continue"/>
                  <w:shd w:val="clear" w:color="auto" w:fill="auto"/>
                  <w:vAlign w:val="center"/>
                </w:tcPr>
                <w:p w14:paraId="578F932A">
                  <w:pPr>
                    <w:jc w:val="center"/>
                    <w:rPr>
                      <w:rFonts w:ascii="Times New Roman" w:hAnsi="Times New Roman" w:eastAsia="宋体" w:cs="Times New Roman"/>
                      <w:bCs/>
                      <w:szCs w:val="21"/>
                    </w:rPr>
                  </w:pPr>
                </w:p>
              </w:tc>
              <w:tc>
                <w:tcPr>
                  <w:tcW w:w="5103" w:type="dxa"/>
                  <w:shd w:val="clear" w:color="auto" w:fill="auto"/>
                  <w:vAlign w:val="center"/>
                </w:tcPr>
                <w:p w14:paraId="3A0DA918">
                  <w:pPr>
                    <w:jc w:val="center"/>
                    <w:rPr>
                      <w:rFonts w:ascii="Times New Roman" w:hAnsi="Times New Roman" w:eastAsia="宋体" w:cs="Times New Roman"/>
                      <w:bCs/>
                      <w:szCs w:val="21"/>
                    </w:rPr>
                  </w:pPr>
                  <w:r>
                    <w:rPr>
                      <w:rFonts w:hint="eastAsia" w:ascii="Times New Roman" w:hAnsi="Times New Roman" w:eastAsia="宋体" w:cs="Times New Roman"/>
                      <w:bCs/>
                      <w:szCs w:val="21"/>
                    </w:rPr>
                    <w:t>鼓励建筑垃圾资源化利用企业进行拆迁、运输、处置和产品应用等产业链相关环节的整合，以资源化利用为主线，提高产业集中度，加速工业化发展。</w:t>
                  </w:r>
                </w:p>
              </w:tc>
              <w:tc>
                <w:tcPr>
                  <w:tcW w:w="1984" w:type="dxa"/>
                  <w:shd w:val="clear" w:color="auto" w:fill="auto"/>
                  <w:vAlign w:val="center"/>
                </w:tcPr>
                <w:p w14:paraId="391CDAB5">
                  <w:pPr>
                    <w:jc w:val="center"/>
                    <w:rPr>
                      <w:rFonts w:ascii="Times New Roman" w:hAnsi="Times New Roman" w:eastAsia="宋体" w:cs="Times New Roman"/>
                      <w:bCs/>
                      <w:szCs w:val="21"/>
                    </w:rPr>
                  </w:pPr>
                  <w:r>
                    <w:rPr>
                      <w:rFonts w:hint="eastAsia" w:ascii="Times New Roman" w:hAnsi="Times New Roman" w:eastAsia="宋体" w:cs="Times New Roman"/>
                      <w:bCs/>
                      <w:szCs w:val="21"/>
                    </w:rPr>
                    <w:t>本项目为外购建筑垃圾进行处置，以资源化利用为主线，产业链发展为下步发展方向</w:t>
                  </w:r>
                </w:p>
              </w:tc>
              <w:tc>
                <w:tcPr>
                  <w:tcW w:w="870" w:type="dxa"/>
                  <w:shd w:val="clear" w:color="auto" w:fill="auto"/>
                  <w:vAlign w:val="center"/>
                </w:tcPr>
                <w:p w14:paraId="22FF1531">
                  <w:pPr>
                    <w:jc w:val="center"/>
                    <w:rPr>
                      <w:rFonts w:ascii="Times New Roman" w:hAnsi="Times New Roman" w:eastAsia="宋体" w:cs="Times New Roman"/>
                      <w:bCs/>
                      <w:szCs w:val="21"/>
                    </w:rPr>
                  </w:pPr>
                  <w:r>
                    <w:rPr>
                      <w:rFonts w:hint="eastAsia" w:ascii="Times New Roman" w:hAnsi="Times New Roman" w:eastAsia="宋体" w:cs="Times New Roman"/>
                      <w:bCs/>
                      <w:szCs w:val="21"/>
                    </w:rPr>
                    <w:t>基本符合</w:t>
                  </w:r>
                </w:p>
              </w:tc>
            </w:tr>
            <w:tr w14:paraId="6EE55B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restart"/>
                  <w:shd w:val="clear" w:color="auto" w:fill="auto"/>
                  <w:vAlign w:val="center"/>
                </w:tcPr>
                <w:p w14:paraId="658751E8">
                  <w:pPr>
                    <w:jc w:val="center"/>
                    <w:rPr>
                      <w:rFonts w:ascii="Times New Roman" w:hAnsi="Times New Roman" w:eastAsia="宋体" w:cs="Times New Roman"/>
                      <w:bCs/>
                      <w:szCs w:val="21"/>
                    </w:rPr>
                  </w:pPr>
                  <w:r>
                    <w:rPr>
                      <w:rFonts w:hint="eastAsia" w:ascii="Times New Roman" w:hAnsi="Times New Roman" w:eastAsia="宋体" w:cs="Times New Roman"/>
                      <w:bCs/>
                      <w:szCs w:val="21"/>
                    </w:rPr>
                    <w:t>二、生产规模和管理</w:t>
                  </w:r>
                </w:p>
              </w:tc>
              <w:tc>
                <w:tcPr>
                  <w:tcW w:w="5103" w:type="dxa"/>
                  <w:shd w:val="clear" w:color="auto" w:fill="auto"/>
                  <w:vAlign w:val="center"/>
                </w:tcPr>
                <w:p w14:paraId="135E28F2">
                  <w:pPr>
                    <w:jc w:val="center"/>
                    <w:rPr>
                      <w:rFonts w:ascii="Times New Roman" w:hAnsi="Times New Roman" w:eastAsia="宋体" w:cs="Times New Roman"/>
                      <w:bCs/>
                      <w:szCs w:val="21"/>
                    </w:rPr>
                  </w:pPr>
                  <w:r>
                    <w:rPr>
                      <w:rFonts w:hint="eastAsia" w:ascii="Times New Roman" w:hAnsi="Times New Roman" w:eastAsia="宋体" w:cs="Times New Roman"/>
                      <w:bCs/>
                      <w:szCs w:val="21"/>
                    </w:rPr>
                    <w:t>根据当地建筑垃圾条件及资源化利用方式等因素，综合确定建筑垃圾资源化利用项目的年处置能力，鼓励规模化发展。大型建筑垃圾资源化项目年处置生产能力不低于 100 万吨，中型不低于 50 万吨，小型不低于 25 万吨。</w:t>
                  </w:r>
                </w:p>
              </w:tc>
              <w:tc>
                <w:tcPr>
                  <w:tcW w:w="1984" w:type="dxa"/>
                  <w:shd w:val="clear" w:color="auto" w:fill="auto"/>
                  <w:vAlign w:val="center"/>
                </w:tcPr>
                <w:p w14:paraId="1E558277">
                  <w:pPr>
                    <w:jc w:val="center"/>
                    <w:rPr>
                      <w:rFonts w:ascii="Times New Roman" w:hAnsi="Times New Roman" w:eastAsia="宋体" w:cs="Times New Roman"/>
                      <w:bCs/>
                      <w:szCs w:val="21"/>
                    </w:rPr>
                  </w:pPr>
                  <w:r>
                    <w:rPr>
                      <w:rFonts w:hint="eastAsia" w:ascii="Times New Roman" w:hAnsi="Times New Roman" w:eastAsia="宋体" w:cs="Times New Roman"/>
                      <w:bCs/>
                      <w:szCs w:val="21"/>
                    </w:rPr>
                    <w:t>本项目设计年加工量为2</w:t>
                  </w:r>
                  <w:r>
                    <w:rPr>
                      <w:rFonts w:ascii="Times New Roman" w:hAnsi="Times New Roman" w:eastAsia="宋体" w:cs="Times New Roman"/>
                      <w:bCs/>
                      <w:szCs w:val="21"/>
                    </w:rPr>
                    <w:t>0</w:t>
                  </w:r>
                  <w:r>
                    <w:rPr>
                      <w:rFonts w:hint="eastAsia" w:ascii="Times New Roman" w:hAnsi="Times New Roman" w:eastAsia="宋体" w:cs="Times New Roman"/>
                      <w:bCs/>
                      <w:szCs w:val="21"/>
                    </w:rPr>
                    <w:t>万吨，虽不符合小型，但项目产量是根据当地建筑垃圾条件确定的年处理能力，符合当地资源化处置能力要求</w:t>
                  </w:r>
                </w:p>
              </w:tc>
              <w:tc>
                <w:tcPr>
                  <w:tcW w:w="870" w:type="dxa"/>
                  <w:shd w:val="clear" w:color="auto" w:fill="auto"/>
                  <w:vAlign w:val="center"/>
                </w:tcPr>
                <w:p w14:paraId="517ACBB2">
                  <w:pPr>
                    <w:jc w:val="center"/>
                    <w:rPr>
                      <w:rFonts w:ascii="Times New Roman" w:hAnsi="Times New Roman" w:eastAsia="宋体" w:cs="Times New Roman"/>
                      <w:bCs/>
                      <w:szCs w:val="21"/>
                    </w:rPr>
                  </w:pPr>
                  <w:r>
                    <w:rPr>
                      <w:rFonts w:hint="eastAsia" w:ascii="Times New Roman" w:hAnsi="Times New Roman" w:eastAsia="宋体" w:cs="Times New Roman"/>
                      <w:bCs/>
                      <w:szCs w:val="21"/>
                    </w:rPr>
                    <w:t>基本符合</w:t>
                  </w:r>
                </w:p>
              </w:tc>
            </w:tr>
            <w:tr w14:paraId="7BDE37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continue"/>
                  <w:shd w:val="clear" w:color="auto" w:fill="auto"/>
                  <w:vAlign w:val="center"/>
                </w:tcPr>
                <w:p w14:paraId="7003B0DD">
                  <w:pPr>
                    <w:jc w:val="center"/>
                    <w:rPr>
                      <w:rFonts w:ascii="Times New Roman" w:hAnsi="Times New Roman" w:eastAsia="宋体" w:cs="Times New Roman"/>
                      <w:bCs/>
                      <w:szCs w:val="21"/>
                    </w:rPr>
                  </w:pPr>
                </w:p>
              </w:tc>
              <w:tc>
                <w:tcPr>
                  <w:tcW w:w="5103" w:type="dxa"/>
                  <w:shd w:val="clear" w:color="auto" w:fill="auto"/>
                  <w:vAlign w:val="center"/>
                </w:tcPr>
                <w:p w14:paraId="58A5098B">
                  <w:pPr>
                    <w:jc w:val="center"/>
                    <w:rPr>
                      <w:rFonts w:ascii="Times New Roman" w:hAnsi="Times New Roman" w:eastAsia="宋体" w:cs="Times New Roman"/>
                      <w:bCs/>
                      <w:szCs w:val="21"/>
                    </w:rPr>
                  </w:pPr>
                  <w:r>
                    <w:rPr>
                      <w:rFonts w:hint="eastAsia" w:ascii="Times New Roman" w:hAnsi="Times New Roman" w:eastAsia="宋体" w:cs="Times New Roman"/>
                      <w:bCs/>
                      <w:szCs w:val="21"/>
                    </w:rPr>
                    <w:t>各地应依据国家和地方的相关法律法规和产业政</w:t>
                  </w:r>
                </w:p>
                <w:p w14:paraId="4E6BEBB1">
                  <w:pPr>
                    <w:jc w:val="center"/>
                    <w:rPr>
                      <w:rFonts w:ascii="Times New Roman" w:hAnsi="Times New Roman" w:eastAsia="宋体" w:cs="Times New Roman"/>
                      <w:bCs/>
                      <w:szCs w:val="21"/>
                    </w:rPr>
                  </w:pPr>
                  <w:r>
                    <w:rPr>
                      <w:rFonts w:hint="eastAsia" w:ascii="Times New Roman" w:hAnsi="Times New Roman" w:eastAsia="宋体" w:cs="Times New Roman"/>
                      <w:bCs/>
                      <w:szCs w:val="21"/>
                    </w:rPr>
                    <w:t>策，落实完善建筑垃圾资源化利用相关制度、标准和规范等。选择适宜生产主体，鼓励探索运行成熟、具有地区特色的经营模式。</w:t>
                  </w:r>
                </w:p>
              </w:tc>
              <w:tc>
                <w:tcPr>
                  <w:tcW w:w="1984" w:type="dxa"/>
                  <w:shd w:val="clear" w:color="auto" w:fill="auto"/>
                  <w:vAlign w:val="center"/>
                </w:tcPr>
                <w:p w14:paraId="1D3DC91C">
                  <w:pPr>
                    <w:jc w:val="center"/>
                    <w:rPr>
                      <w:rFonts w:ascii="Times New Roman" w:hAnsi="Times New Roman" w:eastAsia="宋体" w:cs="Times New Roman"/>
                      <w:bCs/>
                      <w:szCs w:val="21"/>
                    </w:rPr>
                  </w:pPr>
                  <w:r>
                    <w:rPr>
                      <w:rFonts w:hint="eastAsia" w:ascii="Times New Roman" w:hAnsi="Times New Roman" w:eastAsia="宋体" w:cs="Times New Roman"/>
                      <w:bCs/>
                      <w:szCs w:val="21"/>
                    </w:rPr>
                    <w:t>本项目的建设符合国家及地方相关法律法规，属于鼓励类产业</w:t>
                  </w:r>
                </w:p>
              </w:tc>
              <w:tc>
                <w:tcPr>
                  <w:tcW w:w="870" w:type="dxa"/>
                  <w:shd w:val="clear" w:color="auto" w:fill="auto"/>
                  <w:vAlign w:val="center"/>
                </w:tcPr>
                <w:p w14:paraId="6658E88C">
                  <w:pPr>
                    <w:jc w:val="center"/>
                    <w:rPr>
                      <w:rFonts w:ascii="Times New Roman" w:hAnsi="Times New Roman" w:eastAsia="宋体" w:cs="Times New Roman"/>
                      <w:bCs/>
                      <w:szCs w:val="21"/>
                    </w:rPr>
                  </w:pPr>
                  <w:r>
                    <w:rPr>
                      <w:rFonts w:hint="eastAsia" w:ascii="Times New Roman" w:hAnsi="Times New Roman" w:eastAsia="宋体" w:cs="Times New Roman"/>
                      <w:bCs/>
                      <w:szCs w:val="21"/>
                    </w:rPr>
                    <w:t>符合</w:t>
                  </w:r>
                </w:p>
              </w:tc>
            </w:tr>
            <w:tr w14:paraId="266E1E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restart"/>
                  <w:shd w:val="clear" w:color="auto" w:fill="auto"/>
                  <w:vAlign w:val="center"/>
                </w:tcPr>
                <w:p w14:paraId="1707C246">
                  <w:pPr>
                    <w:jc w:val="center"/>
                    <w:rPr>
                      <w:rFonts w:ascii="Times New Roman" w:hAnsi="Times New Roman" w:eastAsia="宋体" w:cs="Times New Roman"/>
                      <w:bCs/>
                      <w:szCs w:val="21"/>
                    </w:rPr>
                  </w:pPr>
                  <w:r>
                    <w:rPr>
                      <w:rFonts w:hint="eastAsia" w:ascii="Times New Roman" w:hAnsi="Times New Roman" w:eastAsia="宋体" w:cs="Times New Roman"/>
                      <w:bCs/>
                      <w:szCs w:val="21"/>
                    </w:rPr>
                    <w:t>三、资源综合利用及能源消耗</w:t>
                  </w:r>
                </w:p>
              </w:tc>
              <w:tc>
                <w:tcPr>
                  <w:tcW w:w="5103" w:type="dxa"/>
                  <w:shd w:val="clear" w:color="auto" w:fill="auto"/>
                  <w:vAlign w:val="center"/>
                </w:tcPr>
                <w:p w14:paraId="1FB4BB3E">
                  <w:pPr>
                    <w:jc w:val="center"/>
                    <w:rPr>
                      <w:rFonts w:ascii="Times New Roman" w:hAnsi="Times New Roman" w:eastAsia="宋体" w:cs="Times New Roman"/>
                      <w:bCs/>
                      <w:szCs w:val="21"/>
                    </w:rPr>
                  </w:pPr>
                  <w:r>
                    <w:rPr>
                      <w:rFonts w:hint="eastAsia" w:ascii="Times New Roman" w:hAnsi="Times New Roman" w:eastAsia="宋体" w:cs="Times New Roman"/>
                      <w:bCs/>
                      <w:szCs w:val="21"/>
                    </w:rPr>
                    <w:t>资源综合利用：建筑垃圾资源化利用企业应全面接收当地产生的符合相关规范要求的建筑垃圾（有毒有害垃圾除外）。鼓励企业根据进场建筑垃圾的特点，选择合适的工艺装备，在全面资源化利用处理的前提下，生产混凝土和砂浆用骨料等再生产品。</w:t>
                  </w:r>
                </w:p>
              </w:tc>
              <w:tc>
                <w:tcPr>
                  <w:tcW w:w="1984" w:type="dxa"/>
                  <w:shd w:val="clear" w:color="auto" w:fill="auto"/>
                  <w:vAlign w:val="center"/>
                </w:tcPr>
                <w:p w14:paraId="737FFBC2">
                  <w:pPr>
                    <w:jc w:val="center"/>
                    <w:rPr>
                      <w:rFonts w:ascii="Times New Roman" w:hAnsi="Times New Roman" w:eastAsia="宋体" w:cs="Times New Roman"/>
                      <w:bCs/>
                      <w:szCs w:val="21"/>
                    </w:rPr>
                  </w:pPr>
                  <w:r>
                    <w:rPr>
                      <w:rFonts w:hint="eastAsia" w:ascii="Times New Roman" w:hAnsi="Times New Roman" w:eastAsia="宋体" w:cs="Times New Roman"/>
                      <w:bCs/>
                      <w:szCs w:val="21"/>
                    </w:rPr>
                    <w:t>项目选用颚式破碎机、制砂机、筛分机等设备，并设置洒水降尘等环保设施，生产再生建筑材料</w:t>
                  </w:r>
                </w:p>
              </w:tc>
              <w:tc>
                <w:tcPr>
                  <w:tcW w:w="870" w:type="dxa"/>
                  <w:shd w:val="clear" w:color="auto" w:fill="auto"/>
                  <w:vAlign w:val="center"/>
                </w:tcPr>
                <w:p w14:paraId="0FEA3133">
                  <w:pPr>
                    <w:jc w:val="center"/>
                    <w:rPr>
                      <w:rFonts w:ascii="Times New Roman" w:hAnsi="Times New Roman" w:eastAsia="宋体" w:cs="Times New Roman"/>
                      <w:bCs/>
                      <w:szCs w:val="21"/>
                    </w:rPr>
                  </w:pPr>
                  <w:r>
                    <w:rPr>
                      <w:rFonts w:hint="eastAsia" w:ascii="Times New Roman" w:hAnsi="Times New Roman" w:eastAsia="宋体" w:cs="Times New Roman"/>
                      <w:bCs/>
                      <w:szCs w:val="21"/>
                    </w:rPr>
                    <w:t>符合</w:t>
                  </w:r>
                </w:p>
              </w:tc>
            </w:tr>
            <w:tr w14:paraId="210867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continue"/>
                  <w:shd w:val="clear" w:color="auto" w:fill="auto"/>
                  <w:vAlign w:val="center"/>
                </w:tcPr>
                <w:p w14:paraId="6991746A">
                  <w:pPr>
                    <w:jc w:val="center"/>
                    <w:rPr>
                      <w:rFonts w:ascii="Times New Roman" w:hAnsi="Times New Roman" w:eastAsia="宋体" w:cs="Times New Roman"/>
                      <w:bCs/>
                      <w:szCs w:val="21"/>
                    </w:rPr>
                  </w:pPr>
                </w:p>
              </w:tc>
              <w:tc>
                <w:tcPr>
                  <w:tcW w:w="5103" w:type="dxa"/>
                  <w:shd w:val="clear" w:color="auto" w:fill="auto"/>
                  <w:vAlign w:val="center"/>
                </w:tcPr>
                <w:p w14:paraId="0C2BF149">
                  <w:pPr>
                    <w:jc w:val="center"/>
                    <w:rPr>
                      <w:rFonts w:ascii="Times New Roman" w:hAnsi="Times New Roman" w:eastAsia="宋体" w:cs="Times New Roman"/>
                      <w:bCs/>
                      <w:szCs w:val="21"/>
                    </w:rPr>
                  </w:pPr>
                  <w:r>
                    <w:rPr>
                      <w:rFonts w:hint="eastAsia" w:ascii="Times New Roman" w:hAnsi="Times New Roman" w:eastAsia="宋体" w:cs="Times New Roman"/>
                      <w:bCs/>
                      <w:szCs w:val="21"/>
                    </w:rPr>
                    <w:t>建筑垃圾资源化利用企业单位产品综合能耗应符</w:t>
                  </w:r>
                </w:p>
                <w:p w14:paraId="0CD42AC8">
                  <w:pPr>
                    <w:jc w:val="center"/>
                    <w:rPr>
                      <w:rFonts w:ascii="Times New Roman" w:hAnsi="Times New Roman" w:eastAsia="宋体" w:cs="Times New Roman"/>
                      <w:bCs/>
                      <w:szCs w:val="21"/>
                    </w:rPr>
                  </w:pPr>
                  <w:r>
                    <w:rPr>
                      <w:rFonts w:hint="eastAsia" w:ascii="Times New Roman" w:hAnsi="Times New Roman" w:eastAsia="宋体" w:cs="Times New Roman"/>
                      <w:bCs/>
                      <w:szCs w:val="21"/>
                    </w:rPr>
                    <w:t>合表 1 中能耗限额限定值的规定。</w:t>
                  </w:r>
                </w:p>
              </w:tc>
              <w:tc>
                <w:tcPr>
                  <w:tcW w:w="1984" w:type="dxa"/>
                  <w:shd w:val="clear" w:color="auto" w:fill="auto"/>
                  <w:vAlign w:val="center"/>
                </w:tcPr>
                <w:p w14:paraId="4279E30B">
                  <w:pPr>
                    <w:jc w:val="center"/>
                    <w:rPr>
                      <w:rFonts w:ascii="Times New Roman" w:hAnsi="Times New Roman" w:eastAsia="宋体" w:cs="Times New Roman"/>
                      <w:bCs/>
                      <w:szCs w:val="21"/>
                    </w:rPr>
                  </w:pPr>
                  <w:r>
                    <w:rPr>
                      <w:rFonts w:hint="eastAsia" w:ascii="Times New Roman" w:hAnsi="Times New Roman" w:eastAsia="宋体" w:cs="Times New Roman"/>
                      <w:bCs/>
                      <w:szCs w:val="21"/>
                    </w:rPr>
                    <w:t>本项目生产用电，不使用煤</w:t>
                  </w:r>
                </w:p>
              </w:tc>
              <w:tc>
                <w:tcPr>
                  <w:tcW w:w="870" w:type="dxa"/>
                  <w:shd w:val="clear" w:color="auto" w:fill="auto"/>
                  <w:vAlign w:val="center"/>
                </w:tcPr>
                <w:p w14:paraId="5907F32A">
                  <w:pPr>
                    <w:jc w:val="center"/>
                    <w:rPr>
                      <w:rFonts w:ascii="Times New Roman" w:hAnsi="Times New Roman" w:eastAsia="宋体" w:cs="Times New Roman"/>
                      <w:bCs/>
                      <w:szCs w:val="21"/>
                    </w:rPr>
                  </w:pPr>
                  <w:r>
                    <w:rPr>
                      <w:rFonts w:hint="eastAsia" w:ascii="Times New Roman" w:hAnsi="Times New Roman" w:eastAsia="宋体" w:cs="Times New Roman"/>
                      <w:bCs/>
                      <w:szCs w:val="21"/>
                    </w:rPr>
                    <w:t>符合</w:t>
                  </w:r>
                </w:p>
              </w:tc>
            </w:tr>
            <w:tr w14:paraId="0C5D3B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restart"/>
                  <w:shd w:val="clear" w:color="auto" w:fill="auto"/>
                  <w:vAlign w:val="center"/>
                </w:tcPr>
                <w:p w14:paraId="5A811441">
                  <w:pPr>
                    <w:jc w:val="center"/>
                    <w:rPr>
                      <w:rFonts w:ascii="Times New Roman" w:hAnsi="Times New Roman" w:eastAsia="宋体" w:cs="Times New Roman"/>
                      <w:bCs/>
                      <w:szCs w:val="21"/>
                    </w:rPr>
                  </w:pPr>
                  <w:r>
                    <w:rPr>
                      <w:rFonts w:hint="eastAsia" w:ascii="Times New Roman" w:hAnsi="Times New Roman" w:eastAsia="宋体" w:cs="Times New Roman"/>
                      <w:bCs/>
                      <w:szCs w:val="21"/>
                    </w:rPr>
                    <w:t>四、工艺与装备</w:t>
                  </w:r>
                </w:p>
              </w:tc>
              <w:tc>
                <w:tcPr>
                  <w:tcW w:w="5103" w:type="dxa"/>
                  <w:shd w:val="clear" w:color="auto" w:fill="auto"/>
                  <w:vAlign w:val="center"/>
                </w:tcPr>
                <w:p w14:paraId="24F2E3D9">
                  <w:pPr>
                    <w:jc w:val="center"/>
                    <w:rPr>
                      <w:rFonts w:ascii="Times New Roman" w:hAnsi="Times New Roman" w:eastAsia="宋体" w:cs="Times New Roman"/>
                      <w:bCs/>
                      <w:szCs w:val="21"/>
                    </w:rPr>
                  </w:pPr>
                  <w:r>
                    <w:rPr>
                      <w:rFonts w:hint="eastAsia" w:ascii="Times New Roman" w:hAnsi="Times New Roman" w:eastAsia="宋体" w:cs="Times New Roman"/>
                      <w:bCs/>
                      <w:szCs w:val="21"/>
                    </w:rPr>
                    <w:t>根据当地建筑垃圾特点、分布及生产条件，确定采用固定式或移动式生产方式。结合进厂建筑垃圾原料情况和再生产品类型，选用适宜的破碎、分选、筛分等工艺及设备。</w:t>
                  </w:r>
                </w:p>
              </w:tc>
              <w:tc>
                <w:tcPr>
                  <w:tcW w:w="1984" w:type="dxa"/>
                  <w:shd w:val="clear" w:color="auto" w:fill="auto"/>
                  <w:vAlign w:val="center"/>
                </w:tcPr>
                <w:p w14:paraId="151BB455">
                  <w:pPr>
                    <w:jc w:val="center"/>
                    <w:rPr>
                      <w:rFonts w:ascii="Times New Roman" w:hAnsi="Times New Roman" w:eastAsia="宋体" w:cs="Times New Roman"/>
                      <w:bCs/>
                      <w:szCs w:val="21"/>
                    </w:rPr>
                  </w:pPr>
                  <w:r>
                    <w:rPr>
                      <w:rFonts w:hint="eastAsia" w:ascii="Times New Roman" w:hAnsi="Times New Roman" w:eastAsia="宋体" w:cs="Times New Roman"/>
                      <w:bCs/>
                      <w:szCs w:val="21"/>
                    </w:rPr>
                    <w:t>项目为固定式生产方式，生产线密闭，选用适宜生产设备</w:t>
                  </w:r>
                </w:p>
              </w:tc>
              <w:tc>
                <w:tcPr>
                  <w:tcW w:w="870" w:type="dxa"/>
                  <w:shd w:val="clear" w:color="auto" w:fill="auto"/>
                  <w:vAlign w:val="center"/>
                </w:tcPr>
                <w:p w14:paraId="62E1D2B4">
                  <w:pPr>
                    <w:jc w:val="center"/>
                    <w:rPr>
                      <w:rFonts w:ascii="Times New Roman" w:hAnsi="Times New Roman" w:eastAsia="宋体" w:cs="Times New Roman"/>
                      <w:bCs/>
                      <w:szCs w:val="21"/>
                    </w:rPr>
                  </w:pPr>
                  <w:r>
                    <w:rPr>
                      <w:rFonts w:hint="eastAsia" w:ascii="Times New Roman" w:hAnsi="Times New Roman" w:eastAsia="宋体" w:cs="Times New Roman"/>
                      <w:bCs/>
                      <w:szCs w:val="21"/>
                    </w:rPr>
                    <w:t>符合</w:t>
                  </w:r>
                </w:p>
              </w:tc>
            </w:tr>
            <w:tr w14:paraId="707605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continue"/>
                  <w:shd w:val="clear" w:color="auto" w:fill="auto"/>
                  <w:vAlign w:val="center"/>
                </w:tcPr>
                <w:p w14:paraId="6FC35DBA">
                  <w:pPr>
                    <w:jc w:val="center"/>
                    <w:rPr>
                      <w:rFonts w:ascii="Times New Roman" w:hAnsi="Times New Roman" w:eastAsia="宋体" w:cs="Times New Roman"/>
                      <w:bCs/>
                      <w:szCs w:val="21"/>
                    </w:rPr>
                  </w:pPr>
                </w:p>
              </w:tc>
              <w:tc>
                <w:tcPr>
                  <w:tcW w:w="5103" w:type="dxa"/>
                  <w:shd w:val="clear" w:color="auto" w:fill="auto"/>
                  <w:vAlign w:val="center"/>
                </w:tcPr>
                <w:p w14:paraId="34EF94EB">
                  <w:pPr>
                    <w:jc w:val="center"/>
                    <w:rPr>
                      <w:rFonts w:ascii="Times New Roman" w:hAnsi="Times New Roman" w:eastAsia="宋体" w:cs="Times New Roman"/>
                      <w:bCs/>
                      <w:szCs w:val="21"/>
                    </w:rPr>
                  </w:pPr>
                  <w:r>
                    <w:rPr>
                      <w:rFonts w:hint="eastAsia" w:ascii="Times New Roman" w:hAnsi="Times New Roman" w:eastAsia="宋体" w:cs="Times New Roman"/>
                      <w:bCs/>
                      <w:szCs w:val="21"/>
                    </w:rPr>
                    <w:t>根据不同生产条件，采用适用的除尘、降噪和废水处理工艺及设备。固定式生产方式宜建设封闭生产厂房或封闭式生产单元。</w:t>
                  </w:r>
                </w:p>
              </w:tc>
              <w:tc>
                <w:tcPr>
                  <w:tcW w:w="1984" w:type="dxa"/>
                  <w:shd w:val="clear" w:color="auto" w:fill="auto"/>
                  <w:vAlign w:val="center"/>
                </w:tcPr>
                <w:p w14:paraId="6630C805">
                  <w:pPr>
                    <w:jc w:val="center"/>
                    <w:rPr>
                      <w:rFonts w:ascii="Times New Roman" w:hAnsi="Times New Roman" w:eastAsia="宋体" w:cs="Times New Roman"/>
                      <w:bCs/>
                      <w:szCs w:val="21"/>
                    </w:rPr>
                  </w:pPr>
                  <w:r>
                    <w:rPr>
                      <w:rFonts w:hint="eastAsia" w:ascii="Times New Roman" w:hAnsi="Times New Roman" w:eastAsia="宋体" w:cs="Times New Roman"/>
                      <w:bCs/>
                      <w:szCs w:val="21"/>
                    </w:rPr>
                    <w:t>项目生产线密闭，采用洒水降尘等环保设施</w:t>
                  </w:r>
                </w:p>
              </w:tc>
              <w:tc>
                <w:tcPr>
                  <w:tcW w:w="870" w:type="dxa"/>
                  <w:shd w:val="clear" w:color="auto" w:fill="auto"/>
                  <w:vAlign w:val="center"/>
                </w:tcPr>
                <w:p w14:paraId="7876610C">
                  <w:pPr>
                    <w:jc w:val="center"/>
                    <w:rPr>
                      <w:rFonts w:ascii="Times New Roman" w:hAnsi="Times New Roman" w:eastAsia="宋体" w:cs="Times New Roman"/>
                      <w:bCs/>
                      <w:szCs w:val="21"/>
                    </w:rPr>
                  </w:pPr>
                  <w:r>
                    <w:rPr>
                      <w:rFonts w:hint="eastAsia" w:ascii="Times New Roman" w:hAnsi="Times New Roman" w:eastAsia="宋体" w:cs="Times New Roman"/>
                      <w:bCs/>
                      <w:szCs w:val="21"/>
                    </w:rPr>
                    <w:t>符合</w:t>
                  </w:r>
                </w:p>
              </w:tc>
            </w:tr>
            <w:tr w14:paraId="6C2CE3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continue"/>
                  <w:shd w:val="clear" w:color="auto" w:fill="auto"/>
                  <w:vAlign w:val="center"/>
                </w:tcPr>
                <w:p w14:paraId="7ABE720A">
                  <w:pPr>
                    <w:jc w:val="center"/>
                    <w:rPr>
                      <w:rFonts w:ascii="Times New Roman" w:hAnsi="Times New Roman" w:eastAsia="宋体" w:cs="Times New Roman"/>
                      <w:bCs/>
                      <w:szCs w:val="21"/>
                    </w:rPr>
                  </w:pPr>
                </w:p>
              </w:tc>
              <w:tc>
                <w:tcPr>
                  <w:tcW w:w="5103" w:type="dxa"/>
                  <w:shd w:val="clear" w:color="auto" w:fill="auto"/>
                  <w:vAlign w:val="center"/>
                </w:tcPr>
                <w:p w14:paraId="7729E8C8">
                  <w:pPr>
                    <w:jc w:val="center"/>
                    <w:rPr>
                      <w:rFonts w:ascii="Times New Roman" w:hAnsi="Times New Roman" w:eastAsia="宋体" w:cs="Times New Roman"/>
                      <w:bCs/>
                      <w:szCs w:val="21"/>
                    </w:rPr>
                  </w:pPr>
                  <w:r>
                    <w:rPr>
                      <w:rFonts w:hint="eastAsia" w:ascii="Times New Roman" w:hAnsi="Times New Roman" w:eastAsia="宋体" w:cs="Times New Roman"/>
                      <w:bCs/>
                      <w:szCs w:val="21"/>
                    </w:rPr>
                    <w:t>宜配备环境监测、视频监控、工艺运行在线监控系统。</w:t>
                  </w:r>
                </w:p>
              </w:tc>
              <w:tc>
                <w:tcPr>
                  <w:tcW w:w="1984" w:type="dxa"/>
                  <w:shd w:val="clear" w:color="auto" w:fill="auto"/>
                  <w:vAlign w:val="center"/>
                </w:tcPr>
                <w:p w14:paraId="1DD44A4D">
                  <w:pPr>
                    <w:jc w:val="center"/>
                    <w:rPr>
                      <w:rFonts w:ascii="Times New Roman" w:hAnsi="Times New Roman" w:eastAsia="宋体" w:cs="Times New Roman"/>
                      <w:bCs/>
                      <w:szCs w:val="21"/>
                    </w:rPr>
                  </w:pPr>
                  <w:r>
                    <w:rPr>
                      <w:rFonts w:hint="eastAsia" w:ascii="Times New Roman" w:hAnsi="Times New Roman" w:eastAsia="宋体" w:cs="Times New Roman"/>
                      <w:bCs/>
                      <w:szCs w:val="21"/>
                    </w:rPr>
                    <w:t>/</w:t>
                  </w:r>
                </w:p>
              </w:tc>
              <w:tc>
                <w:tcPr>
                  <w:tcW w:w="870" w:type="dxa"/>
                  <w:shd w:val="clear" w:color="auto" w:fill="auto"/>
                  <w:vAlign w:val="center"/>
                </w:tcPr>
                <w:p w14:paraId="7433395F">
                  <w:pPr>
                    <w:jc w:val="center"/>
                    <w:rPr>
                      <w:rFonts w:ascii="Times New Roman" w:hAnsi="Times New Roman" w:eastAsia="宋体" w:cs="Times New Roman"/>
                      <w:bCs/>
                      <w:szCs w:val="21"/>
                    </w:rPr>
                  </w:pPr>
                  <w:r>
                    <w:rPr>
                      <w:rFonts w:hint="eastAsia" w:ascii="Times New Roman" w:hAnsi="Times New Roman" w:eastAsia="宋体" w:cs="Times New Roman"/>
                      <w:bCs/>
                      <w:szCs w:val="21"/>
                    </w:rPr>
                    <w:t>/</w:t>
                  </w:r>
                </w:p>
              </w:tc>
            </w:tr>
            <w:tr w14:paraId="667590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restart"/>
                  <w:shd w:val="clear" w:color="auto" w:fill="auto"/>
                  <w:vAlign w:val="center"/>
                </w:tcPr>
                <w:p w14:paraId="11284357">
                  <w:pPr>
                    <w:jc w:val="center"/>
                    <w:rPr>
                      <w:rFonts w:ascii="Times New Roman" w:hAnsi="Times New Roman" w:eastAsia="宋体" w:cs="Times New Roman"/>
                      <w:bCs/>
                      <w:szCs w:val="21"/>
                    </w:rPr>
                  </w:pPr>
                  <w:r>
                    <w:rPr>
                      <w:rFonts w:hint="eastAsia" w:ascii="Times New Roman" w:hAnsi="Times New Roman" w:eastAsia="宋体" w:cs="Times New Roman"/>
                      <w:bCs/>
                      <w:szCs w:val="21"/>
                    </w:rPr>
                    <w:t>五、环境保护</w:t>
                  </w:r>
                </w:p>
              </w:tc>
              <w:tc>
                <w:tcPr>
                  <w:tcW w:w="5103" w:type="dxa"/>
                  <w:shd w:val="clear" w:color="auto" w:fill="auto"/>
                  <w:vAlign w:val="center"/>
                </w:tcPr>
                <w:p w14:paraId="50AC1714">
                  <w:pPr>
                    <w:jc w:val="center"/>
                    <w:rPr>
                      <w:rFonts w:ascii="Times New Roman" w:hAnsi="Times New Roman" w:eastAsia="宋体" w:cs="Times New Roman"/>
                      <w:bCs/>
                      <w:szCs w:val="21"/>
                    </w:rPr>
                  </w:pPr>
                  <w:r>
                    <w:rPr>
                      <w:rFonts w:hint="eastAsia" w:ascii="Times New Roman" w:hAnsi="Times New Roman" w:eastAsia="宋体" w:cs="Times New Roman"/>
                      <w:bCs/>
                      <w:szCs w:val="21"/>
                    </w:rPr>
                    <w:t>要严格执行《中华人民共和国环境影响评价法》，依法向环境保护行政主管部门报批建筑垃圾资源化利用项目环境影响评价文件，建设与项目相配套的环境保护设施，并依法申请项目竣工环境保护验收。</w:t>
                  </w:r>
                </w:p>
              </w:tc>
              <w:tc>
                <w:tcPr>
                  <w:tcW w:w="1984" w:type="dxa"/>
                  <w:shd w:val="clear" w:color="auto" w:fill="auto"/>
                  <w:vAlign w:val="center"/>
                </w:tcPr>
                <w:p w14:paraId="74FE3620">
                  <w:pPr>
                    <w:jc w:val="center"/>
                    <w:rPr>
                      <w:rFonts w:ascii="Times New Roman" w:hAnsi="Times New Roman" w:eastAsia="宋体" w:cs="Times New Roman"/>
                      <w:bCs/>
                      <w:szCs w:val="21"/>
                    </w:rPr>
                  </w:pPr>
                  <w:r>
                    <w:rPr>
                      <w:rFonts w:hint="eastAsia" w:ascii="Times New Roman" w:hAnsi="Times New Roman" w:eastAsia="宋体" w:cs="Times New Roman"/>
                      <w:bCs/>
                      <w:szCs w:val="21"/>
                    </w:rPr>
                    <w:t>正在编制环境影响评价文件，待项目建成后依法申请环保验收</w:t>
                  </w:r>
                </w:p>
              </w:tc>
              <w:tc>
                <w:tcPr>
                  <w:tcW w:w="870" w:type="dxa"/>
                  <w:shd w:val="clear" w:color="auto" w:fill="auto"/>
                  <w:vAlign w:val="center"/>
                </w:tcPr>
                <w:p w14:paraId="576F5DFD">
                  <w:pPr>
                    <w:jc w:val="center"/>
                    <w:rPr>
                      <w:rFonts w:ascii="Times New Roman" w:hAnsi="Times New Roman" w:eastAsia="宋体" w:cs="Times New Roman"/>
                      <w:bCs/>
                      <w:szCs w:val="21"/>
                    </w:rPr>
                  </w:pPr>
                  <w:r>
                    <w:rPr>
                      <w:rFonts w:hint="eastAsia" w:ascii="Times New Roman" w:hAnsi="Times New Roman" w:eastAsia="宋体" w:cs="Times New Roman"/>
                      <w:bCs/>
                      <w:szCs w:val="21"/>
                    </w:rPr>
                    <w:t>符合</w:t>
                  </w:r>
                </w:p>
              </w:tc>
            </w:tr>
            <w:tr w14:paraId="786C48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continue"/>
                  <w:shd w:val="clear" w:color="auto" w:fill="auto"/>
                  <w:vAlign w:val="center"/>
                </w:tcPr>
                <w:p w14:paraId="4729AD79">
                  <w:pPr>
                    <w:jc w:val="center"/>
                    <w:rPr>
                      <w:rFonts w:ascii="Times New Roman" w:hAnsi="Times New Roman" w:eastAsia="宋体" w:cs="Times New Roman"/>
                      <w:bCs/>
                      <w:szCs w:val="21"/>
                    </w:rPr>
                  </w:pPr>
                </w:p>
              </w:tc>
              <w:tc>
                <w:tcPr>
                  <w:tcW w:w="5103" w:type="dxa"/>
                  <w:shd w:val="clear" w:color="auto" w:fill="auto"/>
                  <w:vAlign w:val="center"/>
                </w:tcPr>
                <w:p w14:paraId="24F0D699">
                  <w:pPr>
                    <w:jc w:val="center"/>
                    <w:rPr>
                      <w:rFonts w:ascii="Times New Roman" w:hAnsi="Times New Roman" w:eastAsia="宋体" w:cs="Times New Roman"/>
                      <w:bCs/>
                      <w:szCs w:val="21"/>
                    </w:rPr>
                  </w:pPr>
                  <w:r>
                    <w:rPr>
                      <w:rFonts w:hint="eastAsia" w:ascii="Times New Roman" w:hAnsi="Times New Roman" w:eastAsia="宋体" w:cs="Times New Roman"/>
                      <w:bCs/>
                      <w:szCs w:val="21"/>
                    </w:rPr>
                    <w:t>建筑垃圾资源化利用企业根据生产需要应设置粉尘回收和储存设备，厂区环境空气质量应达到《环境空气质量标准》GB3095 要求，且符合企业所在地的相关地方标准和环境影响评价要求。</w:t>
                  </w:r>
                </w:p>
              </w:tc>
              <w:tc>
                <w:tcPr>
                  <w:tcW w:w="1984" w:type="dxa"/>
                  <w:shd w:val="clear" w:color="auto" w:fill="auto"/>
                  <w:vAlign w:val="center"/>
                </w:tcPr>
                <w:p w14:paraId="466564AD">
                  <w:pPr>
                    <w:jc w:val="center"/>
                    <w:rPr>
                      <w:rFonts w:ascii="Times New Roman" w:hAnsi="Times New Roman" w:eastAsia="宋体" w:cs="Times New Roman"/>
                      <w:bCs/>
                      <w:szCs w:val="21"/>
                    </w:rPr>
                  </w:pPr>
                  <w:r>
                    <w:rPr>
                      <w:rFonts w:hint="eastAsia" w:ascii="Times New Roman" w:hAnsi="Times New Roman" w:eastAsia="宋体" w:cs="Times New Roman"/>
                      <w:bCs/>
                      <w:szCs w:val="21"/>
                    </w:rPr>
                    <w:t>本项目通过相应环保设施处理后，厂区外环境能达到《环境空气质量标准》GB3095 要求。</w:t>
                  </w:r>
                </w:p>
              </w:tc>
              <w:tc>
                <w:tcPr>
                  <w:tcW w:w="870" w:type="dxa"/>
                  <w:shd w:val="clear" w:color="auto" w:fill="auto"/>
                  <w:vAlign w:val="center"/>
                </w:tcPr>
                <w:p w14:paraId="3AD42A6C">
                  <w:pPr>
                    <w:jc w:val="center"/>
                    <w:rPr>
                      <w:rFonts w:ascii="Times New Roman" w:hAnsi="Times New Roman" w:eastAsia="宋体" w:cs="Times New Roman"/>
                      <w:bCs/>
                      <w:szCs w:val="21"/>
                    </w:rPr>
                  </w:pPr>
                  <w:r>
                    <w:rPr>
                      <w:rFonts w:hint="eastAsia" w:ascii="Times New Roman" w:hAnsi="Times New Roman" w:eastAsia="宋体" w:cs="Times New Roman"/>
                      <w:bCs/>
                      <w:szCs w:val="21"/>
                    </w:rPr>
                    <w:t>符合</w:t>
                  </w:r>
                </w:p>
              </w:tc>
            </w:tr>
            <w:tr w14:paraId="4640FD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continue"/>
                  <w:shd w:val="clear" w:color="auto" w:fill="auto"/>
                  <w:vAlign w:val="center"/>
                </w:tcPr>
                <w:p w14:paraId="6D244E19">
                  <w:pPr>
                    <w:jc w:val="center"/>
                    <w:rPr>
                      <w:rFonts w:ascii="Times New Roman" w:hAnsi="Times New Roman" w:eastAsia="宋体" w:cs="Times New Roman"/>
                      <w:bCs/>
                      <w:szCs w:val="21"/>
                    </w:rPr>
                  </w:pPr>
                </w:p>
              </w:tc>
              <w:tc>
                <w:tcPr>
                  <w:tcW w:w="5103" w:type="dxa"/>
                  <w:shd w:val="clear" w:color="auto" w:fill="auto"/>
                  <w:vAlign w:val="center"/>
                </w:tcPr>
                <w:p w14:paraId="24D50BB2">
                  <w:pPr>
                    <w:jc w:val="center"/>
                    <w:rPr>
                      <w:rFonts w:ascii="Times New Roman" w:hAnsi="Times New Roman" w:eastAsia="宋体" w:cs="Times New Roman"/>
                      <w:bCs/>
                      <w:szCs w:val="21"/>
                    </w:rPr>
                  </w:pPr>
                  <w:r>
                    <w:rPr>
                      <w:rFonts w:hint="eastAsia" w:ascii="Times New Roman" w:hAnsi="Times New Roman" w:eastAsia="宋体" w:cs="Times New Roman"/>
                      <w:bCs/>
                      <w:szCs w:val="21"/>
                    </w:rPr>
                    <w:t>建筑垃圾资源化利用企业应根据生产工艺的需求，建设生产废水处理系统，实现生产废水循环利用和零排放。</w:t>
                  </w:r>
                </w:p>
              </w:tc>
              <w:tc>
                <w:tcPr>
                  <w:tcW w:w="1984" w:type="dxa"/>
                  <w:shd w:val="clear" w:color="auto" w:fill="auto"/>
                  <w:vAlign w:val="center"/>
                </w:tcPr>
                <w:p w14:paraId="1C2E73D3">
                  <w:pPr>
                    <w:jc w:val="center"/>
                    <w:rPr>
                      <w:rFonts w:ascii="Times New Roman" w:hAnsi="Times New Roman" w:eastAsia="宋体" w:cs="Times New Roman"/>
                      <w:bCs/>
                      <w:szCs w:val="21"/>
                    </w:rPr>
                  </w:pPr>
                  <w:r>
                    <w:rPr>
                      <w:rFonts w:hint="eastAsia" w:ascii="Times New Roman" w:hAnsi="Times New Roman" w:eastAsia="宋体" w:cs="Times New Roman"/>
                      <w:bCs/>
                      <w:szCs w:val="21"/>
                    </w:rPr>
                    <w:t>项目生产废水经三级沉淀循环使用，不外排</w:t>
                  </w:r>
                </w:p>
              </w:tc>
              <w:tc>
                <w:tcPr>
                  <w:tcW w:w="870" w:type="dxa"/>
                  <w:shd w:val="clear" w:color="auto" w:fill="auto"/>
                  <w:vAlign w:val="center"/>
                </w:tcPr>
                <w:p w14:paraId="3D1E160E">
                  <w:pPr>
                    <w:jc w:val="center"/>
                    <w:rPr>
                      <w:rFonts w:ascii="Times New Roman" w:hAnsi="Times New Roman" w:eastAsia="宋体" w:cs="Times New Roman"/>
                      <w:bCs/>
                      <w:szCs w:val="21"/>
                    </w:rPr>
                  </w:pPr>
                  <w:r>
                    <w:rPr>
                      <w:rFonts w:hint="eastAsia" w:ascii="Times New Roman" w:hAnsi="Times New Roman" w:eastAsia="宋体" w:cs="Times New Roman"/>
                      <w:bCs/>
                      <w:szCs w:val="21"/>
                    </w:rPr>
                    <w:t>符合</w:t>
                  </w:r>
                </w:p>
              </w:tc>
            </w:tr>
            <w:tr w14:paraId="3C0086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Merge w:val="continue"/>
                  <w:shd w:val="clear" w:color="auto" w:fill="auto"/>
                  <w:vAlign w:val="center"/>
                </w:tcPr>
                <w:p w14:paraId="465BAF44">
                  <w:pPr>
                    <w:jc w:val="center"/>
                    <w:rPr>
                      <w:rFonts w:ascii="Times New Roman" w:hAnsi="Times New Roman" w:eastAsia="宋体" w:cs="Times New Roman"/>
                      <w:bCs/>
                      <w:szCs w:val="21"/>
                    </w:rPr>
                  </w:pPr>
                </w:p>
              </w:tc>
              <w:tc>
                <w:tcPr>
                  <w:tcW w:w="5103" w:type="dxa"/>
                  <w:shd w:val="clear" w:color="auto" w:fill="auto"/>
                  <w:vAlign w:val="center"/>
                </w:tcPr>
                <w:p w14:paraId="465FA8EE">
                  <w:pPr>
                    <w:jc w:val="center"/>
                    <w:rPr>
                      <w:rFonts w:ascii="Times New Roman" w:hAnsi="Times New Roman" w:eastAsia="宋体" w:cs="Times New Roman"/>
                      <w:bCs/>
                      <w:szCs w:val="21"/>
                    </w:rPr>
                  </w:pPr>
                  <w:r>
                    <w:rPr>
                      <w:rFonts w:hint="eastAsia" w:ascii="Times New Roman" w:hAnsi="Times New Roman" w:eastAsia="宋体" w:cs="Times New Roman"/>
                      <w:bCs/>
                      <w:szCs w:val="21"/>
                    </w:rPr>
                    <w:t>建筑垃圾资源化利用企业应对噪声污染采取防治措施，达到《工业企业厂界环境噪声排放标准》GB12348 的要求，且符合企业所在地的相关地方标准和环境影响评价要求。</w:t>
                  </w:r>
                </w:p>
              </w:tc>
              <w:tc>
                <w:tcPr>
                  <w:tcW w:w="1984" w:type="dxa"/>
                  <w:shd w:val="clear" w:color="auto" w:fill="auto"/>
                  <w:vAlign w:val="center"/>
                </w:tcPr>
                <w:p w14:paraId="5EE09B82">
                  <w:pPr>
                    <w:rPr>
                      <w:rFonts w:ascii="Times New Roman" w:hAnsi="Times New Roman" w:eastAsia="宋体" w:cs="Times New Roman"/>
                      <w:bCs/>
                      <w:szCs w:val="21"/>
                    </w:rPr>
                  </w:pPr>
                  <w:r>
                    <w:rPr>
                      <w:rFonts w:hint="eastAsia" w:ascii="Times New Roman" w:hAnsi="Times New Roman" w:eastAsia="宋体" w:cs="Times New Roman"/>
                      <w:bCs/>
                      <w:szCs w:val="21"/>
                    </w:rPr>
                    <w:t>项目夜间不生产，在做好平面布局，基座减震等措施，根据预测项目贡献值符合（G</w:t>
                  </w:r>
                  <w:r>
                    <w:rPr>
                      <w:rFonts w:ascii="Times New Roman" w:hAnsi="Times New Roman" w:eastAsia="宋体" w:cs="Times New Roman"/>
                      <w:bCs/>
                      <w:szCs w:val="21"/>
                    </w:rPr>
                    <w:t>B12348-2008</w:t>
                  </w:r>
                  <w:r>
                    <w:rPr>
                      <w:rFonts w:hint="eastAsia" w:ascii="Times New Roman" w:hAnsi="Times New Roman" w:eastAsia="宋体" w:cs="Times New Roman"/>
                      <w:bCs/>
                      <w:szCs w:val="21"/>
                    </w:rPr>
                    <w:t>）相关要求</w:t>
                  </w:r>
                </w:p>
              </w:tc>
              <w:tc>
                <w:tcPr>
                  <w:tcW w:w="870" w:type="dxa"/>
                  <w:shd w:val="clear" w:color="auto" w:fill="auto"/>
                  <w:vAlign w:val="center"/>
                </w:tcPr>
                <w:p w14:paraId="69BABD64">
                  <w:pPr>
                    <w:jc w:val="center"/>
                    <w:rPr>
                      <w:rFonts w:ascii="Times New Roman" w:hAnsi="Times New Roman" w:eastAsia="宋体" w:cs="Times New Roman"/>
                      <w:bCs/>
                      <w:szCs w:val="21"/>
                    </w:rPr>
                  </w:pPr>
                  <w:r>
                    <w:rPr>
                      <w:rFonts w:hint="eastAsia" w:ascii="Times New Roman" w:hAnsi="Times New Roman" w:eastAsia="宋体" w:cs="Times New Roman"/>
                      <w:bCs/>
                      <w:szCs w:val="21"/>
                    </w:rPr>
                    <w:t>符合</w:t>
                  </w:r>
                </w:p>
              </w:tc>
            </w:tr>
          </w:tbl>
          <w:p w14:paraId="7B26BA43">
            <w:pPr>
              <w:spacing w:line="360" w:lineRule="auto"/>
              <w:ind w:firstLine="480" w:firstLineChars="200"/>
              <w:rPr>
                <w:rFonts w:ascii="Times New Roman" w:hAnsi="Times New Roman" w:eastAsia="宋体" w:cs="Times New Roman"/>
                <w:bCs/>
                <w:sz w:val="24"/>
                <w:szCs w:val="24"/>
              </w:rPr>
            </w:pPr>
            <w:r>
              <w:rPr>
                <w:rFonts w:hint="eastAsia" w:ascii="Times New Roman" w:hAnsi="Times New Roman" w:eastAsia="宋体" w:cs="Times New Roman"/>
                <w:bCs/>
                <w:sz w:val="24"/>
                <w:szCs w:val="24"/>
              </w:rPr>
              <w:t>综上，本项目的建设符合《建筑垃圾资源化利用行业规范条件（暂行）》相关要求。</w:t>
            </w:r>
          </w:p>
          <w:p w14:paraId="1D4375A2">
            <w:pPr>
              <w:spacing w:line="360" w:lineRule="auto"/>
              <w:ind w:firstLine="482" w:firstLineChars="200"/>
              <w:rPr>
                <w:rFonts w:ascii="Times New Roman" w:hAnsi="Times New Roman" w:eastAsia="宋体" w:cs="Times New Roman"/>
                <w:b/>
                <w:color w:val="FF0000"/>
                <w:sz w:val="24"/>
                <w:szCs w:val="24"/>
              </w:rPr>
            </w:pPr>
            <w:r>
              <w:rPr>
                <w:rFonts w:hint="eastAsia" w:ascii="Times New Roman" w:hAnsi="Times New Roman" w:eastAsia="宋体" w:cs="Times New Roman"/>
                <w:b/>
                <w:color w:val="FF0000"/>
                <w:sz w:val="24"/>
                <w:szCs w:val="24"/>
              </w:rPr>
              <w:t>（4）与《固体废物再生利用污染防治技术导则》（H</w:t>
            </w:r>
            <w:r>
              <w:rPr>
                <w:rFonts w:ascii="Times New Roman" w:hAnsi="Times New Roman" w:eastAsia="宋体" w:cs="Times New Roman"/>
                <w:b/>
                <w:color w:val="FF0000"/>
                <w:sz w:val="24"/>
                <w:szCs w:val="24"/>
              </w:rPr>
              <w:t>J1091-2020</w:t>
            </w:r>
            <w:r>
              <w:rPr>
                <w:rFonts w:hint="eastAsia" w:ascii="Times New Roman" w:hAnsi="Times New Roman" w:eastAsia="宋体" w:cs="Times New Roman"/>
                <w:b/>
                <w:color w:val="FF0000"/>
                <w:sz w:val="24"/>
                <w:szCs w:val="24"/>
              </w:rPr>
              <w:t>）符合性分析</w:t>
            </w:r>
          </w:p>
          <w:p w14:paraId="7997BCC6">
            <w:pPr>
              <w:spacing w:line="360" w:lineRule="auto"/>
              <w:ind w:firstLine="480" w:firstLineChars="200"/>
              <w:rPr>
                <w:rFonts w:ascii="Times New Roman" w:hAnsi="Times New Roman" w:eastAsia="宋体" w:cs="Times New Roman"/>
                <w:bCs/>
                <w:color w:val="FF0000"/>
                <w:sz w:val="24"/>
                <w:szCs w:val="24"/>
              </w:rPr>
            </w:pPr>
            <w:r>
              <w:rPr>
                <w:rFonts w:hint="eastAsia" w:ascii="Times New Roman" w:hAnsi="Times New Roman" w:eastAsia="宋体" w:cs="Times New Roman"/>
                <w:bCs/>
                <w:color w:val="FF0000"/>
                <w:sz w:val="24"/>
                <w:szCs w:val="24"/>
              </w:rPr>
              <w:t>根据《中华人民共和国固体废物污染环境防治法》（2</w:t>
            </w:r>
            <w:r>
              <w:rPr>
                <w:rFonts w:ascii="Times New Roman" w:hAnsi="Times New Roman" w:eastAsia="宋体" w:cs="Times New Roman"/>
                <w:bCs/>
                <w:color w:val="FF0000"/>
                <w:sz w:val="24"/>
                <w:szCs w:val="24"/>
              </w:rPr>
              <w:t>020</w:t>
            </w:r>
            <w:r>
              <w:rPr>
                <w:rFonts w:hint="eastAsia" w:ascii="Times New Roman" w:hAnsi="Times New Roman" w:eastAsia="宋体" w:cs="Times New Roman"/>
                <w:bCs/>
                <w:color w:val="FF0000"/>
                <w:sz w:val="24"/>
                <w:szCs w:val="24"/>
              </w:rPr>
              <w:t>修订），国家鼓励采用先进技术、工艺、设备和管理措施，推进建筑垃圾源头减量，建立建筑垃圾回收利用体系。由此，本项目拟</w:t>
            </w:r>
            <w:r>
              <w:rPr>
                <w:rFonts w:hint="eastAsia" w:ascii="Times New Roman" w:hAnsi="Times New Roman" w:eastAsia="宋体" w:cs="Times New Roman"/>
                <w:bCs/>
                <w:color w:val="FF0000"/>
                <w:sz w:val="24"/>
                <w:szCs w:val="24"/>
                <w:lang w:eastAsia="zh-CN"/>
              </w:rPr>
              <w:t>建设</w:t>
            </w:r>
            <w:r>
              <w:rPr>
                <w:rFonts w:hint="eastAsia" w:ascii="Times New Roman" w:hAnsi="Times New Roman" w:eastAsia="宋体" w:cs="Times New Roman"/>
                <w:bCs/>
                <w:color w:val="FF0000"/>
                <w:sz w:val="24"/>
                <w:szCs w:val="24"/>
              </w:rPr>
              <w:t>建筑垃圾资源化回收利用项目。本项目属于固体废物建材利用，利用固体废物直接代替传统建筑材料生产原料，</w:t>
            </w:r>
            <w:r>
              <w:rPr>
                <w:rFonts w:ascii="Times New Roman" w:hAnsi="Times New Roman" w:eastAsia="宋体" w:cs="Times New Roman"/>
                <w:bCs/>
                <w:color w:val="FF0000"/>
                <w:sz w:val="24"/>
                <w:szCs w:val="24"/>
              </w:rPr>
              <w:t>或将其转化为建筑材料生产原料来生产</w:t>
            </w:r>
            <w:r>
              <w:rPr>
                <w:rFonts w:hint="eastAsia" w:ascii="Times New Roman" w:hAnsi="Times New Roman" w:eastAsia="宋体" w:cs="Times New Roman"/>
                <w:bCs/>
                <w:color w:val="FF0000"/>
                <w:sz w:val="24"/>
                <w:szCs w:val="24"/>
              </w:rPr>
              <w:t>建材的过程。固体废物建材利用的主要形式包括利用固体废物生产水泥、砖瓦、轻骨料、混凝土、玻璃、陶瓷、陶粒、路基材料等。</w:t>
            </w:r>
          </w:p>
          <w:p w14:paraId="18F261F2">
            <w:pPr>
              <w:spacing w:line="360" w:lineRule="auto"/>
              <w:ind w:firstLine="482" w:firstLineChars="200"/>
              <w:jc w:val="center"/>
              <w:rPr>
                <w:rFonts w:ascii="Times New Roman" w:hAnsi="Times New Roman" w:eastAsia="宋体" w:cs="Times New Roman"/>
                <w:b/>
                <w:color w:val="FF0000"/>
                <w:sz w:val="24"/>
                <w:szCs w:val="24"/>
              </w:rPr>
            </w:pPr>
            <w:r>
              <w:rPr>
                <w:rFonts w:hint="eastAsia" w:ascii="Times New Roman" w:hAnsi="Times New Roman" w:eastAsia="宋体" w:cs="Times New Roman"/>
                <w:b/>
                <w:color w:val="FF0000"/>
                <w:sz w:val="24"/>
                <w:szCs w:val="24"/>
              </w:rPr>
              <w:t>表1</w:t>
            </w:r>
            <w:r>
              <w:rPr>
                <w:rFonts w:ascii="Times New Roman" w:hAnsi="Times New Roman" w:eastAsia="宋体" w:cs="Times New Roman"/>
                <w:b/>
                <w:color w:val="FF0000"/>
                <w:sz w:val="24"/>
                <w:szCs w:val="24"/>
              </w:rPr>
              <w:t xml:space="preserve">-3 </w:t>
            </w:r>
            <w:r>
              <w:rPr>
                <w:rFonts w:hint="eastAsia" w:ascii="Times New Roman" w:hAnsi="Times New Roman" w:eastAsia="宋体" w:cs="Times New Roman"/>
                <w:b/>
                <w:color w:val="FF0000"/>
                <w:sz w:val="24"/>
                <w:szCs w:val="24"/>
              </w:rPr>
              <w:t>固体废物建材利用污染防治技术要求</w:t>
            </w:r>
          </w:p>
          <w:tbl>
            <w:tblPr>
              <w:tblStyle w:val="27"/>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25"/>
              <w:gridCol w:w="3818"/>
              <w:gridCol w:w="4385"/>
            </w:tblGrid>
            <w:tr w14:paraId="7BF684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726" w:type="dxa"/>
                  <w:vAlign w:val="center"/>
                </w:tcPr>
                <w:p w14:paraId="4C846051">
                  <w:pPr>
                    <w:jc w:val="center"/>
                    <w:rPr>
                      <w:rFonts w:ascii="Times New Roman" w:hAnsi="Times New Roman" w:eastAsia="宋体" w:cs="Times New Roman"/>
                      <w:b/>
                      <w:color w:val="FF0000"/>
                      <w:sz w:val="24"/>
                      <w:szCs w:val="24"/>
                    </w:rPr>
                  </w:pPr>
                  <w:r>
                    <w:rPr>
                      <w:rFonts w:hint="eastAsia" w:ascii="Times New Roman" w:hAnsi="Times New Roman" w:eastAsia="宋体" w:cs="Times New Roman"/>
                      <w:b/>
                      <w:color w:val="FF0000"/>
                      <w:sz w:val="24"/>
                      <w:szCs w:val="24"/>
                    </w:rPr>
                    <w:t>序号</w:t>
                  </w:r>
                </w:p>
              </w:tc>
              <w:tc>
                <w:tcPr>
                  <w:tcW w:w="3827" w:type="dxa"/>
                  <w:vAlign w:val="center"/>
                </w:tcPr>
                <w:p w14:paraId="0D6FECDA">
                  <w:pPr>
                    <w:jc w:val="center"/>
                    <w:rPr>
                      <w:rFonts w:ascii="Times New Roman" w:hAnsi="Times New Roman" w:eastAsia="宋体" w:cs="Times New Roman"/>
                      <w:b/>
                      <w:color w:val="FF0000"/>
                      <w:sz w:val="24"/>
                      <w:szCs w:val="24"/>
                    </w:rPr>
                  </w:pPr>
                  <w:r>
                    <w:rPr>
                      <w:rFonts w:hint="eastAsia" w:ascii="Times New Roman" w:hAnsi="Times New Roman" w:eastAsia="宋体" w:cs="Times New Roman"/>
                      <w:b/>
                      <w:color w:val="FF0000"/>
                      <w:sz w:val="24"/>
                      <w:szCs w:val="24"/>
                    </w:rPr>
                    <w:t>技术要求</w:t>
                  </w:r>
                </w:p>
              </w:tc>
              <w:tc>
                <w:tcPr>
                  <w:tcW w:w="4395" w:type="dxa"/>
                  <w:vAlign w:val="center"/>
                </w:tcPr>
                <w:p w14:paraId="19DE307A">
                  <w:pPr>
                    <w:jc w:val="center"/>
                    <w:rPr>
                      <w:rFonts w:ascii="Times New Roman" w:hAnsi="Times New Roman" w:eastAsia="宋体" w:cs="Times New Roman"/>
                      <w:b/>
                      <w:color w:val="FF0000"/>
                      <w:sz w:val="24"/>
                      <w:szCs w:val="24"/>
                    </w:rPr>
                  </w:pPr>
                  <w:r>
                    <w:rPr>
                      <w:rFonts w:hint="eastAsia" w:ascii="Times New Roman" w:hAnsi="Times New Roman" w:eastAsia="宋体" w:cs="Times New Roman"/>
                      <w:b/>
                      <w:color w:val="FF0000"/>
                      <w:sz w:val="24"/>
                      <w:szCs w:val="24"/>
                    </w:rPr>
                    <w:t>符合性分析</w:t>
                  </w:r>
                </w:p>
              </w:tc>
            </w:tr>
            <w:tr w14:paraId="04B704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726" w:type="dxa"/>
                  <w:vAlign w:val="center"/>
                </w:tcPr>
                <w:p w14:paraId="3B46D81B">
                  <w:pPr>
                    <w:jc w:val="center"/>
                    <w:rPr>
                      <w:rFonts w:ascii="Times New Roman" w:hAnsi="Times New Roman" w:eastAsia="宋体" w:cs="Times New Roman"/>
                      <w:bCs/>
                      <w:color w:val="FF0000"/>
                      <w:sz w:val="24"/>
                      <w:szCs w:val="24"/>
                    </w:rPr>
                  </w:pPr>
                  <w:r>
                    <w:rPr>
                      <w:rFonts w:hint="eastAsia" w:ascii="Times New Roman" w:hAnsi="Times New Roman" w:eastAsia="宋体" w:cs="Times New Roman"/>
                      <w:bCs/>
                      <w:color w:val="FF0000"/>
                      <w:sz w:val="24"/>
                      <w:szCs w:val="24"/>
                    </w:rPr>
                    <w:t>1</w:t>
                  </w:r>
                </w:p>
              </w:tc>
              <w:tc>
                <w:tcPr>
                  <w:tcW w:w="3827" w:type="dxa"/>
                  <w:vAlign w:val="center"/>
                </w:tcPr>
                <w:p w14:paraId="27DD4BF7">
                  <w:pPr>
                    <w:jc w:val="center"/>
                    <w:rPr>
                      <w:rFonts w:ascii="Times New Roman" w:hAnsi="Times New Roman" w:eastAsia="宋体" w:cs="Times New Roman"/>
                      <w:bCs/>
                      <w:color w:val="FF0000"/>
                      <w:sz w:val="24"/>
                      <w:szCs w:val="24"/>
                    </w:rPr>
                  </w:pPr>
                  <w:r>
                    <w:rPr>
                      <w:rFonts w:ascii="Times New Roman" w:hAnsi="Times New Roman" w:eastAsia="宋体" w:cs="Times New Roman"/>
                      <w:bCs/>
                      <w:color w:val="FF0000"/>
                      <w:sz w:val="24"/>
                      <w:szCs w:val="24"/>
                    </w:rPr>
                    <w:t>固体废物建材利用设施应配备必要的废气处理、防止或降低噪声与粉尘处理等污染防治</w:t>
                  </w:r>
                  <w:r>
                    <w:rPr>
                      <w:rFonts w:hint="eastAsia" w:ascii="Times New Roman" w:hAnsi="Times New Roman" w:eastAsia="宋体" w:cs="Times New Roman"/>
                      <w:bCs/>
                      <w:color w:val="FF0000"/>
                      <w:sz w:val="24"/>
                      <w:szCs w:val="24"/>
                    </w:rPr>
                    <w:t>装置。</w:t>
                  </w:r>
                </w:p>
              </w:tc>
              <w:tc>
                <w:tcPr>
                  <w:tcW w:w="4395" w:type="dxa"/>
                  <w:vAlign w:val="center"/>
                </w:tcPr>
                <w:p w14:paraId="6FB8197F">
                  <w:pPr>
                    <w:jc w:val="center"/>
                    <w:rPr>
                      <w:rFonts w:ascii="Times New Roman" w:hAnsi="Times New Roman" w:eastAsia="宋体" w:cs="Times New Roman"/>
                      <w:bCs/>
                      <w:color w:val="FF0000"/>
                      <w:sz w:val="24"/>
                      <w:szCs w:val="24"/>
                    </w:rPr>
                  </w:pPr>
                  <w:r>
                    <w:rPr>
                      <w:rFonts w:hint="eastAsia" w:ascii="Times New Roman" w:hAnsi="Times New Roman" w:eastAsia="宋体" w:cs="Times New Roman"/>
                      <w:bCs/>
                      <w:color w:val="FF0000"/>
                      <w:sz w:val="24"/>
                      <w:szCs w:val="24"/>
                    </w:rPr>
                    <w:t>项目采取密闭车间，设置喷淋除尘措施，同时采用湿法作业，在一破</w:t>
                  </w:r>
                  <w:r>
                    <w:rPr>
                      <w:rFonts w:hint="eastAsia" w:ascii="Times New Roman" w:hAnsi="Times New Roman" w:eastAsia="宋体" w:cs="Times New Roman"/>
                      <w:bCs/>
                      <w:color w:val="FF0000"/>
                      <w:sz w:val="24"/>
                      <w:szCs w:val="24"/>
                      <w:lang w:eastAsia="zh-CN"/>
                    </w:rPr>
                    <w:t>时</w:t>
                  </w:r>
                  <w:r>
                    <w:rPr>
                      <w:rFonts w:hint="eastAsia" w:ascii="Times New Roman" w:hAnsi="Times New Roman" w:eastAsia="宋体" w:cs="Times New Roman"/>
                      <w:bCs/>
                      <w:color w:val="FF0000"/>
                      <w:sz w:val="24"/>
                      <w:szCs w:val="24"/>
                    </w:rPr>
                    <w:t>进行洒水操作；设置喷雾除尘、防尘网、清洗轮胎等措施防治扬尘。噪声采取设备减震、合理布局、定期维护等措施</w:t>
                  </w:r>
                </w:p>
              </w:tc>
            </w:tr>
            <w:tr w14:paraId="67F139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726" w:type="dxa"/>
                  <w:vAlign w:val="center"/>
                </w:tcPr>
                <w:p w14:paraId="7C21D010">
                  <w:pPr>
                    <w:jc w:val="center"/>
                    <w:rPr>
                      <w:rFonts w:ascii="Times New Roman" w:hAnsi="Times New Roman" w:eastAsia="宋体" w:cs="Times New Roman"/>
                      <w:bCs/>
                      <w:color w:val="FF0000"/>
                      <w:sz w:val="24"/>
                      <w:szCs w:val="24"/>
                    </w:rPr>
                  </w:pPr>
                  <w:r>
                    <w:rPr>
                      <w:rFonts w:hint="eastAsia" w:ascii="Times New Roman" w:hAnsi="Times New Roman" w:eastAsia="宋体" w:cs="Times New Roman"/>
                      <w:bCs/>
                      <w:color w:val="FF0000"/>
                      <w:sz w:val="24"/>
                      <w:szCs w:val="24"/>
                    </w:rPr>
                    <w:t>2</w:t>
                  </w:r>
                </w:p>
              </w:tc>
              <w:tc>
                <w:tcPr>
                  <w:tcW w:w="3827" w:type="dxa"/>
                  <w:vAlign w:val="center"/>
                </w:tcPr>
                <w:p w14:paraId="3837E202">
                  <w:pPr>
                    <w:jc w:val="center"/>
                    <w:rPr>
                      <w:rFonts w:ascii="Times New Roman" w:hAnsi="Times New Roman" w:eastAsia="宋体" w:cs="Times New Roman"/>
                      <w:bCs/>
                      <w:color w:val="FF0000"/>
                      <w:sz w:val="24"/>
                      <w:szCs w:val="24"/>
                    </w:rPr>
                  </w:pPr>
                  <w:r>
                    <w:rPr>
                      <w:rFonts w:ascii="Times New Roman" w:hAnsi="Times New Roman" w:eastAsia="宋体" w:cs="Times New Roman"/>
                      <w:bCs/>
                      <w:color w:val="FF0000"/>
                      <w:sz w:val="24"/>
                      <w:szCs w:val="24"/>
                    </w:rPr>
                    <w:t>利用固体废物生产水泥过程及产品的污染控制应满足GB 30485</w:t>
                  </w:r>
                  <w:r>
                    <w:rPr>
                      <w:rFonts w:hint="eastAsia" w:ascii="Times New Roman" w:hAnsi="Times New Roman" w:eastAsia="宋体" w:cs="Times New Roman"/>
                      <w:bCs/>
                      <w:color w:val="FF0000"/>
                      <w:sz w:val="24"/>
                      <w:szCs w:val="24"/>
                    </w:rPr>
                    <w:t>。</w:t>
                  </w:r>
                  <w:r>
                    <w:rPr>
                      <w:rFonts w:ascii="Times New Roman" w:hAnsi="Times New Roman" w:eastAsia="宋体" w:cs="Times New Roman"/>
                      <w:bCs/>
                      <w:color w:val="FF0000"/>
                      <w:sz w:val="24"/>
                      <w:szCs w:val="24"/>
                    </w:rPr>
                    <w:t>HJ 662与GB 30760的</w:t>
                  </w:r>
                  <w:r>
                    <w:rPr>
                      <w:rFonts w:hint="eastAsia" w:ascii="Times New Roman" w:hAnsi="Times New Roman" w:eastAsia="宋体" w:cs="Times New Roman"/>
                      <w:bCs/>
                      <w:color w:val="FF0000"/>
                      <w:sz w:val="24"/>
                      <w:szCs w:val="24"/>
                    </w:rPr>
                    <w:t>要求。</w:t>
                  </w:r>
                </w:p>
              </w:tc>
              <w:tc>
                <w:tcPr>
                  <w:tcW w:w="4395" w:type="dxa"/>
                  <w:vAlign w:val="center"/>
                </w:tcPr>
                <w:p w14:paraId="52E64BA7">
                  <w:pPr>
                    <w:jc w:val="center"/>
                    <w:rPr>
                      <w:rFonts w:ascii="Times New Roman" w:hAnsi="Times New Roman" w:eastAsia="宋体" w:cs="Times New Roman"/>
                      <w:bCs/>
                      <w:color w:val="FF0000"/>
                      <w:sz w:val="24"/>
                      <w:szCs w:val="24"/>
                    </w:rPr>
                  </w:pPr>
                  <w:r>
                    <w:rPr>
                      <w:rFonts w:hint="eastAsia" w:ascii="Times New Roman" w:hAnsi="Times New Roman" w:eastAsia="宋体" w:cs="Times New Roman"/>
                      <w:bCs/>
                      <w:color w:val="FF0000"/>
                      <w:sz w:val="24"/>
                      <w:szCs w:val="24"/>
                    </w:rPr>
                    <w:t>项目原料固体废物不含G</w:t>
                  </w:r>
                  <w:r>
                    <w:rPr>
                      <w:rFonts w:ascii="Times New Roman" w:hAnsi="Times New Roman" w:eastAsia="宋体" w:cs="Times New Roman"/>
                      <w:bCs/>
                      <w:color w:val="FF0000"/>
                      <w:sz w:val="24"/>
                      <w:szCs w:val="24"/>
                    </w:rPr>
                    <w:t>B30760</w:t>
                  </w:r>
                  <w:r>
                    <w:rPr>
                      <w:rFonts w:hint="eastAsia" w:ascii="Times New Roman" w:hAnsi="Times New Roman" w:eastAsia="宋体" w:cs="Times New Roman"/>
                      <w:bCs/>
                      <w:color w:val="FF0000"/>
                      <w:sz w:val="24"/>
                      <w:szCs w:val="24"/>
                    </w:rPr>
                    <w:t>不应协同处置的废物</w:t>
                  </w:r>
                </w:p>
              </w:tc>
            </w:tr>
            <w:tr w14:paraId="429CE5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726" w:type="dxa"/>
                  <w:vAlign w:val="center"/>
                </w:tcPr>
                <w:p w14:paraId="2C2C838B">
                  <w:pPr>
                    <w:jc w:val="center"/>
                    <w:rPr>
                      <w:rFonts w:ascii="Times New Roman" w:hAnsi="Times New Roman" w:eastAsia="宋体" w:cs="Times New Roman"/>
                      <w:bCs/>
                      <w:color w:val="FF0000"/>
                      <w:sz w:val="24"/>
                      <w:szCs w:val="24"/>
                    </w:rPr>
                  </w:pPr>
                  <w:r>
                    <w:rPr>
                      <w:rFonts w:hint="eastAsia" w:ascii="Times New Roman" w:hAnsi="Times New Roman" w:eastAsia="宋体" w:cs="Times New Roman"/>
                      <w:bCs/>
                      <w:color w:val="FF0000"/>
                      <w:sz w:val="24"/>
                      <w:szCs w:val="24"/>
                    </w:rPr>
                    <w:t>3</w:t>
                  </w:r>
                </w:p>
              </w:tc>
              <w:tc>
                <w:tcPr>
                  <w:tcW w:w="3827" w:type="dxa"/>
                  <w:vAlign w:val="center"/>
                </w:tcPr>
                <w:p w14:paraId="42BF2471">
                  <w:pPr>
                    <w:jc w:val="center"/>
                    <w:rPr>
                      <w:rFonts w:ascii="Times New Roman" w:hAnsi="Times New Roman" w:eastAsia="宋体" w:cs="Times New Roman"/>
                      <w:bCs/>
                      <w:color w:val="FF0000"/>
                      <w:sz w:val="24"/>
                      <w:szCs w:val="24"/>
                    </w:rPr>
                  </w:pPr>
                  <w:r>
                    <w:rPr>
                      <w:rFonts w:ascii="Times New Roman" w:hAnsi="Times New Roman" w:eastAsia="宋体" w:cs="Times New Roman"/>
                      <w:bCs/>
                      <w:color w:val="FF0000"/>
                      <w:sz w:val="24"/>
                      <w:szCs w:val="24"/>
                    </w:rPr>
                    <w:t>利用固体废物生产砖瓦、轻骨料、集料、玻璃、陶瓷、陶粒、路基材料等建材过程的污</w:t>
                  </w:r>
                  <w:r>
                    <w:rPr>
                      <w:rFonts w:hint="eastAsia" w:ascii="Times New Roman" w:hAnsi="Times New Roman" w:eastAsia="宋体" w:cs="Times New Roman"/>
                      <w:bCs/>
                      <w:color w:val="FF0000"/>
                      <w:sz w:val="24"/>
                      <w:szCs w:val="24"/>
                    </w:rPr>
                    <w:t>染控制执行相关行业污染物排放标准，</w:t>
                  </w:r>
                  <w:r>
                    <w:rPr>
                      <w:rFonts w:ascii="Times New Roman" w:hAnsi="Times New Roman" w:eastAsia="宋体" w:cs="Times New Roman"/>
                      <w:bCs/>
                      <w:color w:val="FF0000"/>
                      <w:sz w:val="24"/>
                      <w:szCs w:val="24"/>
                    </w:rPr>
                    <w:t>相关产品中有害物质含量参照GB30760的要求执行。</w:t>
                  </w:r>
                </w:p>
              </w:tc>
              <w:tc>
                <w:tcPr>
                  <w:tcW w:w="4395" w:type="dxa"/>
                  <w:vAlign w:val="center"/>
                </w:tcPr>
                <w:p w14:paraId="39E5DEB0">
                  <w:pPr>
                    <w:jc w:val="center"/>
                    <w:rPr>
                      <w:rFonts w:ascii="Times New Roman" w:hAnsi="Times New Roman" w:eastAsia="宋体" w:cs="Times New Roman"/>
                      <w:bCs/>
                      <w:color w:val="FF0000"/>
                      <w:sz w:val="24"/>
                      <w:szCs w:val="24"/>
                    </w:rPr>
                  </w:pPr>
                  <w:r>
                    <w:rPr>
                      <w:rFonts w:hint="eastAsia" w:ascii="Times New Roman" w:hAnsi="Times New Roman" w:eastAsia="宋体" w:cs="Times New Roman"/>
                      <w:bCs/>
                      <w:color w:val="FF0000"/>
                      <w:sz w:val="24"/>
                      <w:szCs w:val="24"/>
                    </w:rPr>
                    <w:t>项目原料及产品不含有害物质</w:t>
                  </w:r>
                </w:p>
              </w:tc>
            </w:tr>
            <w:tr w14:paraId="15EF29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726" w:type="dxa"/>
                  <w:vAlign w:val="center"/>
                </w:tcPr>
                <w:p w14:paraId="18193D45">
                  <w:pPr>
                    <w:jc w:val="center"/>
                    <w:rPr>
                      <w:rFonts w:ascii="Times New Roman" w:hAnsi="Times New Roman" w:eastAsia="宋体" w:cs="Times New Roman"/>
                      <w:bCs/>
                      <w:color w:val="FF0000"/>
                      <w:sz w:val="24"/>
                      <w:szCs w:val="24"/>
                    </w:rPr>
                  </w:pPr>
                  <w:r>
                    <w:rPr>
                      <w:rFonts w:hint="eastAsia" w:ascii="Times New Roman" w:hAnsi="Times New Roman" w:eastAsia="宋体" w:cs="Times New Roman"/>
                      <w:bCs/>
                      <w:color w:val="FF0000"/>
                      <w:sz w:val="24"/>
                      <w:szCs w:val="24"/>
                    </w:rPr>
                    <w:t>4</w:t>
                  </w:r>
                </w:p>
              </w:tc>
              <w:tc>
                <w:tcPr>
                  <w:tcW w:w="3827" w:type="dxa"/>
                  <w:vAlign w:val="center"/>
                </w:tcPr>
                <w:p w14:paraId="1B5030EC">
                  <w:pPr>
                    <w:jc w:val="center"/>
                    <w:rPr>
                      <w:rFonts w:ascii="Times New Roman" w:hAnsi="Times New Roman" w:eastAsia="宋体" w:cs="Times New Roman"/>
                      <w:bCs/>
                      <w:color w:val="FF0000"/>
                      <w:sz w:val="24"/>
                      <w:szCs w:val="24"/>
                    </w:rPr>
                  </w:pPr>
                  <w:r>
                    <w:rPr>
                      <w:rFonts w:ascii="Times New Roman" w:hAnsi="Times New Roman" w:eastAsia="宋体" w:cs="Times New Roman"/>
                      <w:bCs/>
                      <w:color w:val="FF0000"/>
                      <w:sz w:val="24"/>
                      <w:szCs w:val="24"/>
                    </w:rPr>
                    <w:t>固体废物建材利用过程中的再生利用工艺单元的污染控制应分别满足本标准中相应再</w:t>
                  </w:r>
                  <w:r>
                    <w:rPr>
                      <w:rFonts w:hint="eastAsia" w:ascii="Times New Roman" w:hAnsi="Times New Roman" w:eastAsia="宋体" w:cs="Times New Roman"/>
                      <w:bCs/>
                      <w:color w:val="FF0000"/>
                      <w:sz w:val="24"/>
                      <w:szCs w:val="24"/>
                    </w:rPr>
                    <w:t>生利用工艺单元的要求。</w:t>
                  </w:r>
                </w:p>
              </w:tc>
              <w:tc>
                <w:tcPr>
                  <w:tcW w:w="4395" w:type="dxa"/>
                  <w:vAlign w:val="center"/>
                </w:tcPr>
                <w:p w14:paraId="6E7191B1">
                  <w:pPr>
                    <w:jc w:val="center"/>
                    <w:rPr>
                      <w:rFonts w:ascii="Times New Roman" w:hAnsi="Times New Roman" w:eastAsia="宋体" w:cs="Times New Roman"/>
                      <w:bCs/>
                      <w:color w:val="FF0000"/>
                      <w:sz w:val="24"/>
                      <w:szCs w:val="24"/>
                    </w:rPr>
                  </w:pPr>
                  <w:r>
                    <w:rPr>
                      <w:rFonts w:hint="eastAsia" w:ascii="Times New Roman" w:hAnsi="Times New Roman" w:eastAsia="宋体" w:cs="Times New Roman"/>
                      <w:bCs/>
                      <w:color w:val="FF0000"/>
                      <w:sz w:val="24"/>
                      <w:szCs w:val="24"/>
                    </w:rPr>
                    <w:t>项目的建设满足导则中破碎技术要求、分选技术要求</w:t>
                  </w:r>
                </w:p>
              </w:tc>
            </w:tr>
          </w:tbl>
          <w:p w14:paraId="3EB06B3B">
            <w:pPr>
              <w:spacing w:line="360" w:lineRule="auto"/>
              <w:ind w:firstLine="480" w:firstLineChars="200"/>
              <w:rPr>
                <w:rFonts w:ascii="Times New Roman" w:hAnsi="Times New Roman" w:eastAsia="宋体" w:cs="Times New Roman"/>
                <w:bCs/>
                <w:color w:val="FF0000"/>
                <w:sz w:val="24"/>
                <w:szCs w:val="24"/>
              </w:rPr>
            </w:pPr>
            <w:r>
              <w:rPr>
                <w:rFonts w:hint="eastAsia" w:ascii="Times New Roman" w:hAnsi="Times New Roman" w:eastAsia="宋体" w:cs="Times New Roman"/>
                <w:bCs/>
                <w:color w:val="FF0000"/>
                <w:sz w:val="24"/>
                <w:szCs w:val="24"/>
              </w:rPr>
              <w:t>综上，本项目的建设符合《固体废物再生利用污染防治技术导则》（</w:t>
            </w:r>
            <w:r>
              <w:rPr>
                <w:rFonts w:ascii="Times New Roman" w:hAnsi="Times New Roman" w:eastAsia="宋体" w:cs="Times New Roman"/>
                <w:bCs/>
                <w:color w:val="FF0000"/>
                <w:sz w:val="24"/>
                <w:szCs w:val="24"/>
              </w:rPr>
              <w:t>HJ1091-2020）</w:t>
            </w:r>
            <w:r>
              <w:rPr>
                <w:rFonts w:hint="eastAsia" w:ascii="Times New Roman" w:hAnsi="Times New Roman" w:eastAsia="宋体" w:cs="Times New Roman"/>
                <w:bCs/>
                <w:color w:val="FF0000"/>
                <w:sz w:val="24"/>
                <w:szCs w:val="24"/>
              </w:rPr>
              <w:t>相关要求。</w:t>
            </w:r>
          </w:p>
          <w:p w14:paraId="17C49C78">
            <w:pPr>
              <w:spacing w:line="360" w:lineRule="auto"/>
              <w:ind w:firstLine="482" w:firstLineChars="200"/>
              <w:rPr>
                <w:rFonts w:ascii="Times New Roman" w:hAnsi="Times New Roman" w:eastAsia="宋体" w:cs="Times New Roman"/>
                <w:b/>
                <w:sz w:val="24"/>
                <w:szCs w:val="24"/>
              </w:rPr>
            </w:pPr>
            <w:r>
              <w:rPr>
                <w:rFonts w:hint="eastAsia" w:ascii="Times New Roman" w:hAnsi="Times New Roman" w:eastAsia="宋体" w:cs="Times New Roman"/>
                <w:b/>
                <w:sz w:val="24"/>
                <w:szCs w:val="24"/>
              </w:rPr>
              <w:t>（5）</w:t>
            </w:r>
            <w:r>
              <w:rPr>
                <w:rFonts w:ascii="Times New Roman" w:hAnsi="Times New Roman" w:eastAsia="宋体" w:cs="Times New Roman"/>
                <w:b/>
                <w:sz w:val="24"/>
                <w:szCs w:val="24"/>
              </w:rPr>
              <w:t>规划选址符合性分析</w:t>
            </w:r>
          </w:p>
          <w:p w14:paraId="6CB37272">
            <w:pPr>
              <w:widowControl/>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bCs/>
                <w:sz w:val="24"/>
                <w:szCs w:val="24"/>
              </w:rPr>
              <w:fldChar w:fldCharType="begin"/>
            </w:r>
            <w:r>
              <w:rPr>
                <w:rFonts w:ascii="Times New Roman" w:hAnsi="Times New Roman" w:eastAsia="宋体" w:cs="Times New Roman"/>
                <w:bCs/>
                <w:sz w:val="24"/>
                <w:szCs w:val="24"/>
              </w:rPr>
              <w:instrText xml:space="preserve"> = 1 \* GB3 </w:instrText>
            </w:r>
            <w:r>
              <w:rPr>
                <w:rFonts w:ascii="Times New Roman" w:hAnsi="Times New Roman" w:eastAsia="宋体" w:cs="Times New Roman"/>
                <w:bCs/>
                <w:sz w:val="24"/>
                <w:szCs w:val="24"/>
              </w:rPr>
              <w:fldChar w:fldCharType="separate"/>
            </w:r>
            <w:r>
              <w:rPr>
                <w:rFonts w:hint="eastAsia" w:ascii="宋体" w:hAnsi="宋体" w:eastAsia="宋体" w:cs="宋体"/>
                <w:bCs/>
                <w:sz w:val="24"/>
                <w:szCs w:val="24"/>
              </w:rPr>
              <w:t>①</w:t>
            </w:r>
            <w:r>
              <w:rPr>
                <w:rFonts w:ascii="Times New Roman" w:hAnsi="Times New Roman" w:eastAsia="宋体" w:cs="Times New Roman"/>
                <w:bCs/>
                <w:sz w:val="24"/>
                <w:szCs w:val="24"/>
              </w:rPr>
              <w:fldChar w:fldCharType="end"/>
            </w:r>
            <w:r>
              <w:rPr>
                <w:rFonts w:ascii="Times New Roman" w:hAnsi="Times New Roman" w:eastAsia="宋体" w:cs="Times New Roman"/>
                <w:bCs/>
                <w:sz w:val="24"/>
                <w:szCs w:val="24"/>
              </w:rPr>
              <w:t>与</w:t>
            </w:r>
            <w:r>
              <w:rPr>
                <w:rFonts w:ascii="Times New Roman" w:hAnsi="Times New Roman" w:eastAsia="宋体" w:cs="Times New Roman"/>
                <w:sz w:val="24"/>
                <w:szCs w:val="24"/>
              </w:rPr>
              <w:t>乐山市打赢蓝天保卫战等九个实施方案符合性分析</w:t>
            </w:r>
          </w:p>
          <w:p w14:paraId="3B3A6ADD">
            <w:pPr>
              <w:spacing w:line="360" w:lineRule="auto"/>
              <w:ind w:firstLine="480" w:firstLineChars="200"/>
              <w:rPr>
                <w:rFonts w:ascii="Times New Roman" w:hAnsi="Times New Roman" w:eastAsia="宋体" w:cs="Times New Roman"/>
                <w:sz w:val="24"/>
                <w:u w:val="single"/>
              </w:rPr>
            </w:pPr>
            <w:r>
              <w:rPr>
                <w:rFonts w:ascii="Times New Roman" w:hAnsi="Times New Roman" w:eastAsia="宋体" w:cs="Times New Roman"/>
                <w:sz w:val="24"/>
              </w:rPr>
              <w:t>根据乐山市打赢蓝天保卫战等九个实施方案中乐山市打赢蓝天保卫战实施方案中：“（六）深化扬尘污染治理</w:t>
            </w:r>
            <w:r>
              <w:rPr>
                <w:rFonts w:hint="eastAsia" w:ascii="Times New Roman" w:hAnsi="Times New Roman" w:eastAsia="宋体" w:cs="Times New Roman"/>
                <w:sz w:val="24"/>
              </w:rPr>
              <w:t>“严格施工扬尘监管……</w:t>
            </w:r>
            <w:r>
              <w:rPr>
                <w:rFonts w:ascii="Times New Roman" w:hAnsi="Times New Roman" w:eastAsia="宋体" w:cs="Times New Roman"/>
                <w:sz w:val="24"/>
              </w:rPr>
              <w:t>强化堆场扬尘管控</w:t>
            </w:r>
            <w:r>
              <w:rPr>
                <w:rFonts w:hint="eastAsia" w:ascii="Times New Roman" w:hAnsi="Times New Roman" w:eastAsia="宋体" w:cs="Times New Roman"/>
                <w:sz w:val="24"/>
              </w:rPr>
              <w:t>……加强道路扬尘治理……”</w:t>
            </w:r>
            <w:r>
              <w:rPr>
                <w:rFonts w:ascii="Times New Roman" w:hAnsi="Times New Roman" w:eastAsia="宋体" w:cs="Times New Roman"/>
                <w:sz w:val="24"/>
              </w:rPr>
              <w:t>。要求，</w:t>
            </w:r>
            <w:r>
              <w:rPr>
                <w:rFonts w:ascii="Times New Roman" w:hAnsi="Times New Roman" w:eastAsia="宋体" w:cs="Times New Roman"/>
                <w:sz w:val="24"/>
                <w:u w:val="single"/>
              </w:rPr>
              <w:t>本次技改将按照《</w:t>
            </w:r>
            <w:r>
              <w:rPr>
                <w:rFonts w:hint="eastAsia" w:ascii="Times New Roman" w:hAnsi="Times New Roman" w:eastAsia="宋体" w:cs="Times New Roman"/>
                <w:sz w:val="24"/>
                <w:u w:val="single"/>
              </w:rPr>
              <w:t>乐山市打赢蓝天保卫战等九个实施方案</w:t>
            </w:r>
            <w:r>
              <w:rPr>
                <w:rFonts w:ascii="Times New Roman" w:hAnsi="Times New Roman" w:eastAsia="宋体" w:cs="Times New Roman"/>
                <w:sz w:val="24"/>
                <w:u w:val="single"/>
              </w:rPr>
              <w:t>》要求，即：将厂房全封闭，生产设备均设置于车间内且易起尘的</w:t>
            </w:r>
            <w:r>
              <w:rPr>
                <w:rFonts w:hint="eastAsia" w:ascii="Times New Roman" w:hAnsi="Times New Roman" w:eastAsia="宋体" w:cs="Times New Roman"/>
                <w:sz w:val="24"/>
                <w:u w:val="single"/>
              </w:rPr>
              <w:t>设备</w:t>
            </w:r>
            <w:r>
              <w:rPr>
                <w:rFonts w:ascii="Times New Roman" w:hAnsi="Times New Roman" w:eastAsia="宋体" w:cs="Times New Roman"/>
                <w:sz w:val="24"/>
                <w:u w:val="single"/>
              </w:rPr>
              <w:t>均设置于车间内，</w:t>
            </w:r>
            <w:r>
              <w:rPr>
                <w:rFonts w:hint="eastAsia" w:ascii="Times New Roman" w:hAnsi="Times New Roman" w:eastAsia="宋体" w:cs="Times New Roman"/>
                <w:sz w:val="24"/>
                <w:u w:val="single"/>
              </w:rPr>
              <w:t>并设置洒水降尘、湿法作业等方式；</w:t>
            </w:r>
            <w:r>
              <w:rPr>
                <w:rFonts w:ascii="Times New Roman" w:hAnsi="Times New Roman" w:eastAsia="宋体" w:cs="Times New Roman"/>
                <w:sz w:val="24"/>
                <w:u w:val="single"/>
              </w:rPr>
              <w:t>成品料暂存</w:t>
            </w:r>
            <w:r>
              <w:rPr>
                <w:rFonts w:hint="eastAsia" w:ascii="Times New Roman" w:hAnsi="Times New Roman" w:eastAsia="宋体" w:cs="Times New Roman"/>
                <w:sz w:val="24"/>
                <w:u w:val="single"/>
              </w:rPr>
              <w:t>于料仓内</w:t>
            </w:r>
            <w:r>
              <w:rPr>
                <w:rFonts w:ascii="Times New Roman" w:hAnsi="Times New Roman" w:eastAsia="宋体" w:cs="Times New Roman"/>
                <w:sz w:val="24"/>
                <w:u w:val="single"/>
              </w:rPr>
              <w:t>；运输车辆实施</w:t>
            </w:r>
            <w:r>
              <w:rPr>
                <w:rFonts w:hint="eastAsia" w:ascii="Times New Roman" w:hAnsi="Times New Roman" w:eastAsia="宋体" w:cs="Times New Roman"/>
                <w:sz w:val="24"/>
                <w:u w:val="single"/>
                <w:lang w:eastAsia="zh-CN"/>
              </w:rPr>
              <w:t>未加盖</w:t>
            </w:r>
            <w:r>
              <w:rPr>
                <w:rFonts w:ascii="Times New Roman" w:hAnsi="Times New Roman" w:eastAsia="宋体" w:cs="Times New Roman"/>
                <w:sz w:val="24"/>
                <w:u w:val="single"/>
              </w:rPr>
              <w:t>，及时收集清理堆场外道路上撒落的物料，符合乐山市打赢蓝天保卫战实施方案要求。</w:t>
            </w:r>
          </w:p>
          <w:p w14:paraId="4B22660B">
            <w:pPr>
              <w:spacing w:line="360" w:lineRule="auto"/>
              <w:ind w:firstLine="480" w:firstLineChars="200"/>
              <w:rPr>
                <w:rFonts w:ascii="Times New Roman" w:hAnsi="Times New Roman" w:eastAsia="宋体" w:cs="Times New Roman"/>
                <w:bCs/>
                <w:sz w:val="24"/>
                <w:szCs w:val="24"/>
              </w:rPr>
            </w:pPr>
            <w:r>
              <w:rPr>
                <w:rFonts w:hint="eastAsia" w:ascii="宋体" w:hAnsi="宋体" w:eastAsia="宋体" w:cs="宋体"/>
                <w:bCs/>
                <w:sz w:val="24"/>
                <w:szCs w:val="24"/>
              </w:rPr>
              <w:t>②</w:t>
            </w:r>
            <w:r>
              <w:rPr>
                <w:rFonts w:ascii="Times New Roman" w:hAnsi="Times New Roman" w:eastAsia="宋体" w:cs="Times New Roman"/>
                <w:bCs/>
                <w:sz w:val="24"/>
                <w:szCs w:val="24"/>
              </w:rPr>
              <w:t>外环相容性分析</w:t>
            </w:r>
          </w:p>
          <w:p w14:paraId="01B191F6">
            <w:pPr>
              <w:spacing w:line="360" w:lineRule="auto"/>
              <w:ind w:firstLine="470" w:firstLineChars="196"/>
              <w:rPr>
                <w:rFonts w:ascii="Times New Roman" w:hAnsi="Times New Roman" w:eastAsia="宋体" w:cs="Times New Roman"/>
                <w:sz w:val="24"/>
              </w:rPr>
            </w:pPr>
            <w:r>
              <w:rPr>
                <w:rFonts w:ascii="Times New Roman" w:hAnsi="Times New Roman" w:eastAsia="宋体" w:cs="Times New Roman"/>
                <w:sz w:val="24"/>
              </w:rPr>
              <w:t>经现场</w:t>
            </w:r>
            <w:r>
              <w:rPr>
                <w:rFonts w:hint="eastAsia" w:ascii="Times New Roman" w:hAnsi="Times New Roman" w:eastAsia="宋体" w:cs="Times New Roman"/>
                <w:sz w:val="24"/>
                <w:lang w:eastAsia="zh-CN"/>
              </w:rPr>
              <w:t>勘查</w:t>
            </w:r>
            <w:r>
              <w:rPr>
                <w:rFonts w:ascii="Times New Roman" w:hAnsi="Times New Roman" w:eastAsia="宋体" w:cs="Times New Roman"/>
                <w:sz w:val="24"/>
              </w:rPr>
              <w:t>，项目四至情况为：项目厂区位于</w:t>
            </w:r>
            <w:r>
              <w:rPr>
                <w:rFonts w:hint="eastAsia" w:ascii="Times New Roman" w:hAnsi="Times New Roman" w:eastAsia="宋体" w:cs="Times New Roman"/>
                <w:sz w:val="24"/>
              </w:rPr>
              <w:t>峨边彝族自治县新林镇卷木村4组、7组</w:t>
            </w:r>
            <w:r>
              <w:rPr>
                <w:rFonts w:ascii="Times New Roman" w:hAnsi="Times New Roman" w:eastAsia="宋体" w:cs="Times New Roman"/>
                <w:sz w:val="24"/>
              </w:rPr>
              <w:t>，</w:t>
            </w:r>
            <w:r>
              <w:rPr>
                <w:rFonts w:hint="eastAsia" w:ascii="Times New Roman" w:hAnsi="Times New Roman" w:eastAsia="宋体" w:cs="Times New Roman"/>
                <w:sz w:val="24"/>
              </w:rPr>
              <w:t>厂区</w:t>
            </w:r>
            <w:r>
              <w:rPr>
                <w:rFonts w:hint="eastAsia" w:ascii="Times New Roman" w:hAnsi="Times New Roman" w:eastAsia="宋体" w:cs="Times New Roman"/>
                <w:b/>
                <w:bCs/>
                <w:sz w:val="24"/>
              </w:rPr>
              <w:t>北侧</w:t>
            </w:r>
            <w:r>
              <w:rPr>
                <w:rFonts w:hint="eastAsia" w:ascii="Times New Roman" w:hAnsi="Times New Roman" w:eastAsia="宋体" w:cs="Times New Roman"/>
                <w:sz w:val="24"/>
              </w:rPr>
              <w:t>距离厂界最近约</w:t>
            </w:r>
            <w:r>
              <w:rPr>
                <w:rFonts w:ascii="Times New Roman" w:hAnsi="Times New Roman" w:eastAsia="宋体" w:cs="Times New Roman"/>
                <w:sz w:val="24"/>
              </w:rPr>
              <w:t>168</w:t>
            </w:r>
            <w:r>
              <w:rPr>
                <w:rFonts w:hint="eastAsia" w:ascii="Times New Roman" w:hAnsi="Times New Roman" w:eastAsia="宋体" w:cs="Times New Roman"/>
                <w:sz w:val="24"/>
              </w:rPr>
              <w:t>m为周边散居居民约</w:t>
            </w:r>
            <w:r>
              <w:rPr>
                <w:rFonts w:ascii="Times New Roman" w:hAnsi="Times New Roman" w:eastAsia="宋体" w:cs="Times New Roman"/>
                <w:sz w:val="24"/>
              </w:rPr>
              <w:t>4</w:t>
            </w:r>
            <w:r>
              <w:rPr>
                <w:rFonts w:hint="eastAsia" w:ascii="Times New Roman" w:hAnsi="Times New Roman" w:eastAsia="宋体" w:cs="Times New Roman"/>
                <w:sz w:val="24"/>
              </w:rPr>
              <w:t>户；</w:t>
            </w:r>
            <w:r>
              <w:rPr>
                <w:rFonts w:hint="eastAsia" w:ascii="Times New Roman" w:hAnsi="Times New Roman" w:eastAsia="宋体" w:cs="Times New Roman"/>
                <w:b/>
                <w:bCs/>
                <w:sz w:val="24"/>
              </w:rPr>
              <w:t>东侧</w:t>
            </w:r>
            <w:r>
              <w:rPr>
                <w:rFonts w:hint="eastAsia" w:ascii="Times New Roman" w:hAnsi="Times New Roman" w:eastAsia="宋体" w:cs="Times New Roman"/>
                <w:sz w:val="24"/>
              </w:rPr>
              <w:t>紧邻白沙河，隔白沙河为景阳路，相距约6</w:t>
            </w:r>
            <w:r>
              <w:rPr>
                <w:rFonts w:ascii="Times New Roman" w:hAnsi="Times New Roman" w:eastAsia="宋体" w:cs="Times New Roman"/>
                <w:sz w:val="24"/>
              </w:rPr>
              <w:t>2</w:t>
            </w:r>
            <w:r>
              <w:rPr>
                <w:rFonts w:hint="eastAsia" w:ascii="Times New Roman" w:hAnsi="Times New Roman" w:eastAsia="宋体" w:cs="Times New Roman"/>
                <w:sz w:val="24"/>
              </w:rPr>
              <w:t>m为中铁五局成昆线砂石厂，距离厂界最近约1</w:t>
            </w:r>
            <w:r>
              <w:rPr>
                <w:rFonts w:ascii="Times New Roman" w:hAnsi="Times New Roman" w:eastAsia="宋体" w:cs="Times New Roman"/>
                <w:sz w:val="24"/>
              </w:rPr>
              <w:t>80</w:t>
            </w:r>
            <w:r>
              <w:rPr>
                <w:rFonts w:hint="eastAsia" w:ascii="Times New Roman" w:hAnsi="Times New Roman" w:eastAsia="宋体" w:cs="Times New Roman"/>
                <w:sz w:val="24"/>
              </w:rPr>
              <w:t>m为下溪坪居民约1</w:t>
            </w:r>
            <w:r>
              <w:rPr>
                <w:rFonts w:ascii="Times New Roman" w:hAnsi="Times New Roman" w:eastAsia="宋体" w:cs="Times New Roman"/>
                <w:sz w:val="24"/>
              </w:rPr>
              <w:t>8</w:t>
            </w:r>
            <w:r>
              <w:rPr>
                <w:rFonts w:hint="eastAsia" w:ascii="Times New Roman" w:hAnsi="Times New Roman" w:eastAsia="宋体" w:cs="Times New Roman"/>
                <w:sz w:val="24"/>
              </w:rPr>
              <w:t>户；</w:t>
            </w:r>
            <w:r>
              <w:rPr>
                <w:rFonts w:hint="eastAsia" w:ascii="Times New Roman" w:hAnsi="Times New Roman" w:eastAsia="宋体" w:cs="Times New Roman"/>
                <w:b/>
                <w:bCs/>
                <w:sz w:val="24"/>
              </w:rPr>
              <w:t>南侧</w:t>
            </w:r>
            <w:r>
              <w:rPr>
                <w:rFonts w:hint="eastAsia" w:ascii="Times New Roman" w:hAnsi="Times New Roman" w:eastAsia="宋体" w:cs="Times New Roman"/>
                <w:sz w:val="24"/>
              </w:rPr>
              <w:t>2</w:t>
            </w:r>
            <w:r>
              <w:rPr>
                <w:rFonts w:ascii="Times New Roman" w:hAnsi="Times New Roman" w:eastAsia="宋体" w:cs="Times New Roman"/>
                <w:sz w:val="24"/>
              </w:rPr>
              <w:t>00</w:t>
            </w:r>
            <w:r>
              <w:rPr>
                <w:rFonts w:hint="eastAsia" w:ascii="Times New Roman" w:hAnsi="Times New Roman" w:eastAsia="宋体" w:cs="Times New Roman"/>
                <w:sz w:val="24"/>
              </w:rPr>
              <w:t>m范围内主要为林地；</w:t>
            </w:r>
            <w:r>
              <w:rPr>
                <w:rFonts w:hint="eastAsia" w:ascii="Times New Roman" w:hAnsi="Times New Roman" w:eastAsia="宋体" w:cs="Times New Roman"/>
                <w:b/>
                <w:bCs/>
                <w:sz w:val="24"/>
              </w:rPr>
              <w:t>西南侧</w:t>
            </w:r>
            <w:r>
              <w:rPr>
                <w:rFonts w:hint="eastAsia" w:ascii="Times New Roman" w:hAnsi="Times New Roman" w:eastAsia="宋体" w:cs="Times New Roman"/>
                <w:sz w:val="24"/>
              </w:rPr>
              <w:t>距离厂界约</w:t>
            </w:r>
            <w:r>
              <w:rPr>
                <w:rFonts w:ascii="Times New Roman" w:hAnsi="Times New Roman" w:eastAsia="宋体" w:cs="Times New Roman"/>
                <w:sz w:val="24"/>
              </w:rPr>
              <w:t>210</w:t>
            </w:r>
            <w:r>
              <w:rPr>
                <w:rFonts w:hint="eastAsia" w:ascii="Times New Roman" w:hAnsi="Times New Roman" w:eastAsia="宋体" w:cs="Times New Roman"/>
                <w:sz w:val="24"/>
              </w:rPr>
              <w:t>m分布有卷木村居民；</w:t>
            </w:r>
            <w:r>
              <w:rPr>
                <w:rFonts w:hint="eastAsia" w:ascii="Times New Roman" w:hAnsi="Times New Roman" w:eastAsia="宋体" w:cs="Times New Roman"/>
                <w:b/>
                <w:bCs/>
                <w:sz w:val="24"/>
              </w:rPr>
              <w:t>西侧</w:t>
            </w:r>
            <w:r>
              <w:rPr>
                <w:rFonts w:hint="eastAsia" w:ascii="Times New Roman" w:hAnsi="Times New Roman" w:eastAsia="宋体" w:cs="Times New Roman"/>
                <w:sz w:val="24"/>
              </w:rPr>
              <w:t>距离厂界约3</w:t>
            </w:r>
            <w:r>
              <w:rPr>
                <w:rFonts w:ascii="Times New Roman" w:hAnsi="Times New Roman" w:eastAsia="宋体" w:cs="Times New Roman"/>
                <w:sz w:val="24"/>
              </w:rPr>
              <w:t>0</w:t>
            </w:r>
            <w:r>
              <w:rPr>
                <w:rFonts w:hint="eastAsia" w:ascii="Times New Roman" w:hAnsi="Times New Roman" w:eastAsia="宋体" w:cs="Times New Roman"/>
                <w:sz w:val="24"/>
              </w:rPr>
              <w:t>m山坡上为一家砂石厂，2</w:t>
            </w:r>
            <w:r>
              <w:rPr>
                <w:rFonts w:ascii="Times New Roman" w:hAnsi="Times New Roman" w:eastAsia="宋体" w:cs="Times New Roman"/>
                <w:sz w:val="24"/>
              </w:rPr>
              <w:t>00</w:t>
            </w:r>
            <w:r>
              <w:rPr>
                <w:rFonts w:hint="eastAsia" w:ascii="Times New Roman" w:hAnsi="Times New Roman" w:eastAsia="宋体" w:cs="Times New Roman"/>
                <w:sz w:val="24"/>
              </w:rPr>
              <w:t>m范围内无特殊敏感点</w:t>
            </w:r>
            <w:r>
              <w:rPr>
                <w:rFonts w:ascii="Times New Roman" w:hAnsi="Times New Roman" w:eastAsia="宋体" w:cs="Times New Roman"/>
                <w:sz w:val="24"/>
              </w:rPr>
              <w:t>。</w:t>
            </w:r>
          </w:p>
          <w:p w14:paraId="62EA3240">
            <w:pPr>
              <w:spacing w:line="360" w:lineRule="auto"/>
              <w:ind w:firstLine="470" w:firstLineChars="196"/>
              <w:rPr>
                <w:rFonts w:ascii="Times New Roman" w:hAnsi="Times New Roman" w:eastAsia="宋体" w:cs="Times New Roman"/>
                <w:color w:val="FF0000"/>
                <w:sz w:val="24"/>
                <w:szCs w:val="24"/>
              </w:rPr>
            </w:pPr>
            <w:r>
              <w:rPr>
                <w:rFonts w:hint="eastAsia" w:ascii="Times New Roman" w:hAnsi="Times New Roman" w:eastAsia="宋体" w:cs="Times New Roman"/>
                <w:color w:val="FF0000"/>
                <w:sz w:val="24"/>
                <w:szCs w:val="24"/>
              </w:rPr>
              <w:t>根据现场勘查及调查资料，本项目工程距离</w:t>
            </w:r>
            <w:r>
              <w:rPr>
                <w:rFonts w:hint="eastAsia" w:ascii="Times New Roman" w:hAnsi="Times New Roman" w:eastAsia="宋体" w:cs="Times New Roman"/>
                <w:color w:val="FF0000"/>
                <w:sz w:val="24"/>
                <w:szCs w:val="24"/>
                <w:lang w:eastAsia="zh-CN"/>
              </w:rPr>
              <w:t>峨边彝族自治县</w:t>
            </w:r>
            <w:r>
              <w:rPr>
                <w:rFonts w:hint="eastAsia" w:ascii="Times New Roman" w:hAnsi="Times New Roman" w:eastAsia="宋体" w:cs="Times New Roman"/>
                <w:color w:val="FF0000"/>
                <w:sz w:val="24"/>
                <w:szCs w:val="24"/>
              </w:rPr>
              <w:t>麻柳巷饮用水源保护地，取水口经度：1</w:t>
            </w:r>
            <w:r>
              <w:rPr>
                <w:rFonts w:ascii="Times New Roman" w:hAnsi="Times New Roman" w:eastAsia="宋体" w:cs="Times New Roman"/>
                <w:color w:val="FF0000"/>
                <w:sz w:val="24"/>
                <w:szCs w:val="24"/>
              </w:rPr>
              <w:t>03</w:t>
            </w:r>
            <w:r>
              <w:rPr>
                <w:rFonts w:hint="eastAsia" w:ascii="Times New Roman" w:hAnsi="Times New Roman" w:eastAsia="宋体" w:cs="Times New Roman"/>
                <w:color w:val="FF0000"/>
                <w:sz w:val="24"/>
                <w:szCs w:val="24"/>
              </w:rPr>
              <w:t>°</w:t>
            </w:r>
            <w:r>
              <w:rPr>
                <w:rFonts w:ascii="Times New Roman" w:hAnsi="Times New Roman" w:eastAsia="宋体" w:cs="Times New Roman"/>
                <w:color w:val="FF0000"/>
                <w:sz w:val="24"/>
                <w:szCs w:val="24"/>
              </w:rPr>
              <w:t>15</w:t>
            </w:r>
            <w:r>
              <w:rPr>
                <w:rFonts w:hint="eastAsia" w:ascii="Times New Roman" w:hAnsi="Times New Roman" w:eastAsia="宋体" w:cs="Times New Roman"/>
                <w:color w:val="FF0000"/>
                <w:sz w:val="24"/>
                <w:szCs w:val="24"/>
              </w:rPr>
              <w:t>′</w:t>
            </w:r>
            <w:r>
              <w:rPr>
                <w:rFonts w:ascii="Times New Roman" w:hAnsi="Times New Roman" w:eastAsia="宋体" w:cs="Times New Roman"/>
                <w:color w:val="FF0000"/>
                <w:sz w:val="24"/>
                <w:szCs w:val="24"/>
              </w:rPr>
              <w:t>32</w:t>
            </w:r>
            <w:r>
              <w:rPr>
                <w:rFonts w:hint="eastAsia" w:ascii="Times New Roman" w:hAnsi="Times New Roman" w:eastAsia="宋体" w:cs="Times New Roman"/>
                <w:color w:val="FF0000"/>
                <w:sz w:val="24"/>
                <w:szCs w:val="24"/>
              </w:rPr>
              <w:t>″，纬度：2</w:t>
            </w:r>
            <w:r>
              <w:rPr>
                <w:rFonts w:ascii="Times New Roman" w:hAnsi="Times New Roman" w:eastAsia="宋体" w:cs="Times New Roman"/>
                <w:color w:val="FF0000"/>
                <w:sz w:val="24"/>
                <w:szCs w:val="24"/>
              </w:rPr>
              <w:t>9</w:t>
            </w:r>
            <w:r>
              <w:rPr>
                <w:rFonts w:hint="eastAsia" w:ascii="Times New Roman" w:hAnsi="Times New Roman" w:eastAsia="宋体" w:cs="Times New Roman"/>
                <w:color w:val="FF0000"/>
                <w:sz w:val="24"/>
                <w:szCs w:val="24"/>
              </w:rPr>
              <w:t>°</w:t>
            </w:r>
            <w:r>
              <w:rPr>
                <w:rFonts w:ascii="Times New Roman" w:hAnsi="Times New Roman" w:eastAsia="宋体" w:cs="Times New Roman"/>
                <w:color w:val="FF0000"/>
                <w:sz w:val="24"/>
                <w:szCs w:val="24"/>
              </w:rPr>
              <w:t>14</w:t>
            </w:r>
            <w:r>
              <w:rPr>
                <w:rFonts w:hint="eastAsia" w:ascii="Times New Roman" w:hAnsi="Times New Roman" w:eastAsia="宋体" w:cs="Times New Roman"/>
                <w:color w:val="FF0000"/>
                <w:sz w:val="24"/>
                <w:szCs w:val="24"/>
              </w:rPr>
              <w:t>′</w:t>
            </w:r>
            <w:r>
              <w:rPr>
                <w:rFonts w:ascii="Times New Roman" w:hAnsi="Times New Roman" w:eastAsia="宋体" w:cs="Times New Roman"/>
                <w:color w:val="FF0000"/>
                <w:sz w:val="24"/>
                <w:szCs w:val="24"/>
              </w:rPr>
              <w:t>1</w:t>
            </w:r>
            <w:r>
              <w:rPr>
                <w:rFonts w:hint="eastAsia" w:ascii="Times New Roman" w:hAnsi="Times New Roman" w:eastAsia="宋体" w:cs="Times New Roman"/>
                <w:color w:val="FF0000"/>
                <w:sz w:val="24"/>
                <w:szCs w:val="24"/>
              </w:rPr>
              <w:t>″。根据《饮用水水源保护区划分技术规范》（H</w:t>
            </w:r>
            <w:r>
              <w:rPr>
                <w:rFonts w:ascii="Times New Roman" w:hAnsi="Times New Roman" w:eastAsia="宋体" w:cs="Times New Roman"/>
                <w:color w:val="FF0000"/>
                <w:sz w:val="24"/>
                <w:szCs w:val="24"/>
              </w:rPr>
              <w:t>J338-2018</w:t>
            </w:r>
            <w:r>
              <w:rPr>
                <w:rFonts w:hint="eastAsia" w:ascii="Times New Roman" w:hAnsi="Times New Roman" w:eastAsia="宋体" w:cs="Times New Roman"/>
                <w:color w:val="FF0000"/>
                <w:sz w:val="24"/>
                <w:szCs w:val="24"/>
              </w:rPr>
              <w:t>），项目距离其水源保护地取水口直线距离约4</w:t>
            </w:r>
            <w:r>
              <w:rPr>
                <w:rFonts w:ascii="Times New Roman" w:hAnsi="Times New Roman" w:eastAsia="宋体" w:cs="Times New Roman"/>
                <w:color w:val="FF0000"/>
                <w:sz w:val="24"/>
                <w:szCs w:val="24"/>
              </w:rPr>
              <w:t>.8</w:t>
            </w:r>
            <w:r>
              <w:rPr>
                <w:rFonts w:hint="eastAsia" w:ascii="Times New Roman" w:hAnsi="Times New Roman" w:eastAsia="宋体" w:cs="Times New Roman"/>
                <w:color w:val="FF0000"/>
                <w:sz w:val="24"/>
                <w:szCs w:val="24"/>
              </w:rPr>
              <w:t>km，河流延伸约6</w:t>
            </w:r>
            <w:r>
              <w:rPr>
                <w:rFonts w:ascii="Times New Roman" w:hAnsi="Times New Roman" w:eastAsia="宋体" w:cs="Times New Roman"/>
                <w:color w:val="FF0000"/>
                <w:sz w:val="24"/>
                <w:szCs w:val="24"/>
              </w:rPr>
              <w:t>.2</w:t>
            </w:r>
            <w:r>
              <w:rPr>
                <w:rFonts w:hint="eastAsia" w:ascii="Times New Roman" w:hAnsi="Times New Roman" w:eastAsia="宋体" w:cs="Times New Roman"/>
                <w:color w:val="FF0000"/>
                <w:sz w:val="24"/>
                <w:szCs w:val="24"/>
              </w:rPr>
              <w:t>km，不属于饮用水源地二级保护区及准保护区范围。本项目为非金属废料和碎屑加工处理项目，生产废水循环使用不外排，不属于严重污染水域的建设项目，项目在采取相应的防治及风险措施后，项目的实施不会对饮用水源地产生影响。</w:t>
            </w:r>
          </w:p>
          <w:p w14:paraId="530E18DE">
            <w:pPr>
              <w:spacing w:line="360" w:lineRule="auto"/>
              <w:ind w:firstLine="411" w:firstLineChars="196"/>
              <w:jc w:val="center"/>
              <w:rPr>
                <w:rFonts w:ascii="Times New Roman" w:hAnsi="Times New Roman" w:eastAsia="宋体" w:cs="Times New Roman"/>
                <w:color w:val="FF0000"/>
                <w:sz w:val="24"/>
                <w:szCs w:val="24"/>
              </w:rPr>
            </w:pPr>
            <w:r>
              <w:drawing>
                <wp:inline distT="0" distB="0" distL="0" distR="0">
                  <wp:extent cx="4314825" cy="3375025"/>
                  <wp:effectExtent l="19050" t="19050" r="9525" b="158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8"/>
                          <a:stretch>
                            <a:fillRect/>
                          </a:stretch>
                        </pic:blipFill>
                        <pic:spPr>
                          <a:xfrm>
                            <a:off x="0" y="0"/>
                            <a:ext cx="4337983" cy="3393681"/>
                          </a:xfrm>
                          <a:prstGeom prst="rect">
                            <a:avLst/>
                          </a:prstGeom>
                          <a:ln w="19050">
                            <a:solidFill>
                              <a:schemeClr val="tx1"/>
                            </a:solidFill>
                          </a:ln>
                        </pic:spPr>
                      </pic:pic>
                    </a:graphicData>
                  </a:graphic>
                </wp:inline>
              </w:drawing>
            </w:r>
          </w:p>
          <w:p w14:paraId="3FE536B9">
            <w:pPr>
              <w:spacing w:line="360" w:lineRule="auto"/>
              <w:ind w:firstLine="470" w:firstLineChars="196"/>
              <w:jc w:val="center"/>
              <w:rPr>
                <w:rFonts w:hint="eastAsia" w:ascii="Times New Roman" w:hAnsi="Times New Roman" w:eastAsia="宋体" w:cs="Times New Roman"/>
                <w:color w:val="FF0000"/>
                <w:sz w:val="24"/>
                <w:szCs w:val="24"/>
              </w:rPr>
            </w:pPr>
            <w:r>
              <w:rPr>
                <w:rFonts w:hint="eastAsia" w:ascii="Times New Roman" w:hAnsi="Times New Roman" w:eastAsia="宋体" w:cs="Times New Roman"/>
                <w:color w:val="FF0000"/>
                <w:sz w:val="24"/>
                <w:szCs w:val="24"/>
              </w:rPr>
              <w:t>图1</w:t>
            </w:r>
            <w:r>
              <w:rPr>
                <w:rFonts w:ascii="Times New Roman" w:hAnsi="Times New Roman" w:eastAsia="宋体" w:cs="Times New Roman"/>
                <w:color w:val="FF0000"/>
                <w:sz w:val="24"/>
                <w:szCs w:val="24"/>
              </w:rPr>
              <w:t xml:space="preserve">-1 </w:t>
            </w:r>
            <w:r>
              <w:rPr>
                <w:rFonts w:hint="eastAsia" w:ascii="Times New Roman" w:hAnsi="Times New Roman" w:eastAsia="宋体" w:cs="Times New Roman"/>
                <w:color w:val="FF0000"/>
                <w:sz w:val="24"/>
                <w:szCs w:val="24"/>
              </w:rPr>
              <w:t>本项目与饮用水源取水点距离示意图</w:t>
            </w:r>
          </w:p>
          <w:p w14:paraId="1439354E">
            <w:pPr>
              <w:spacing w:line="360" w:lineRule="auto"/>
              <w:ind w:firstLine="470" w:firstLineChars="196"/>
              <w:rPr>
                <w:rFonts w:ascii="Times New Roman" w:hAnsi="Times New Roman" w:eastAsia="宋体" w:cs="Times New Roman"/>
                <w:snapToGrid w:val="0"/>
                <w:kern w:val="0"/>
                <w:sz w:val="24"/>
                <w:szCs w:val="24"/>
              </w:rPr>
            </w:pPr>
            <w:r>
              <w:rPr>
                <w:rFonts w:ascii="Times New Roman" w:hAnsi="Times New Roman" w:eastAsia="宋体" w:cs="Times New Roman"/>
                <w:sz w:val="24"/>
                <w:szCs w:val="24"/>
              </w:rPr>
              <w:t>本项目位于</w:t>
            </w:r>
            <w:r>
              <w:rPr>
                <w:rFonts w:hint="eastAsia" w:ascii="Times New Roman" w:hAnsi="Times New Roman" w:eastAsia="宋体" w:cs="Times New Roman"/>
                <w:sz w:val="24"/>
                <w:szCs w:val="24"/>
              </w:rPr>
              <w:t>峨边彝族自治县新林镇卷木村4组、7组</w:t>
            </w:r>
            <w:r>
              <w:rPr>
                <w:rFonts w:ascii="Times New Roman" w:hAnsi="Times New Roman" w:eastAsia="宋体" w:cs="Times New Roman"/>
                <w:sz w:val="24"/>
                <w:szCs w:val="24"/>
              </w:rPr>
              <w:t>，根据</w:t>
            </w:r>
            <w:r>
              <w:rPr>
                <w:rFonts w:hint="eastAsia" w:ascii="Times New Roman" w:hAnsi="Times New Roman" w:eastAsia="宋体" w:cs="Times New Roman"/>
                <w:sz w:val="24"/>
                <w:szCs w:val="24"/>
              </w:rPr>
              <w:t>峨边彝族自治县自然资源局关于本项目用地情况的说明，本项目选址占地0</w:t>
            </w:r>
            <w:r>
              <w:rPr>
                <w:rFonts w:ascii="Times New Roman" w:hAnsi="Times New Roman" w:eastAsia="宋体" w:cs="Times New Roman"/>
                <w:sz w:val="24"/>
                <w:szCs w:val="24"/>
              </w:rPr>
              <w:t>.8439</w:t>
            </w:r>
            <w:r>
              <w:rPr>
                <w:rFonts w:hint="eastAsia" w:ascii="Times New Roman" w:hAnsi="Times New Roman" w:eastAsia="宋体" w:cs="Times New Roman"/>
                <w:sz w:val="24"/>
                <w:szCs w:val="24"/>
              </w:rPr>
              <w:t>公顷，为临时用地。项目在原中铁十二局搅拌站遗址上进行新建厂房、环保措施等建设，本项目的建设与</w:t>
            </w:r>
            <w:r>
              <w:rPr>
                <w:rFonts w:ascii="Times New Roman" w:hAnsi="Times New Roman" w:eastAsia="宋体" w:cs="Times New Roman"/>
                <w:snapToGrid w:val="0"/>
                <w:kern w:val="0"/>
                <w:sz w:val="24"/>
                <w:szCs w:val="24"/>
              </w:rPr>
              <w:t>周边企业相容。</w:t>
            </w:r>
          </w:p>
          <w:p w14:paraId="71BEA7E2">
            <w:pPr>
              <w:spacing w:line="360" w:lineRule="auto"/>
              <w:ind w:firstLine="472" w:firstLineChars="196"/>
              <w:rPr>
                <w:rFonts w:ascii="Times New Roman" w:hAnsi="Times New Roman" w:eastAsia="宋体" w:cs="Times New Roman"/>
                <w:sz w:val="24"/>
                <w:u w:val="single"/>
              </w:rPr>
            </w:pPr>
            <w:r>
              <w:rPr>
                <w:rFonts w:ascii="Times New Roman" w:hAnsi="Times New Roman" w:eastAsia="宋体" w:cs="Times New Roman"/>
                <w:b/>
                <w:sz w:val="24"/>
              </w:rPr>
              <w:t>综上，</w:t>
            </w:r>
            <w:r>
              <w:rPr>
                <w:rFonts w:ascii="Times New Roman" w:hAnsi="Times New Roman" w:eastAsia="宋体" w:cs="Times New Roman"/>
                <w:sz w:val="24"/>
                <w:u w:val="single"/>
              </w:rPr>
              <w:t>项目符合国家产业政策、符合“三线一单”、乐山市打赢蓝天保卫战实施方案</w:t>
            </w:r>
            <w:r>
              <w:rPr>
                <w:rFonts w:hint="eastAsia" w:ascii="Times New Roman" w:hAnsi="Times New Roman" w:eastAsia="宋体" w:cs="Times New Roman"/>
                <w:sz w:val="24"/>
                <w:u w:val="single"/>
              </w:rPr>
              <w:t>、《建筑垃圾资源化利用行业规范条件（暂行）》</w:t>
            </w:r>
            <w:r>
              <w:rPr>
                <w:rFonts w:ascii="Times New Roman" w:hAnsi="Times New Roman" w:eastAsia="宋体" w:cs="Times New Roman"/>
                <w:sz w:val="24"/>
                <w:u w:val="single"/>
              </w:rPr>
              <w:t>等相关要求，项目外环境单纯，项目采取相应的污染防治措施后，污染物可达标排放，项目周围无自然保护区、风景名胜区、饮用水源等敏感区，从环保角度看该项目选址可行。</w:t>
            </w:r>
          </w:p>
          <w:p w14:paraId="3A3B82F0">
            <w:pPr>
              <w:spacing w:line="360" w:lineRule="auto"/>
              <w:rPr>
                <w:rFonts w:ascii="Times New Roman" w:hAnsi="Times New Roman" w:eastAsia="宋体" w:cs="Times New Roman"/>
                <w:b/>
                <w:sz w:val="24"/>
                <w:szCs w:val="24"/>
              </w:rPr>
            </w:pPr>
            <w:r>
              <w:rPr>
                <w:rFonts w:ascii="Times New Roman" w:hAnsi="Times New Roman" w:eastAsia="宋体" w:cs="Times New Roman"/>
                <w:b/>
                <w:sz w:val="24"/>
                <w:szCs w:val="24"/>
              </w:rPr>
              <w:t>三、总平面布置合理性分析</w:t>
            </w:r>
          </w:p>
          <w:p w14:paraId="181AF227">
            <w:pPr>
              <w:spacing w:line="360" w:lineRule="auto"/>
              <w:ind w:firstLine="470" w:firstLineChars="196"/>
              <w:rPr>
                <w:rFonts w:ascii="Times New Roman" w:hAnsi="Times New Roman" w:eastAsia="宋体" w:cs="Times New Roman"/>
                <w:sz w:val="24"/>
              </w:rPr>
            </w:pPr>
            <w:r>
              <w:rPr>
                <w:rFonts w:ascii="Times New Roman" w:hAnsi="Times New Roman" w:eastAsia="宋体" w:cs="Times New Roman"/>
                <w:sz w:val="24"/>
              </w:rPr>
              <w:t>本项目</w:t>
            </w:r>
            <w:r>
              <w:rPr>
                <w:rFonts w:ascii="Times New Roman" w:hAnsi="Times New Roman" w:eastAsia="宋体" w:cs="Times New Roman"/>
                <w:sz w:val="24"/>
                <w:szCs w:val="24"/>
              </w:rPr>
              <w:t>位于</w:t>
            </w:r>
            <w:r>
              <w:rPr>
                <w:rFonts w:hint="eastAsia" w:ascii="Times New Roman" w:hAnsi="Times New Roman" w:eastAsia="宋体" w:cs="Times New Roman"/>
                <w:sz w:val="24"/>
                <w:szCs w:val="24"/>
              </w:rPr>
              <w:t>峨边彝族自治县新林镇卷木村4组、7组</w:t>
            </w:r>
            <w:r>
              <w:rPr>
                <w:rFonts w:ascii="Times New Roman" w:hAnsi="Times New Roman" w:eastAsia="宋体" w:cs="Times New Roman"/>
                <w:sz w:val="24"/>
                <w:szCs w:val="24"/>
              </w:rPr>
              <w:t>，</w:t>
            </w:r>
            <w:r>
              <w:rPr>
                <w:rFonts w:hint="eastAsia" w:ascii="Times New Roman" w:hAnsi="Times New Roman" w:eastAsia="宋体" w:cs="Times New Roman"/>
                <w:sz w:val="24"/>
                <w:szCs w:val="24"/>
              </w:rPr>
              <w:t>所在地为已退役中铁十二局搅拌站遗留硬化平整场地。</w:t>
            </w:r>
            <w:r>
              <w:rPr>
                <w:rFonts w:ascii="Times New Roman" w:hAnsi="Times New Roman" w:eastAsia="宋体" w:cs="Times New Roman"/>
                <w:sz w:val="24"/>
                <w:szCs w:val="24"/>
              </w:rPr>
              <w:t>本次环评在原有场地上</w:t>
            </w:r>
            <w:r>
              <w:rPr>
                <w:rFonts w:hint="eastAsia" w:ascii="Times New Roman" w:hAnsi="Times New Roman" w:eastAsia="宋体" w:cs="Times New Roman"/>
                <w:sz w:val="24"/>
                <w:szCs w:val="24"/>
              </w:rPr>
              <w:t>新建</w:t>
            </w:r>
            <w:r>
              <w:rPr>
                <w:rFonts w:ascii="Times New Roman" w:hAnsi="Times New Roman" w:eastAsia="宋体" w:cs="Times New Roman"/>
                <w:sz w:val="24"/>
                <w:szCs w:val="24"/>
              </w:rPr>
              <w:t>厂房及附属</w:t>
            </w:r>
            <w:r>
              <w:rPr>
                <w:rFonts w:hint="eastAsia" w:ascii="Times New Roman" w:hAnsi="Times New Roman" w:eastAsia="宋体" w:cs="Times New Roman"/>
                <w:sz w:val="24"/>
                <w:szCs w:val="24"/>
              </w:rPr>
              <w:t>辅助</w:t>
            </w:r>
            <w:r>
              <w:rPr>
                <w:rFonts w:ascii="Times New Roman" w:hAnsi="Times New Roman" w:eastAsia="宋体" w:cs="Times New Roman"/>
                <w:sz w:val="24"/>
                <w:szCs w:val="24"/>
              </w:rPr>
              <w:t>设施</w:t>
            </w:r>
            <w:r>
              <w:rPr>
                <w:rFonts w:hint="eastAsia" w:ascii="Times New Roman" w:hAnsi="Times New Roman" w:eastAsia="宋体" w:cs="Times New Roman"/>
                <w:sz w:val="24"/>
                <w:szCs w:val="24"/>
              </w:rPr>
              <w:t>等</w:t>
            </w:r>
            <w:r>
              <w:rPr>
                <w:rFonts w:ascii="Times New Roman" w:hAnsi="Times New Roman" w:eastAsia="宋体" w:cs="Times New Roman"/>
                <w:sz w:val="24"/>
                <w:szCs w:val="24"/>
              </w:rPr>
              <w:t>，</w:t>
            </w:r>
            <w:r>
              <w:rPr>
                <w:rFonts w:hint="eastAsia" w:ascii="Times New Roman" w:hAnsi="Times New Roman" w:eastAsia="宋体" w:cs="Times New Roman"/>
                <w:sz w:val="24"/>
                <w:szCs w:val="24"/>
              </w:rPr>
              <w:t>主要建设料仓1</w:t>
            </w:r>
            <w:r>
              <w:rPr>
                <w:rFonts w:ascii="Times New Roman" w:hAnsi="Times New Roman" w:eastAsia="宋体" w:cs="Times New Roman"/>
                <w:sz w:val="24"/>
                <w:szCs w:val="24"/>
              </w:rPr>
              <w:t>0</w:t>
            </w:r>
            <w:r>
              <w:rPr>
                <w:rFonts w:hint="eastAsia" w:ascii="Times New Roman" w:hAnsi="Times New Roman" w:eastAsia="宋体" w:cs="Times New Roman"/>
                <w:sz w:val="24"/>
                <w:szCs w:val="24"/>
              </w:rPr>
              <w:t>个（包含成品及一般固废料仓）、机械厂房1</w:t>
            </w:r>
            <w:r>
              <w:rPr>
                <w:rFonts w:ascii="Times New Roman" w:hAnsi="Times New Roman" w:eastAsia="宋体" w:cs="Times New Roman"/>
                <w:sz w:val="24"/>
                <w:szCs w:val="24"/>
              </w:rPr>
              <w:t>500</w:t>
            </w:r>
            <w:r>
              <w:rPr>
                <w:rFonts w:hint="eastAsia" w:ascii="Times New Roman" w:hAnsi="Times New Roman" w:eastAsia="宋体" w:cs="Times New Roman"/>
                <w:sz w:val="24"/>
                <w:szCs w:val="24"/>
              </w:rPr>
              <w:t>平方米，环保设施5</w:t>
            </w:r>
            <w:r>
              <w:rPr>
                <w:rFonts w:ascii="Times New Roman" w:hAnsi="Times New Roman" w:eastAsia="宋体" w:cs="Times New Roman"/>
                <w:sz w:val="24"/>
                <w:szCs w:val="24"/>
              </w:rPr>
              <w:t>00</w:t>
            </w:r>
            <w:r>
              <w:rPr>
                <w:rFonts w:hint="eastAsia" w:ascii="Times New Roman" w:hAnsi="Times New Roman" w:eastAsia="宋体" w:cs="Times New Roman"/>
                <w:sz w:val="24"/>
                <w:szCs w:val="24"/>
              </w:rPr>
              <w:t>平方米及其他辅助设施。项目</w:t>
            </w:r>
            <w:r>
              <w:rPr>
                <w:rFonts w:ascii="Times New Roman" w:hAnsi="Times New Roman" w:eastAsia="宋体" w:cs="Times New Roman"/>
                <w:sz w:val="24"/>
              </w:rPr>
              <w:t>依托</w:t>
            </w:r>
            <w:r>
              <w:rPr>
                <w:rFonts w:hint="eastAsia" w:ascii="Times New Roman" w:hAnsi="Times New Roman" w:eastAsia="宋体" w:cs="Times New Roman"/>
                <w:sz w:val="24"/>
              </w:rPr>
              <w:t>原有</w:t>
            </w:r>
            <w:r>
              <w:rPr>
                <w:rFonts w:ascii="Times New Roman" w:hAnsi="Times New Roman" w:eastAsia="宋体" w:cs="Times New Roman"/>
                <w:sz w:val="24"/>
              </w:rPr>
              <w:t>办公</w:t>
            </w:r>
            <w:r>
              <w:rPr>
                <w:rFonts w:hint="eastAsia" w:ascii="Times New Roman" w:hAnsi="Times New Roman" w:eastAsia="宋体" w:cs="Times New Roman"/>
                <w:sz w:val="24"/>
              </w:rPr>
              <w:t>生活、料仓</w:t>
            </w:r>
            <w:r>
              <w:rPr>
                <w:rFonts w:ascii="Times New Roman" w:hAnsi="Times New Roman" w:eastAsia="宋体" w:cs="Times New Roman"/>
                <w:sz w:val="24"/>
              </w:rPr>
              <w:t>等辅助配套设施均已建成，满足工艺流程，也满足功能分区要求及运输作业要求。</w:t>
            </w:r>
            <w:r>
              <w:rPr>
                <w:rFonts w:hint="eastAsia" w:ascii="Times New Roman" w:hAnsi="Times New Roman" w:eastAsia="宋体" w:cs="Times New Roman"/>
                <w:color w:val="FF0000"/>
                <w:sz w:val="24"/>
              </w:rPr>
              <w:t>项目厂区不设置原料堆场，原料堆场租借外用场地。</w:t>
            </w:r>
          </w:p>
          <w:p w14:paraId="5CC88826">
            <w:pPr>
              <w:spacing w:line="360" w:lineRule="auto"/>
              <w:ind w:firstLine="470" w:firstLineChars="196"/>
              <w:rPr>
                <w:rFonts w:ascii="Times New Roman" w:hAnsi="Times New Roman" w:eastAsia="宋体" w:cs="Times New Roman"/>
                <w:sz w:val="24"/>
              </w:rPr>
            </w:pPr>
            <w:r>
              <w:rPr>
                <w:rFonts w:ascii="Times New Roman" w:hAnsi="Times New Roman" w:eastAsia="宋体" w:cs="Times New Roman"/>
                <w:sz w:val="24"/>
              </w:rPr>
              <w:t>根据建设单位设计，项目</w:t>
            </w:r>
            <w:r>
              <w:rPr>
                <w:rFonts w:hint="eastAsia" w:ascii="Times New Roman" w:hAnsi="Times New Roman" w:eastAsia="宋体" w:cs="Times New Roman"/>
                <w:sz w:val="24"/>
              </w:rPr>
              <w:t>厂区布置简单，由北至南主要分布为办公及生活区、磅房、生产废水沉淀池、清水池、生产加工车间、料仓等；生活区主要依托原有办公生活区。</w:t>
            </w:r>
            <w:r>
              <w:rPr>
                <w:rFonts w:ascii="Times New Roman" w:hAnsi="Times New Roman" w:eastAsia="宋体" w:cs="Times New Roman"/>
                <w:sz w:val="24"/>
              </w:rPr>
              <w:t>项目工程平面布置基本合理，做到了统一布置，综合平衡，功能分区明确，工艺流程合理，管线短捷，运输方便，并符合环保、消防及安全要求等。</w:t>
            </w:r>
          </w:p>
          <w:p w14:paraId="141C0CAC">
            <w:pPr>
              <w:spacing w:line="360" w:lineRule="auto"/>
              <w:ind w:firstLine="472" w:firstLineChars="196"/>
              <w:rPr>
                <w:rFonts w:ascii="Times New Roman" w:hAnsi="Times New Roman" w:eastAsia="宋体" w:cs="Times New Roman"/>
                <w:sz w:val="24"/>
              </w:rPr>
            </w:pPr>
            <w:r>
              <w:rPr>
                <w:rFonts w:ascii="Times New Roman" w:hAnsi="Times New Roman" w:eastAsia="宋体" w:cs="Times New Roman"/>
                <w:b/>
                <w:sz w:val="24"/>
              </w:rPr>
              <w:t>综上所述</w:t>
            </w:r>
            <w:r>
              <w:rPr>
                <w:rFonts w:ascii="Times New Roman" w:hAnsi="Times New Roman" w:eastAsia="宋体" w:cs="Times New Roman"/>
                <w:sz w:val="24"/>
              </w:rPr>
              <w:t>，本项目在总体布局上，遵循“分区合理、工艺流畅、物流短捷；突出环保与安全”的原则，结合场地的用地条件及生产工艺，综合考虑环保、消防、劳动卫生等要求，进行了平面布置统筹安排，总图布置从环保角度合理</w:t>
            </w:r>
            <w:r>
              <w:rPr>
                <w:rFonts w:ascii="Times New Roman" w:hAnsi="Times New Roman" w:eastAsia="宋体" w:cs="Times New Roman"/>
                <w:bCs/>
                <w:sz w:val="24"/>
              </w:rPr>
              <w:t>。详见</w:t>
            </w:r>
            <w:r>
              <w:rPr>
                <w:rFonts w:ascii="Times New Roman" w:hAnsi="Times New Roman" w:eastAsia="宋体" w:cs="Times New Roman"/>
                <w:sz w:val="24"/>
              </w:rPr>
              <w:t>附图2项目平面布置图。</w:t>
            </w:r>
          </w:p>
          <w:p w14:paraId="131EE76C">
            <w:pPr>
              <w:spacing w:before="120" w:after="120" w:line="360" w:lineRule="auto"/>
              <w:rPr>
                <w:rFonts w:ascii="Times New Roman" w:hAnsi="Times New Roman" w:eastAsia="宋体" w:cs="Times New Roman"/>
                <w:b/>
                <w:sz w:val="24"/>
                <w:szCs w:val="24"/>
              </w:rPr>
            </w:pPr>
            <w:r>
              <w:rPr>
                <w:rFonts w:ascii="Times New Roman" w:hAnsi="Times New Roman" w:eastAsia="宋体" w:cs="Times New Roman"/>
                <w:b/>
                <w:sz w:val="24"/>
                <w:szCs w:val="24"/>
              </w:rPr>
              <w:t>四、项目概况</w:t>
            </w:r>
          </w:p>
          <w:p w14:paraId="23A0D1E8">
            <w:pPr>
              <w:spacing w:line="360" w:lineRule="auto"/>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（1）项目基本情况</w:t>
            </w:r>
          </w:p>
          <w:p w14:paraId="6BA1898B">
            <w:pPr>
              <w:spacing w:line="360" w:lineRule="auto"/>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项目名称：</w:t>
            </w:r>
            <w:r>
              <w:rPr>
                <w:rFonts w:hint="eastAsia" w:ascii="Times New Roman" w:hAnsi="Times New Roman" w:eastAsia="宋体" w:cs="Times New Roman"/>
                <w:sz w:val="24"/>
                <w:szCs w:val="24"/>
                <w:lang w:eastAsia="zh-CN"/>
              </w:rPr>
              <w:t>峨边彝族自治县</w:t>
            </w:r>
            <w:r>
              <w:rPr>
                <w:rFonts w:hint="eastAsia" w:ascii="Times New Roman" w:hAnsi="Times New Roman" w:eastAsia="宋体" w:cs="Times New Roman"/>
                <w:sz w:val="24"/>
                <w:szCs w:val="24"/>
              </w:rPr>
              <w:t>建筑垃圾资源化回收利用项目</w:t>
            </w:r>
          </w:p>
          <w:p w14:paraId="2F2698A7">
            <w:pPr>
              <w:spacing w:line="360" w:lineRule="auto"/>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建设单位：</w:t>
            </w:r>
            <w:r>
              <w:rPr>
                <w:rFonts w:hint="eastAsia" w:ascii="Times New Roman" w:hAnsi="Times New Roman" w:eastAsia="宋体" w:cs="Times New Roman"/>
                <w:sz w:val="24"/>
                <w:szCs w:val="24"/>
              </w:rPr>
              <w:t>峨边鸿泰再生资源有限责任公司</w:t>
            </w:r>
          </w:p>
          <w:p w14:paraId="76BAFB95">
            <w:pPr>
              <w:spacing w:line="360" w:lineRule="auto"/>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建设地点：</w:t>
            </w:r>
            <w:r>
              <w:rPr>
                <w:rFonts w:hint="eastAsia" w:ascii="Times New Roman" w:hAnsi="Times New Roman" w:eastAsia="宋体" w:cs="Times New Roman"/>
                <w:sz w:val="24"/>
                <w:szCs w:val="24"/>
              </w:rPr>
              <w:t>峨边彝族自治县新林镇卷木村4组、7组（E103.2309°，N29.1976°）</w:t>
            </w:r>
          </w:p>
          <w:p w14:paraId="7E5276D1">
            <w:pPr>
              <w:spacing w:line="360" w:lineRule="auto"/>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建设性质：</w:t>
            </w:r>
            <w:r>
              <w:rPr>
                <w:rFonts w:hint="eastAsia" w:ascii="Times New Roman" w:hAnsi="Times New Roman" w:eastAsia="宋体" w:cs="Times New Roman"/>
                <w:sz w:val="24"/>
                <w:szCs w:val="24"/>
              </w:rPr>
              <w:t>新建</w:t>
            </w:r>
          </w:p>
          <w:p w14:paraId="3CA51B26">
            <w:pPr>
              <w:spacing w:line="360" w:lineRule="auto"/>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工作制度及劳动定员：项目劳动定员6人，采用</w:t>
            </w:r>
            <w:r>
              <w:rPr>
                <w:rFonts w:hint="eastAsia" w:ascii="Times New Roman" w:hAnsi="Times New Roman" w:eastAsia="宋体" w:cs="Times New Roman"/>
                <w:sz w:val="24"/>
                <w:szCs w:val="24"/>
              </w:rPr>
              <w:t>白天一</w:t>
            </w:r>
            <w:r>
              <w:rPr>
                <w:rFonts w:ascii="Times New Roman" w:hAnsi="Times New Roman" w:eastAsia="宋体" w:cs="Times New Roman"/>
                <w:sz w:val="24"/>
                <w:szCs w:val="24"/>
              </w:rPr>
              <w:t>班制，单班8小时工作制</w:t>
            </w:r>
            <w:r>
              <w:rPr>
                <w:rFonts w:hint="eastAsia" w:ascii="Times New Roman" w:hAnsi="Times New Roman" w:eastAsia="宋体" w:cs="Times New Roman"/>
                <w:sz w:val="24"/>
                <w:szCs w:val="24"/>
              </w:rPr>
              <w:t>（2</w:t>
            </w:r>
            <w:r>
              <w:rPr>
                <w:rFonts w:ascii="Times New Roman" w:hAnsi="Times New Roman" w:eastAsia="宋体" w:cs="Times New Roman"/>
                <w:sz w:val="24"/>
                <w:szCs w:val="24"/>
              </w:rPr>
              <w:t>2</w:t>
            </w:r>
            <w:r>
              <w:rPr>
                <w:rFonts w:hint="eastAsia" w:ascii="Times New Roman" w:hAnsi="Times New Roman" w:eastAsia="宋体" w:cs="Times New Roman"/>
                <w:sz w:val="24"/>
                <w:szCs w:val="24"/>
              </w:rPr>
              <w:t>:</w:t>
            </w:r>
            <w:r>
              <w:rPr>
                <w:rFonts w:ascii="Times New Roman" w:hAnsi="Times New Roman" w:eastAsia="宋体" w:cs="Times New Roman"/>
                <w:sz w:val="24"/>
                <w:szCs w:val="24"/>
              </w:rPr>
              <w:t>00</w:t>
            </w:r>
            <w:r>
              <w:rPr>
                <w:rFonts w:hint="eastAsia" w:ascii="Times New Roman" w:hAnsi="Times New Roman" w:eastAsia="宋体" w:cs="Times New Roman"/>
                <w:sz w:val="24"/>
                <w:szCs w:val="24"/>
              </w:rPr>
              <w:t>后不生产）</w:t>
            </w:r>
            <w:r>
              <w:rPr>
                <w:rFonts w:ascii="Times New Roman" w:hAnsi="Times New Roman" w:eastAsia="宋体" w:cs="Times New Roman"/>
                <w:sz w:val="24"/>
                <w:szCs w:val="24"/>
              </w:rPr>
              <w:t>，全年工作日为300天。</w:t>
            </w:r>
          </w:p>
          <w:p w14:paraId="250F57F3">
            <w:pPr>
              <w:spacing w:line="360" w:lineRule="auto"/>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项目总投资：项目总投资200万元，企业自筹200万元。</w:t>
            </w:r>
          </w:p>
          <w:p w14:paraId="58ADC245">
            <w:pPr>
              <w:spacing w:line="360" w:lineRule="auto"/>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建设主要内容及规模：</w:t>
            </w:r>
          </w:p>
          <w:p w14:paraId="1D02A55D">
            <w:pPr>
              <w:spacing w:line="360" w:lineRule="auto"/>
              <w:ind w:firstLine="470" w:firstLineChars="196"/>
              <w:rPr>
                <w:rFonts w:ascii="Times New Roman" w:hAnsi="Times New Roman" w:eastAsia="宋体" w:cs="Times New Roman"/>
                <w:bCs/>
                <w:sz w:val="24"/>
                <w:szCs w:val="24"/>
              </w:rPr>
            </w:pPr>
            <w:r>
              <w:rPr>
                <w:rFonts w:hint="eastAsia" w:ascii="Times New Roman" w:hAnsi="Times New Roman" w:eastAsia="宋体" w:cs="Times New Roman"/>
                <w:bCs/>
                <w:sz w:val="24"/>
                <w:szCs w:val="24"/>
              </w:rPr>
              <w:t>项目设计年回收加工建筑垃圾20万吨，主要产品为：建筑颗粒</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其中0.5cm颗粒12万吨，2</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4cm颗粒8万吨</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，项目总建筑面积5000平方米</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5×5×3料仓10个、机械厂房1500平方米，环保配套设施500平方米其他辅助设施2250平方米</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，主要设备：1142重型给料机1台、1060×750鄂破机1台、141制砂机1台、2470振动筛1台、输送机1台、30装载机1台、降尘喷雾机4台，厂区采用封闭作业，全面降尘，粉尘不出车间。</w:t>
            </w:r>
          </w:p>
          <w:p w14:paraId="098EA187">
            <w:pPr>
              <w:spacing w:line="480" w:lineRule="exact"/>
              <w:ind w:firstLine="470" w:firstLineChars="196"/>
              <w:rPr>
                <w:rFonts w:ascii="Times New Roman" w:hAnsi="Times New Roman" w:eastAsia="宋体" w:cs="Times New Roman"/>
                <w:sz w:val="24"/>
              </w:rPr>
            </w:pPr>
            <w:r>
              <w:rPr>
                <w:rFonts w:ascii="Times New Roman" w:hAnsi="Times New Roman" w:eastAsia="宋体" w:cs="Times New Roman"/>
                <w:sz w:val="24"/>
              </w:rPr>
              <w:t>（2）产品方案</w:t>
            </w:r>
          </w:p>
          <w:p w14:paraId="3FD7691F">
            <w:pPr>
              <w:widowControl/>
              <w:adjustRightInd w:val="0"/>
              <w:snapToGrid w:val="0"/>
              <w:spacing w:line="480" w:lineRule="exact"/>
              <w:ind w:right="92" w:rightChars="44" w:firstLine="480" w:firstLineChars="200"/>
              <w:jc w:val="left"/>
              <w:rPr>
                <w:rFonts w:ascii="Times New Roman" w:hAnsi="Times New Roman" w:eastAsia="宋体" w:cs="Times New Roman"/>
                <w:sz w:val="24"/>
              </w:rPr>
            </w:pPr>
            <w:r>
              <w:rPr>
                <w:rFonts w:ascii="Times New Roman" w:hAnsi="Times New Roman" w:eastAsia="宋体" w:cs="Times New Roman"/>
                <w:sz w:val="24"/>
              </w:rPr>
              <w:t>本项目主要产品为机制砂石，项目产品方案见表1-4：</w:t>
            </w:r>
          </w:p>
          <w:p w14:paraId="45E8A320">
            <w:pPr>
              <w:spacing w:line="500" w:lineRule="exact"/>
              <w:ind w:firstLine="480" w:firstLineChars="200"/>
              <w:jc w:val="center"/>
              <w:rPr>
                <w:rFonts w:ascii="Times New Roman" w:hAnsi="Times New Roman" w:eastAsia="宋体" w:cs="Times New Roman"/>
                <w:sz w:val="24"/>
                <w:szCs w:val="24"/>
                <w:u w:val="single"/>
              </w:rPr>
            </w:pPr>
            <w:r>
              <w:rPr>
                <w:rFonts w:ascii="Times New Roman" w:hAnsi="Times New Roman" w:eastAsia="宋体" w:cs="Times New Roman"/>
                <w:snapToGrid w:val="0"/>
                <w:kern w:val="0"/>
                <w:sz w:val="24"/>
                <w:szCs w:val="24"/>
              </w:rPr>
              <w:t>表1-4  项目产品方案一览表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108" w:type="dxa"/>
                <w:bottom w:w="0" w:type="dxa"/>
                <w:right w:w="108" w:type="dxa"/>
              </w:tblCellMar>
            </w:tblPr>
            <w:tblGrid>
              <w:gridCol w:w="886"/>
              <w:gridCol w:w="1519"/>
              <w:gridCol w:w="804"/>
              <w:gridCol w:w="1070"/>
              <w:gridCol w:w="961"/>
              <w:gridCol w:w="3708"/>
            </w:tblGrid>
            <w:tr w14:paraId="47E0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13" w:hRule="atLeast"/>
                <w:jc w:val="center"/>
              </w:trPr>
              <w:tc>
                <w:tcPr>
                  <w:tcW w:w="495" w:type="pct"/>
                  <w:tcBorders>
                    <w:top w:val="single" w:color="auto" w:sz="12" w:space="0"/>
                    <w:left w:val="single" w:color="auto" w:sz="12" w:space="0"/>
                  </w:tcBorders>
                  <w:shd w:val="clear" w:color="auto" w:fill="FFFFFF"/>
                  <w:vAlign w:val="center"/>
                </w:tcPr>
                <w:p w14:paraId="08C6ECCD">
                  <w:pPr>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849" w:type="pct"/>
                  <w:tcBorders>
                    <w:top w:val="single" w:color="auto" w:sz="12" w:space="0"/>
                  </w:tcBorders>
                  <w:shd w:val="clear" w:color="auto" w:fill="FFFFFF"/>
                  <w:vAlign w:val="center"/>
                </w:tcPr>
                <w:p w14:paraId="527736B5">
                  <w:pPr>
                    <w:jc w:val="center"/>
                    <w:rPr>
                      <w:rFonts w:ascii="Times New Roman" w:hAnsi="Times New Roman" w:eastAsia="宋体" w:cs="Times New Roman"/>
                      <w:szCs w:val="21"/>
                    </w:rPr>
                  </w:pPr>
                  <w:r>
                    <w:rPr>
                      <w:rFonts w:ascii="Times New Roman" w:hAnsi="Times New Roman" w:eastAsia="宋体" w:cs="Times New Roman"/>
                      <w:szCs w:val="21"/>
                    </w:rPr>
                    <w:t>名称</w:t>
                  </w:r>
                </w:p>
              </w:tc>
              <w:tc>
                <w:tcPr>
                  <w:tcW w:w="449" w:type="pct"/>
                  <w:tcBorders>
                    <w:top w:val="single" w:color="auto" w:sz="12" w:space="0"/>
                  </w:tcBorders>
                  <w:shd w:val="clear" w:color="auto" w:fill="FFFFFF"/>
                  <w:vAlign w:val="center"/>
                </w:tcPr>
                <w:p w14:paraId="427AAD79">
                  <w:pPr>
                    <w:jc w:val="center"/>
                    <w:rPr>
                      <w:rFonts w:ascii="Times New Roman" w:hAnsi="Times New Roman" w:eastAsia="宋体" w:cs="Times New Roman"/>
                      <w:szCs w:val="21"/>
                    </w:rPr>
                  </w:pPr>
                  <w:r>
                    <w:rPr>
                      <w:rFonts w:ascii="Times New Roman" w:hAnsi="Times New Roman" w:eastAsia="宋体" w:cs="Times New Roman"/>
                      <w:szCs w:val="21"/>
                    </w:rPr>
                    <w:t>单位</w:t>
                  </w:r>
                </w:p>
              </w:tc>
              <w:tc>
                <w:tcPr>
                  <w:tcW w:w="598" w:type="pct"/>
                  <w:tcBorders>
                    <w:top w:val="single" w:color="auto" w:sz="12" w:space="0"/>
                  </w:tcBorders>
                  <w:shd w:val="clear" w:color="auto" w:fill="FFFFFF"/>
                  <w:vAlign w:val="center"/>
                </w:tcPr>
                <w:p w14:paraId="775DCE20">
                  <w:pPr>
                    <w:jc w:val="center"/>
                    <w:rPr>
                      <w:rFonts w:ascii="Times New Roman" w:hAnsi="Times New Roman" w:eastAsia="宋体" w:cs="Times New Roman"/>
                      <w:szCs w:val="21"/>
                    </w:rPr>
                  </w:pPr>
                  <w:r>
                    <w:rPr>
                      <w:rFonts w:ascii="Times New Roman" w:hAnsi="Times New Roman" w:eastAsia="宋体" w:cs="Times New Roman"/>
                      <w:szCs w:val="21"/>
                    </w:rPr>
                    <w:t>规模</w:t>
                  </w:r>
                </w:p>
              </w:tc>
              <w:tc>
                <w:tcPr>
                  <w:tcW w:w="537" w:type="pct"/>
                  <w:tcBorders>
                    <w:top w:val="single" w:color="auto" w:sz="12" w:space="0"/>
                    <w:left w:val="single" w:color="auto" w:sz="6" w:space="0"/>
                  </w:tcBorders>
                  <w:shd w:val="clear" w:color="auto" w:fill="FFFFFF"/>
                  <w:vAlign w:val="center"/>
                </w:tcPr>
                <w:p w14:paraId="64B9934A">
                  <w:pPr>
                    <w:jc w:val="center"/>
                    <w:rPr>
                      <w:rFonts w:ascii="Times New Roman" w:hAnsi="Times New Roman" w:eastAsia="宋体" w:cs="Times New Roman"/>
                      <w:szCs w:val="21"/>
                    </w:rPr>
                  </w:pPr>
                  <w:r>
                    <w:rPr>
                      <w:rFonts w:ascii="Times New Roman" w:hAnsi="Times New Roman" w:eastAsia="宋体" w:cs="Times New Roman"/>
                      <w:szCs w:val="21"/>
                    </w:rPr>
                    <w:t>来源</w:t>
                  </w:r>
                </w:p>
              </w:tc>
              <w:tc>
                <w:tcPr>
                  <w:tcW w:w="2072" w:type="pct"/>
                  <w:tcBorders>
                    <w:top w:val="single" w:color="auto" w:sz="12" w:space="0"/>
                    <w:left w:val="single" w:color="auto" w:sz="6" w:space="0"/>
                    <w:right w:val="single" w:color="auto" w:sz="12" w:space="0"/>
                  </w:tcBorders>
                  <w:shd w:val="clear" w:color="auto" w:fill="FFFFFF"/>
                  <w:vAlign w:val="center"/>
                </w:tcPr>
                <w:p w14:paraId="3E546CDA">
                  <w:pPr>
                    <w:jc w:val="center"/>
                    <w:rPr>
                      <w:rFonts w:ascii="Times New Roman" w:hAnsi="Times New Roman" w:eastAsia="宋体" w:cs="Times New Roman"/>
                      <w:szCs w:val="21"/>
                    </w:rPr>
                  </w:pPr>
                  <w:r>
                    <w:rPr>
                      <w:rFonts w:ascii="Times New Roman" w:hAnsi="Times New Roman" w:eastAsia="宋体" w:cs="Times New Roman"/>
                      <w:szCs w:val="21"/>
                    </w:rPr>
                    <w:t>备注</w:t>
                  </w:r>
                </w:p>
              </w:tc>
            </w:tr>
            <w:tr w14:paraId="07C02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jc w:val="center"/>
              </w:trPr>
              <w:tc>
                <w:tcPr>
                  <w:tcW w:w="495" w:type="pct"/>
                  <w:tcBorders>
                    <w:left w:val="single" w:color="auto" w:sz="12" w:space="0"/>
                    <w:bottom w:val="single" w:color="auto" w:sz="12" w:space="0"/>
                  </w:tcBorders>
                  <w:shd w:val="clear" w:color="auto" w:fill="FFFFFF"/>
                  <w:vAlign w:val="center"/>
                </w:tcPr>
                <w:p w14:paraId="1468A74C">
                  <w:pPr>
                    <w:jc w:val="center"/>
                    <w:rPr>
                      <w:rFonts w:ascii="Times New Roman" w:hAnsi="Times New Roman" w:eastAsia="宋体" w:cs="Times New Roman"/>
                      <w:szCs w:val="21"/>
                    </w:rPr>
                  </w:pPr>
                  <w:r>
                    <w:rPr>
                      <w:rFonts w:ascii="Times New Roman" w:hAnsi="Times New Roman" w:eastAsia="宋体" w:cs="Times New Roman"/>
                      <w:szCs w:val="21"/>
                    </w:rPr>
                    <w:t>1</w:t>
                  </w:r>
                </w:p>
              </w:tc>
              <w:tc>
                <w:tcPr>
                  <w:tcW w:w="849" w:type="pct"/>
                  <w:tcBorders>
                    <w:bottom w:val="single" w:color="auto" w:sz="12" w:space="0"/>
                  </w:tcBorders>
                  <w:shd w:val="clear" w:color="auto" w:fill="FFFFFF"/>
                  <w:vAlign w:val="center"/>
                </w:tcPr>
                <w:p w14:paraId="0DE6D366">
                  <w:pPr>
                    <w:jc w:val="center"/>
                    <w:rPr>
                      <w:rFonts w:ascii="Times New Roman" w:hAnsi="Times New Roman" w:eastAsia="宋体" w:cs="Times New Roman"/>
                      <w:szCs w:val="21"/>
                    </w:rPr>
                  </w:pPr>
                  <w:r>
                    <w:rPr>
                      <w:rFonts w:hint="eastAsia" w:ascii="Times New Roman" w:hAnsi="Times New Roman" w:eastAsia="宋体" w:cs="Times New Roman"/>
                      <w:szCs w:val="21"/>
                    </w:rPr>
                    <w:t>建筑垃圾骨料</w:t>
                  </w:r>
                </w:p>
              </w:tc>
              <w:tc>
                <w:tcPr>
                  <w:tcW w:w="449" w:type="pct"/>
                  <w:tcBorders>
                    <w:bottom w:val="single" w:color="auto" w:sz="12" w:space="0"/>
                  </w:tcBorders>
                  <w:shd w:val="clear" w:color="auto" w:fill="FFFFFF"/>
                  <w:vAlign w:val="center"/>
                </w:tcPr>
                <w:p w14:paraId="6B4899CA">
                  <w:pPr>
                    <w:jc w:val="center"/>
                    <w:rPr>
                      <w:rFonts w:ascii="Times New Roman" w:hAnsi="Times New Roman" w:eastAsia="宋体" w:cs="Times New Roman"/>
                      <w:szCs w:val="21"/>
                    </w:rPr>
                  </w:pPr>
                  <w:r>
                    <w:rPr>
                      <w:rFonts w:ascii="Times New Roman" w:hAnsi="Times New Roman" w:eastAsia="宋体" w:cs="Times New Roman"/>
                      <w:szCs w:val="21"/>
                    </w:rPr>
                    <w:t>万t</w:t>
                  </w:r>
                </w:p>
              </w:tc>
              <w:tc>
                <w:tcPr>
                  <w:tcW w:w="598" w:type="pct"/>
                  <w:tcBorders>
                    <w:bottom w:val="single" w:color="auto" w:sz="12" w:space="0"/>
                  </w:tcBorders>
                  <w:shd w:val="clear" w:color="auto" w:fill="FFFFFF"/>
                  <w:vAlign w:val="center"/>
                </w:tcPr>
                <w:p w14:paraId="5B40BAE4">
                  <w:pPr>
                    <w:jc w:val="center"/>
                    <w:rPr>
                      <w:rFonts w:ascii="Times New Roman" w:hAnsi="Times New Roman" w:eastAsia="宋体" w:cs="Times New Roman"/>
                      <w:szCs w:val="21"/>
                    </w:rPr>
                  </w:pPr>
                  <w:r>
                    <w:rPr>
                      <w:rFonts w:ascii="Times New Roman" w:hAnsi="Times New Roman" w:eastAsia="宋体" w:cs="Times New Roman"/>
                      <w:szCs w:val="21"/>
                    </w:rPr>
                    <w:t>20</w:t>
                  </w:r>
                </w:p>
              </w:tc>
              <w:tc>
                <w:tcPr>
                  <w:tcW w:w="537" w:type="pct"/>
                  <w:tcBorders>
                    <w:left w:val="single" w:color="auto" w:sz="6" w:space="0"/>
                    <w:bottom w:val="single" w:color="auto" w:sz="12" w:space="0"/>
                  </w:tcBorders>
                  <w:shd w:val="clear" w:color="auto" w:fill="FFFFFF"/>
                  <w:vAlign w:val="center"/>
                </w:tcPr>
                <w:p w14:paraId="5D4E94DE">
                  <w:pPr>
                    <w:jc w:val="center"/>
                    <w:rPr>
                      <w:rFonts w:ascii="Times New Roman" w:hAnsi="Times New Roman" w:eastAsia="宋体" w:cs="Times New Roman"/>
                      <w:szCs w:val="21"/>
                    </w:rPr>
                  </w:pPr>
                  <w:r>
                    <w:rPr>
                      <w:rFonts w:ascii="Times New Roman" w:hAnsi="Times New Roman" w:eastAsia="宋体" w:cs="Times New Roman"/>
                      <w:szCs w:val="21"/>
                    </w:rPr>
                    <w:t>外购</w:t>
                  </w:r>
                </w:p>
              </w:tc>
              <w:tc>
                <w:tcPr>
                  <w:tcW w:w="2072" w:type="pct"/>
                  <w:tcBorders>
                    <w:left w:val="single" w:color="auto" w:sz="6" w:space="0"/>
                    <w:bottom w:val="single" w:color="auto" w:sz="12" w:space="0"/>
                    <w:right w:val="single" w:color="auto" w:sz="12" w:space="0"/>
                  </w:tcBorders>
                  <w:shd w:val="clear" w:color="auto" w:fill="FFFFFF"/>
                  <w:vAlign w:val="center"/>
                </w:tcPr>
                <w:p w14:paraId="2AB1F2E6">
                  <w:pPr>
                    <w:jc w:val="center"/>
                    <w:rPr>
                      <w:rFonts w:ascii="Times New Roman" w:hAnsi="Times New Roman" w:eastAsia="宋体" w:cs="Times New Roman"/>
                      <w:szCs w:val="21"/>
                    </w:rPr>
                  </w:pPr>
                  <w:r>
                    <w:rPr>
                      <w:rFonts w:hint="eastAsia" w:ascii="Times New Roman" w:hAnsi="Times New Roman" w:eastAsia="宋体" w:cs="Times New Roman"/>
                      <w:szCs w:val="21"/>
                    </w:rPr>
                    <w:t>0.5cm颗粒12万吨，2</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rPr>
                    <w:t>4cm颗粒8万吨</w:t>
                  </w:r>
                </w:p>
              </w:tc>
            </w:tr>
          </w:tbl>
          <w:p w14:paraId="72354012">
            <w:pPr>
              <w:spacing w:line="480" w:lineRule="exact"/>
              <w:ind w:firstLine="470" w:firstLineChars="196"/>
              <w:rPr>
                <w:rFonts w:ascii="Times New Roman" w:hAnsi="Times New Roman" w:eastAsia="宋体" w:cs="Times New Roman"/>
                <w:sz w:val="24"/>
                <w:szCs w:val="24"/>
              </w:rPr>
            </w:pPr>
            <w:r>
              <w:rPr>
                <w:rFonts w:ascii="Times New Roman" w:hAnsi="Times New Roman" w:eastAsia="宋体" w:cs="Times New Roman"/>
                <w:bCs/>
                <w:sz w:val="24"/>
                <w:szCs w:val="24"/>
              </w:rPr>
              <w:t>（3）项目组成及主要环境问题</w:t>
            </w:r>
          </w:p>
          <w:p w14:paraId="7FE7EC72">
            <w:pPr>
              <w:spacing w:line="480" w:lineRule="exact"/>
              <w:ind w:firstLine="470" w:firstLineChars="196"/>
              <w:rPr>
                <w:rFonts w:ascii="Times New Roman" w:hAnsi="Times New Roman" w:eastAsia="宋体" w:cs="Times New Roman"/>
                <w:sz w:val="24"/>
              </w:rPr>
            </w:pPr>
            <w:r>
              <w:rPr>
                <w:rFonts w:ascii="Times New Roman" w:hAnsi="Times New Roman" w:eastAsia="宋体" w:cs="Times New Roman"/>
                <w:sz w:val="24"/>
              </w:rPr>
              <w:t>本项目依托现有场地</w:t>
            </w:r>
            <w:r>
              <w:rPr>
                <w:rFonts w:ascii="Times New Roman" w:hAnsi="Times New Roman" w:eastAsia="宋体" w:cs="Times New Roman"/>
                <w:bCs/>
                <w:sz w:val="24"/>
                <w:szCs w:val="24"/>
              </w:rPr>
              <w:t>及配套基础设施建设项目</w:t>
            </w:r>
            <w:r>
              <w:rPr>
                <w:rFonts w:ascii="Times New Roman" w:hAnsi="Times New Roman" w:eastAsia="宋体" w:cs="Times New Roman"/>
                <w:snapToGrid w:val="0"/>
                <w:kern w:val="0"/>
                <w:sz w:val="24"/>
                <w:szCs w:val="24"/>
              </w:rPr>
              <w:t>新建厂房</w:t>
            </w:r>
            <w:r>
              <w:rPr>
                <w:rFonts w:hint="eastAsia" w:ascii="Times New Roman" w:hAnsi="Times New Roman" w:eastAsia="宋体" w:cs="Times New Roman"/>
                <w:snapToGrid w:val="0"/>
                <w:kern w:val="0"/>
                <w:sz w:val="24"/>
                <w:szCs w:val="24"/>
                <w:lang w:eastAsia="zh-CN"/>
              </w:rPr>
              <w:t>实施</w:t>
            </w:r>
            <w:r>
              <w:rPr>
                <w:rFonts w:ascii="Times New Roman" w:hAnsi="Times New Roman" w:eastAsia="宋体" w:cs="Times New Roman"/>
                <w:sz w:val="24"/>
              </w:rPr>
              <w:t>，</w:t>
            </w:r>
            <w:r>
              <w:rPr>
                <w:rFonts w:ascii="Times New Roman" w:hAnsi="Times New Roman" w:eastAsia="宋体" w:cs="Times New Roman"/>
                <w:sz w:val="24"/>
                <w:szCs w:val="24"/>
              </w:rPr>
              <w:t>项目组成及主要环境问题详见表1-5。</w:t>
            </w:r>
          </w:p>
          <w:p w14:paraId="7F66BFA1">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表1-5 项目组成及主要环境问题一览表</w:t>
            </w:r>
          </w:p>
          <w:tbl>
            <w:tblPr>
              <w:tblStyle w:val="26"/>
              <w:tblW w:w="8866"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41"/>
              <w:gridCol w:w="1240"/>
              <w:gridCol w:w="3743"/>
              <w:gridCol w:w="1057"/>
              <w:gridCol w:w="1295"/>
              <w:gridCol w:w="690"/>
            </w:tblGrid>
            <w:tr w14:paraId="12EE7A4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41" w:type="dxa"/>
                  <w:vMerge w:val="restart"/>
                  <w:tcBorders>
                    <w:top w:val="single" w:color="auto" w:sz="12" w:space="0"/>
                    <w:left w:val="single" w:color="auto" w:sz="12" w:space="0"/>
                  </w:tcBorders>
                  <w:vAlign w:val="center"/>
                </w:tcPr>
                <w:p w14:paraId="23D28B2F">
                  <w:pPr>
                    <w:pStyle w:val="167"/>
                    <w:snapToGrid w:val="0"/>
                    <w:spacing w:line="240" w:lineRule="auto"/>
                    <w:rPr>
                      <w:rFonts w:ascii="Times New Roman" w:hAnsi="Times New Roman" w:eastAsia="宋体" w:cs="Times New Roman"/>
                      <w:b/>
                      <w:bCs/>
                      <w:szCs w:val="21"/>
                    </w:rPr>
                  </w:pPr>
                  <w:r>
                    <w:rPr>
                      <w:rFonts w:ascii="Times New Roman" w:hAnsi="Times New Roman" w:eastAsia="宋体" w:cs="Times New Roman"/>
                      <w:b/>
                      <w:bCs/>
                      <w:szCs w:val="21"/>
                    </w:rPr>
                    <w:t>名称</w:t>
                  </w:r>
                </w:p>
              </w:tc>
              <w:tc>
                <w:tcPr>
                  <w:tcW w:w="4983" w:type="dxa"/>
                  <w:gridSpan w:val="2"/>
                  <w:vMerge w:val="restart"/>
                  <w:tcBorders>
                    <w:top w:val="single" w:color="auto" w:sz="12" w:space="0"/>
                  </w:tcBorders>
                  <w:vAlign w:val="center"/>
                </w:tcPr>
                <w:p w14:paraId="5F32621D">
                  <w:pPr>
                    <w:pStyle w:val="167"/>
                    <w:snapToGrid w:val="0"/>
                    <w:spacing w:line="240" w:lineRule="auto"/>
                    <w:rPr>
                      <w:rFonts w:ascii="Times New Roman" w:hAnsi="Times New Roman" w:eastAsia="宋体" w:cs="Times New Roman"/>
                      <w:b/>
                      <w:bCs/>
                      <w:szCs w:val="21"/>
                    </w:rPr>
                  </w:pPr>
                  <w:r>
                    <w:rPr>
                      <w:rFonts w:ascii="Times New Roman" w:hAnsi="Times New Roman" w:eastAsia="宋体" w:cs="Times New Roman"/>
                      <w:b/>
                      <w:bCs/>
                      <w:szCs w:val="21"/>
                    </w:rPr>
                    <w:t>建设内容及规模</w:t>
                  </w:r>
                </w:p>
              </w:tc>
              <w:tc>
                <w:tcPr>
                  <w:tcW w:w="2352" w:type="dxa"/>
                  <w:gridSpan w:val="2"/>
                  <w:tcBorders>
                    <w:top w:val="single" w:color="auto" w:sz="12" w:space="0"/>
                  </w:tcBorders>
                  <w:vAlign w:val="center"/>
                </w:tcPr>
                <w:p w14:paraId="2AEADCC9">
                  <w:pPr>
                    <w:pStyle w:val="167"/>
                    <w:snapToGrid w:val="0"/>
                    <w:spacing w:line="240" w:lineRule="auto"/>
                    <w:rPr>
                      <w:rFonts w:ascii="Times New Roman" w:hAnsi="Times New Roman" w:eastAsia="宋体" w:cs="Times New Roman"/>
                      <w:b/>
                      <w:bCs/>
                      <w:szCs w:val="21"/>
                    </w:rPr>
                  </w:pPr>
                  <w:r>
                    <w:rPr>
                      <w:rFonts w:ascii="Times New Roman" w:hAnsi="Times New Roman" w:eastAsia="宋体" w:cs="Times New Roman"/>
                      <w:b/>
                      <w:bCs/>
                      <w:szCs w:val="21"/>
                    </w:rPr>
                    <w:t>主要环境问题</w:t>
                  </w:r>
                </w:p>
              </w:tc>
              <w:tc>
                <w:tcPr>
                  <w:tcW w:w="690" w:type="dxa"/>
                  <w:vMerge w:val="restart"/>
                  <w:tcBorders>
                    <w:top w:val="single" w:color="auto" w:sz="12" w:space="0"/>
                    <w:right w:val="single" w:color="auto" w:sz="12" w:space="0"/>
                  </w:tcBorders>
                  <w:vAlign w:val="center"/>
                </w:tcPr>
                <w:p w14:paraId="0F24D43A">
                  <w:pPr>
                    <w:pStyle w:val="167"/>
                    <w:snapToGrid w:val="0"/>
                    <w:spacing w:line="240" w:lineRule="auto"/>
                    <w:rPr>
                      <w:rFonts w:ascii="Times New Roman" w:hAnsi="Times New Roman" w:eastAsia="宋体" w:cs="Times New Roman"/>
                      <w:b/>
                      <w:bCs/>
                      <w:szCs w:val="21"/>
                    </w:rPr>
                  </w:pPr>
                  <w:r>
                    <w:rPr>
                      <w:rFonts w:ascii="Times New Roman" w:hAnsi="Times New Roman" w:eastAsia="宋体" w:cs="Times New Roman"/>
                      <w:b/>
                      <w:bCs/>
                      <w:szCs w:val="21"/>
                    </w:rPr>
                    <w:t>备注</w:t>
                  </w:r>
                </w:p>
              </w:tc>
            </w:tr>
            <w:tr w14:paraId="0CFEE28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41" w:type="dxa"/>
                  <w:vMerge w:val="continue"/>
                  <w:tcBorders>
                    <w:left w:val="single" w:color="auto" w:sz="12" w:space="0"/>
                    <w:bottom w:val="single" w:color="auto" w:sz="4" w:space="0"/>
                  </w:tcBorders>
                  <w:vAlign w:val="center"/>
                </w:tcPr>
                <w:p w14:paraId="61D6D5E1">
                  <w:pPr>
                    <w:pStyle w:val="167"/>
                    <w:snapToGrid w:val="0"/>
                    <w:spacing w:line="240" w:lineRule="auto"/>
                    <w:ind w:firstLine="482"/>
                    <w:rPr>
                      <w:rFonts w:ascii="Times New Roman" w:hAnsi="Times New Roman" w:eastAsia="宋体" w:cs="Times New Roman"/>
                      <w:b/>
                      <w:bCs/>
                      <w:szCs w:val="21"/>
                    </w:rPr>
                  </w:pPr>
                </w:p>
              </w:tc>
              <w:tc>
                <w:tcPr>
                  <w:tcW w:w="4983" w:type="dxa"/>
                  <w:gridSpan w:val="2"/>
                  <w:vMerge w:val="continue"/>
                  <w:vAlign w:val="center"/>
                </w:tcPr>
                <w:p w14:paraId="09D806E3">
                  <w:pPr>
                    <w:pStyle w:val="167"/>
                    <w:snapToGrid w:val="0"/>
                    <w:spacing w:line="240" w:lineRule="auto"/>
                    <w:ind w:firstLine="482"/>
                    <w:rPr>
                      <w:rFonts w:ascii="Times New Roman" w:hAnsi="Times New Roman" w:eastAsia="宋体" w:cs="Times New Roman"/>
                      <w:b/>
                      <w:bCs/>
                      <w:szCs w:val="21"/>
                    </w:rPr>
                  </w:pPr>
                </w:p>
              </w:tc>
              <w:tc>
                <w:tcPr>
                  <w:tcW w:w="1057" w:type="dxa"/>
                  <w:vAlign w:val="center"/>
                </w:tcPr>
                <w:p w14:paraId="3F8CE664">
                  <w:pPr>
                    <w:pStyle w:val="167"/>
                    <w:snapToGrid w:val="0"/>
                    <w:spacing w:line="240" w:lineRule="auto"/>
                    <w:rPr>
                      <w:rFonts w:ascii="Times New Roman" w:hAnsi="Times New Roman" w:eastAsia="宋体" w:cs="Times New Roman"/>
                      <w:b/>
                      <w:bCs/>
                      <w:szCs w:val="21"/>
                    </w:rPr>
                  </w:pPr>
                  <w:r>
                    <w:rPr>
                      <w:rFonts w:ascii="Times New Roman" w:hAnsi="Times New Roman" w:eastAsia="宋体" w:cs="Times New Roman"/>
                      <w:b/>
                      <w:bCs/>
                      <w:szCs w:val="21"/>
                    </w:rPr>
                    <w:t>施工期</w:t>
                  </w:r>
                </w:p>
              </w:tc>
              <w:tc>
                <w:tcPr>
                  <w:tcW w:w="1295" w:type="dxa"/>
                  <w:vAlign w:val="center"/>
                </w:tcPr>
                <w:p w14:paraId="1B6F5F73">
                  <w:pPr>
                    <w:pStyle w:val="167"/>
                    <w:snapToGrid w:val="0"/>
                    <w:spacing w:line="240" w:lineRule="auto"/>
                    <w:rPr>
                      <w:rFonts w:ascii="Times New Roman" w:hAnsi="Times New Roman" w:eastAsia="宋体" w:cs="Times New Roman"/>
                      <w:b/>
                      <w:bCs/>
                      <w:szCs w:val="21"/>
                    </w:rPr>
                  </w:pPr>
                  <w:r>
                    <w:rPr>
                      <w:rFonts w:ascii="Times New Roman" w:hAnsi="Times New Roman" w:eastAsia="宋体" w:cs="Times New Roman"/>
                      <w:b/>
                      <w:bCs/>
                      <w:szCs w:val="21"/>
                    </w:rPr>
                    <w:t>营运期</w:t>
                  </w:r>
                </w:p>
              </w:tc>
              <w:tc>
                <w:tcPr>
                  <w:tcW w:w="690" w:type="dxa"/>
                  <w:vMerge w:val="continue"/>
                  <w:tcBorders>
                    <w:right w:val="single" w:color="auto" w:sz="12" w:space="0"/>
                  </w:tcBorders>
                  <w:vAlign w:val="center"/>
                </w:tcPr>
                <w:p w14:paraId="1AAD7F71">
                  <w:pPr>
                    <w:pStyle w:val="167"/>
                    <w:snapToGrid w:val="0"/>
                    <w:spacing w:line="240" w:lineRule="auto"/>
                    <w:rPr>
                      <w:rFonts w:ascii="Times New Roman" w:hAnsi="Times New Roman" w:eastAsia="宋体" w:cs="Times New Roman"/>
                      <w:b/>
                      <w:bCs/>
                      <w:szCs w:val="21"/>
                    </w:rPr>
                  </w:pPr>
                </w:p>
              </w:tc>
            </w:tr>
            <w:tr w14:paraId="6A4D4A1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41" w:type="dxa"/>
                  <w:tcBorders>
                    <w:top w:val="single" w:color="auto" w:sz="4" w:space="0"/>
                    <w:left w:val="single" w:color="auto" w:sz="12" w:space="0"/>
                  </w:tcBorders>
                  <w:vAlign w:val="center"/>
                </w:tcPr>
                <w:p w14:paraId="29450BAB">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主体</w:t>
                  </w:r>
                </w:p>
                <w:p w14:paraId="58DD628E">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工程</w:t>
                  </w:r>
                </w:p>
              </w:tc>
              <w:tc>
                <w:tcPr>
                  <w:tcW w:w="1240" w:type="dxa"/>
                  <w:tcBorders>
                    <w:top w:val="single" w:color="auto" w:sz="4" w:space="0"/>
                  </w:tcBorders>
                  <w:vAlign w:val="center"/>
                </w:tcPr>
                <w:p w14:paraId="401ACDB5">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生产加工车间</w:t>
                  </w:r>
                </w:p>
              </w:tc>
              <w:tc>
                <w:tcPr>
                  <w:tcW w:w="3743" w:type="dxa"/>
                  <w:tcBorders>
                    <w:bottom w:val="single" w:color="auto" w:sz="4" w:space="0"/>
                  </w:tcBorders>
                  <w:vAlign w:val="center"/>
                </w:tcPr>
                <w:p w14:paraId="5F5276B6">
                  <w:pPr>
                    <w:pStyle w:val="167"/>
                    <w:snapToGrid w:val="0"/>
                    <w:spacing w:line="240" w:lineRule="auto"/>
                    <w:jc w:val="left"/>
                    <w:rPr>
                      <w:rFonts w:ascii="Times New Roman" w:hAnsi="Times New Roman" w:eastAsia="宋体" w:cs="Times New Roman"/>
                      <w:szCs w:val="21"/>
                    </w:rPr>
                  </w:pPr>
                  <w:r>
                    <w:rPr>
                      <w:rFonts w:hint="eastAsia" w:ascii="宋体" w:hAnsi="宋体" w:eastAsia="宋体" w:cs="Times New Roman"/>
                      <w:szCs w:val="21"/>
                    </w:rPr>
                    <w:t>本项目生产车间主要位于厂区中部靠西南侧，</w:t>
                  </w:r>
                  <w:r>
                    <w:rPr>
                      <w:rFonts w:hint="eastAsia" w:ascii="宋体" w:hAnsi="宋体" w:eastAsia="宋体" w:cs="Times New Roman"/>
                      <w:szCs w:val="21"/>
                      <w:lang w:eastAsia="zh-CN"/>
                    </w:rPr>
                    <w:t>混凝土</w:t>
                  </w:r>
                  <w:r>
                    <w:rPr>
                      <w:rFonts w:hint="eastAsia" w:ascii="宋体" w:hAnsi="宋体" w:eastAsia="宋体" w:cs="Times New Roman"/>
                      <w:szCs w:val="21"/>
                    </w:rPr>
                    <w:t>框架和钢体房顶及外墙结构，占地面积约</w:t>
                  </w:r>
                  <w:r>
                    <w:rPr>
                      <w:rFonts w:ascii="宋体" w:hAnsi="宋体" w:eastAsia="宋体" w:cs="Times New Roman"/>
                      <w:szCs w:val="21"/>
                    </w:rPr>
                    <w:t>400m</w:t>
                  </w:r>
                  <w:r>
                    <w:rPr>
                      <w:rFonts w:ascii="宋体" w:hAnsi="宋体" w:eastAsia="宋体" w:cs="Times New Roman"/>
                      <w:szCs w:val="21"/>
                      <w:vertAlign w:val="superscript"/>
                    </w:rPr>
                    <w:t>2</w:t>
                  </w:r>
                  <w:r>
                    <w:rPr>
                      <w:rFonts w:ascii="宋体" w:hAnsi="宋体" w:eastAsia="宋体" w:cs="Times New Roman"/>
                      <w:szCs w:val="21"/>
                    </w:rPr>
                    <w:t>，</w:t>
                  </w:r>
                  <w:r>
                    <w:rPr>
                      <w:rFonts w:hint="eastAsia" w:ascii="宋体" w:hAnsi="宋体" w:eastAsia="宋体" w:cs="Times New Roman"/>
                      <w:szCs w:val="21"/>
                    </w:rPr>
                    <w:t>主要布设1142重型给料机1台、1060×750鄂破机1台、141制砂机1台、2470振动筛1台、输送机1台对建筑材料进行加工回收再利用。车间四周密闭、车间布置环保降尘设施。</w:t>
                  </w:r>
                </w:p>
              </w:tc>
              <w:tc>
                <w:tcPr>
                  <w:tcW w:w="1057" w:type="dxa"/>
                  <w:vMerge w:val="restart"/>
                  <w:vAlign w:val="center"/>
                </w:tcPr>
                <w:p w14:paraId="79A11BC6">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施工固废、施工扬尘、施工噪声、施工废水、水土流失</w:t>
                  </w:r>
                </w:p>
              </w:tc>
              <w:tc>
                <w:tcPr>
                  <w:tcW w:w="1295" w:type="dxa"/>
                  <w:vAlign w:val="center"/>
                </w:tcPr>
                <w:p w14:paraId="34B37E34">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噪声、</w:t>
                  </w:r>
                  <w:r>
                    <w:rPr>
                      <w:rFonts w:hint="eastAsia" w:ascii="Times New Roman" w:hAnsi="Times New Roman" w:eastAsia="宋体" w:cs="Times New Roman"/>
                      <w:szCs w:val="21"/>
                    </w:rPr>
                    <w:t>废水、</w:t>
                  </w:r>
                  <w:r>
                    <w:rPr>
                      <w:rFonts w:ascii="Times New Roman" w:hAnsi="Times New Roman" w:eastAsia="宋体" w:cs="Times New Roman"/>
                      <w:szCs w:val="21"/>
                    </w:rPr>
                    <w:t>废气</w:t>
                  </w:r>
                </w:p>
              </w:tc>
              <w:tc>
                <w:tcPr>
                  <w:tcW w:w="690" w:type="dxa"/>
                  <w:tcBorders>
                    <w:bottom w:val="single" w:color="auto" w:sz="4" w:space="0"/>
                    <w:right w:val="single" w:color="auto" w:sz="12" w:space="0"/>
                  </w:tcBorders>
                  <w:vAlign w:val="center"/>
                </w:tcPr>
                <w:p w14:paraId="64FD73B8">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新建</w:t>
                  </w:r>
                </w:p>
              </w:tc>
            </w:tr>
            <w:tr w14:paraId="6F0A43A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41" w:type="dxa"/>
                  <w:tcBorders>
                    <w:top w:val="single" w:color="auto" w:sz="4" w:space="0"/>
                    <w:left w:val="single" w:color="auto" w:sz="12" w:space="0"/>
                  </w:tcBorders>
                  <w:vAlign w:val="center"/>
                </w:tcPr>
                <w:p w14:paraId="32200B94">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辅助工程</w:t>
                  </w:r>
                </w:p>
              </w:tc>
              <w:tc>
                <w:tcPr>
                  <w:tcW w:w="1240" w:type="dxa"/>
                  <w:tcBorders>
                    <w:top w:val="single" w:color="auto" w:sz="4" w:space="0"/>
                  </w:tcBorders>
                  <w:vAlign w:val="center"/>
                </w:tcPr>
                <w:p w14:paraId="12690196">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清水池</w:t>
                  </w:r>
                </w:p>
              </w:tc>
              <w:tc>
                <w:tcPr>
                  <w:tcW w:w="3743" w:type="dxa"/>
                  <w:tcBorders>
                    <w:bottom w:val="single" w:color="auto" w:sz="4" w:space="0"/>
                  </w:tcBorders>
                  <w:vAlign w:val="center"/>
                </w:tcPr>
                <w:p w14:paraId="616EA2A5">
                  <w:pPr>
                    <w:pStyle w:val="167"/>
                    <w:snapToGrid w:val="0"/>
                    <w:spacing w:line="240" w:lineRule="auto"/>
                    <w:jc w:val="left"/>
                    <w:rPr>
                      <w:rFonts w:ascii="宋体" w:hAnsi="宋体" w:eastAsia="宋体" w:cs="Times New Roman"/>
                      <w:szCs w:val="21"/>
                    </w:rPr>
                  </w:pPr>
                  <w:r>
                    <w:rPr>
                      <w:rFonts w:hint="eastAsia" w:ascii="宋体" w:hAnsi="宋体" w:eastAsia="宋体" w:cs="Times New Roman"/>
                      <w:szCs w:val="21"/>
                    </w:rPr>
                    <w:t>本项目于生产车间北侧新建清水池一座，尺寸为</w:t>
                  </w:r>
                  <w:r>
                    <w:rPr>
                      <w:rFonts w:ascii="宋体" w:hAnsi="宋体" w:eastAsia="宋体" w:cs="Times New Roman"/>
                      <w:szCs w:val="21"/>
                    </w:rPr>
                    <w:t>7</w:t>
                  </w:r>
                  <w:r>
                    <w:rPr>
                      <w:rFonts w:hint="eastAsia" w:ascii="宋体" w:hAnsi="宋体" w:eastAsia="宋体" w:cs="Times New Roman"/>
                      <w:szCs w:val="21"/>
                    </w:rPr>
                    <w:t>×</w:t>
                  </w:r>
                  <w:r>
                    <w:rPr>
                      <w:rFonts w:ascii="宋体" w:hAnsi="宋体" w:eastAsia="宋体" w:cs="Times New Roman"/>
                      <w:szCs w:val="21"/>
                    </w:rPr>
                    <w:t>4</w:t>
                  </w:r>
                  <w:r>
                    <w:rPr>
                      <w:rFonts w:hint="eastAsia" w:ascii="宋体" w:hAnsi="宋体" w:eastAsia="宋体" w:cs="Times New Roman"/>
                      <w:szCs w:val="21"/>
                    </w:rPr>
                    <w:t>×</w:t>
                  </w:r>
                  <w:r>
                    <w:rPr>
                      <w:rFonts w:ascii="宋体" w:hAnsi="宋体" w:eastAsia="宋体" w:cs="Times New Roman"/>
                      <w:szCs w:val="21"/>
                    </w:rPr>
                    <w:t>4</w:t>
                  </w:r>
                  <w:r>
                    <w:rPr>
                      <w:rFonts w:hint="eastAsia" w:ascii="宋体" w:hAnsi="宋体" w:eastAsia="宋体" w:cs="Times New Roman"/>
                      <w:szCs w:val="21"/>
                    </w:rPr>
                    <w:t>m，用于湿法作业用水</w:t>
                  </w:r>
                </w:p>
              </w:tc>
              <w:tc>
                <w:tcPr>
                  <w:tcW w:w="1057" w:type="dxa"/>
                  <w:vMerge w:val="continue"/>
                  <w:vAlign w:val="center"/>
                </w:tcPr>
                <w:p w14:paraId="6C6274E5">
                  <w:pPr>
                    <w:pStyle w:val="167"/>
                    <w:snapToGrid w:val="0"/>
                    <w:spacing w:line="240" w:lineRule="auto"/>
                    <w:rPr>
                      <w:rFonts w:ascii="Times New Roman" w:hAnsi="Times New Roman" w:eastAsia="宋体" w:cs="Times New Roman"/>
                      <w:szCs w:val="21"/>
                    </w:rPr>
                  </w:pPr>
                </w:p>
              </w:tc>
              <w:tc>
                <w:tcPr>
                  <w:tcW w:w="1295" w:type="dxa"/>
                  <w:vAlign w:val="center"/>
                </w:tcPr>
                <w:p w14:paraId="182B770B">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w:t>
                  </w:r>
                </w:p>
              </w:tc>
              <w:tc>
                <w:tcPr>
                  <w:tcW w:w="690" w:type="dxa"/>
                  <w:tcBorders>
                    <w:bottom w:val="single" w:color="auto" w:sz="4" w:space="0"/>
                    <w:right w:val="single" w:color="auto" w:sz="12" w:space="0"/>
                  </w:tcBorders>
                  <w:vAlign w:val="center"/>
                </w:tcPr>
                <w:p w14:paraId="5682B298">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新建</w:t>
                  </w:r>
                </w:p>
              </w:tc>
            </w:tr>
            <w:tr w14:paraId="5969318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41" w:type="dxa"/>
                  <w:vMerge w:val="restart"/>
                  <w:tcBorders>
                    <w:left w:val="single" w:color="auto" w:sz="12" w:space="0"/>
                  </w:tcBorders>
                  <w:vAlign w:val="center"/>
                </w:tcPr>
                <w:p w14:paraId="77D1BCEC">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仓储设施</w:t>
                  </w:r>
                </w:p>
              </w:tc>
              <w:tc>
                <w:tcPr>
                  <w:tcW w:w="1240" w:type="dxa"/>
                  <w:vAlign w:val="center"/>
                </w:tcPr>
                <w:p w14:paraId="44499B8D">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成品料仓</w:t>
                  </w:r>
                </w:p>
              </w:tc>
              <w:tc>
                <w:tcPr>
                  <w:tcW w:w="3743" w:type="dxa"/>
                  <w:vAlign w:val="center"/>
                </w:tcPr>
                <w:p w14:paraId="56E146C4">
                  <w:pPr>
                    <w:pStyle w:val="167"/>
                    <w:snapToGrid w:val="0"/>
                    <w:spacing w:line="240" w:lineRule="auto"/>
                    <w:jc w:val="left"/>
                    <w:rPr>
                      <w:rFonts w:ascii="Times New Roman" w:hAnsi="Times New Roman" w:eastAsia="宋体" w:cs="Times New Roman"/>
                      <w:szCs w:val="21"/>
                    </w:rPr>
                  </w:pPr>
                  <w:r>
                    <w:rPr>
                      <w:rFonts w:hint="eastAsia" w:ascii="Times New Roman" w:hAnsi="Times New Roman" w:eastAsia="宋体" w:cs="Times New Roman"/>
                      <w:szCs w:val="21"/>
                      <w:lang w:eastAsia="zh-CN"/>
                    </w:rPr>
                    <w:t>混凝土</w:t>
                  </w:r>
                  <w:r>
                    <w:rPr>
                      <w:rFonts w:hint="eastAsia" w:ascii="Times New Roman" w:hAnsi="Times New Roman" w:eastAsia="宋体" w:cs="Times New Roman"/>
                      <w:szCs w:val="21"/>
                    </w:rPr>
                    <w:t>框架和钢体房顶及外墙结构，每个料仓规格为</w:t>
                  </w:r>
                  <w:r>
                    <w:rPr>
                      <w:rFonts w:ascii="Times New Roman" w:hAnsi="Times New Roman" w:eastAsia="宋体" w:cs="Times New Roman"/>
                      <w:szCs w:val="21"/>
                    </w:rPr>
                    <w:t>5×5×3，</w:t>
                  </w:r>
                  <w:r>
                    <w:rPr>
                      <w:rFonts w:hint="eastAsia" w:ascii="Times New Roman" w:hAnsi="Times New Roman" w:eastAsia="宋体" w:cs="Times New Roman"/>
                      <w:szCs w:val="21"/>
                    </w:rPr>
                    <w:t>1</w:t>
                  </w:r>
                  <w:r>
                    <w:rPr>
                      <w:rFonts w:ascii="Times New Roman" w:hAnsi="Times New Roman" w:eastAsia="宋体" w:cs="Times New Roman"/>
                      <w:szCs w:val="21"/>
                    </w:rPr>
                    <w:t>F</w:t>
                  </w:r>
                  <w:r>
                    <w:rPr>
                      <w:rFonts w:hint="eastAsia" w:ascii="Times New Roman" w:hAnsi="Times New Roman" w:eastAsia="宋体" w:cs="Times New Roman"/>
                      <w:szCs w:val="21"/>
                    </w:rPr>
                    <w:t>。用于堆放成品。</w:t>
                  </w:r>
                </w:p>
              </w:tc>
              <w:tc>
                <w:tcPr>
                  <w:tcW w:w="1057" w:type="dxa"/>
                  <w:vMerge w:val="continue"/>
                  <w:vAlign w:val="center"/>
                </w:tcPr>
                <w:p w14:paraId="1B649F2D">
                  <w:pPr>
                    <w:pStyle w:val="167"/>
                    <w:snapToGrid w:val="0"/>
                    <w:spacing w:line="240" w:lineRule="auto"/>
                    <w:rPr>
                      <w:rFonts w:ascii="Times New Roman" w:hAnsi="Times New Roman" w:eastAsia="宋体" w:cs="Times New Roman"/>
                      <w:szCs w:val="21"/>
                    </w:rPr>
                  </w:pPr>
                </w:p>
              </w:tc>
              <w:tc>
                <w:tcPr>
                  <w:tcW w:w="1295" w:type="dxa"/>
                  <w:vAlign w:val="center"/>
                </w:tcPr>
                <w:p w14:paraId="7E3B503E">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噪声、废气</w:t>
                  </w:r>
                </w:p>
              </w:tc>
              <w:tc>
                <w:tcPr>
                  <w:tcW w:w="690" w:type="dxa"/>
                  <w:tcBorders>
                    <w:right w:val="single" w:color="auto" w:sz="12" w:space="0"/>
                  </w:tcBorders>
                  <w:vAlign w:val="center"/>
                </w:tcPr>
                <w:p w14:paraId="448264FE">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依托</w:t>
                  </w:r>
                </w:p>
              </w:tc>
            </w:tr>
            <w:tr w14:paraId="1AF3BDC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41" w:type="dxa"/>
                  <w:vMerge w:val="continue"/>
                  <w:tcBorders>
                    <w:left w:val="single" w:color="auto" w:sz="12" w:space="0"/>
                  </w:tcBorders>
                  <w:vAlign w:val="center"/>
                </w:tcPr>
                <w:p w14:paraId="339DC5EF">
                  <w:pPr>
                    <w:pStyle w:val="167"/>
                    <w:snapToGrid w:val="0"/>
                    <w:spacing w:line="240" w:lineRule="auto"/>
                    <w:rPr>
                      <w:rFonts w:ascii="Times New Roman" w:hAnsi="Times New Roman" w:eastAsia="宋体" w:cs="Times New Roman"/>
                      <w:szCs w:val="21"/>
                    </w:rPr>
                  </w:pPr>
                </w:p>
              </w:tc>
              <w:tc>
                <w:tcPr>
                  <w:tcW w:w="1240" w:type="dxa"/>
                  <w:vAlign w:val="center"/>
                </w:tcPr>
                <w:p w14:paraId="46BF3D03">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原料料仓</w:t>
                  </w:r>
                </w:p>
              </w:tc>
              <w:tc>
                <w:tcPr>
                  <w:tcW w:w="3743" w:type="dxa"/>
                  <w:vAlign w:val="center"/>
                </w:tcPr>
                <w:p w14:paraId="3194781A">
                  <w:pPr>
                    <w:pStyle w:val="167"/>
                    <w:snapToGrid w:val="0"/>
                    <w:spacing w:line="240" w:lineRule="auto"/>
                    <w:jc w:val="left"/>
                    <w:rPr>
                      <w:rFonts w:ascii="Times New Roman" w:hAnsi="Times New Roman" w:eastAsia="宋体" w:cs="Times New Roman"/>
                      <w:szCs w:val="21"/>
                    </w:rPr>
                  </w:pPr>
                  <w:r>
                    <w:rPr>
                      <w:rFonts w:hint="eastAsia" w:ascii="Times New Roman" w:hAnsi="Times New Roman" w:eastAsia="宋体" w:cs="Times New Roman"/>
                      <w:szCs w:val="21"/>
                      <w:lang w:eastAsia="zh-CN"/>
                    </w:rPr>
                    <w:t>混凝土</w:t>
                  </w:r>
                  <w:r>
                    <w:rPr>
                      <w:rFonts w:hint="eastAsia" w:ascii="Times New Roman" w:hAnsi="Times New Roman" w:eastAsia="宋体" w:cs="Times New Roman"/>
                      <w:szCs w:val="21"/>
                    </w:rPr>
                    <w:t>框架和钢体房顶及外墙结构，每个料仓规格为</w:t>
                  </w:r>
                  <w:r>
                    <w:rPr>
                      <w:rFonts w:ascii="Times New Roman" w:hAnsi="Times New Roman" w:eastAsia="宋体" w:cs="Times New Roman"/>
                      <w:szCs w:val="21"/>
                    </w:rPr>
                    <w:t>5×5×3，</w:t>
                  </w:r>
                  <w:r>
                    <w:rPr>
                      <w:rFonts w:hint="eastAsia" w:ascii="Times New Roman" w:hAnsi="Times New Roman" w:eastAsia="宋体" w:cs="Times New Roman"/>
                      <w:szCs w:val="21"/>
                    </w:rPr>
                    <w:t>1</w:t>
                  </w:r>
                  <w:r>
                    <w:rPr>
                      <w:rFonts w:ascii="Times New Roman" w:hAnsi="Times New Roman" w:eastAsia="宋体" w:cs="Times New Roman"/>
                      <w:szCs w:val="21"/>
                    </w:rPr>
                    <w:t>F</w:t>
                  </w:r>
                  <w:r>
                    <w:rPr>
                      <w:rFonts w:hint="eastAsia" w:ascii="Times New Roman" w:hAnsi="Times New Roman" w:eastAsia="宋体" w:cs="Times New Roman"/>
                      <w:szCs w:val="21"/>
                    </w:rPr>
                    <w:t>。用于堆放建筑垃圾原料。</w:t>
                  </w:r>
                </w:p>
              </w:tc>
              <w:tc>
                <w:tcPr>
                  <w:tcW w:w="1057" w:type="dxa"/>
                  <w:vMerge w:val="continue"/>
                  <w:vAlign w:val="center"/>
                </w:tcPr>
                <w:p w14:paraId="27D05962">
                  <w:pPr>
                    <w:pStyle w:val="167"/>
                    <w:snapToGrid w:val="0"/>
                    <w:spacing w:line="240" w:lineRule="auto"/>
                    <w:rPr>
                      <w:rFonts w:ascii="Times New Roman" w:hAnsi="Times New Roman" w:eastAsia="宋体" w:cs="Times New Roman"/>
                      <w:szCs w:val="21"/>
                    </w:rPr>
                  </w:pPr>
                </w:p>
              </w:tc>
              <w:tc>
                <w:tcPr>
                  <w:tcW w:w="1295" w:type="dxa"/>
                  <w:vAlign w:val="center"/>
                </w:tcPr>
                <w:p w14:paraId="7F01D991">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噪声、废气</w:t>
                  </w:r>
                </w:p>
              </w:tc>
              <w:tc>
                <w:tcPr>
                  <w:tcW w:w="690" w:type="dxa"/>
                  <w:tcBorders>
                    <w:bottom w:val="single" w:color="auto" w:sz="4" w:space="0"/>
                    <w:right w:val="single" w:color="auto" w:sz="12" w:space="0"/>
                  </w:tcBorders>
                  <w:vAlign w:val="center"/>
                </w:tcPr>
                <w:p w14:paraId="05048F22">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依托</w:t>
                  </w:r>
                </w:p>
              </w:tc>
            </w:tr>
            <w:tr w14:paraId="22C6991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41" w:type="dxa"/>
                  <w:vMerge w:val="restart"/>
                  <w:tcBorders>
                    <w:left w:val="single" w:color="auto" w:sz="12" w:space="0"/>
                  </w:tcBorders>
                  <w:vAlign w:val="center"/>
                </w:tcPr>
                <w:p w14:paraId="13C45E80">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公用</w:t>
                  </w:r>
                </w:p>
                <w:p w14:paraId="6F6A1ADB">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工程</w:t>
                  </w:r>
                </w:p>
              </w:tc>
              <w:tc>
                <w:tcPr>
                  <w:tcW w:w="1240" w:type="dxa"/>
                  <w:vAlign w:val="center"/>
                </w:tcPr>
                <w:p w14:paraId="549532E7">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给排水</w:t>
                  </w:r>
                </w:p>
              </w:tc>
              <w:tc>
                <w:tcPr>
                  <w:tcW w:w="3743" w:type="dxa"/>
                  <w:vAlign w:val="center"/>
                </w:tcPr>
                <w:p w14:paraId="7ACE9EC2">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山泉水</w:t>
                  </w:r>
                </w:p>
              </w:tc>
              <w:tc>
                <w:tcPr>
                  <w:tcW w:w="1057" w:type="dxa"/>
                  <w:vMerge w:val="continue"/>
                  <w:vAlign w:val="center"/>
                </w:tcPr>
                <w:p w14:paraId="63AD6652">
                  <w:pPr>
                    <w:pStyle w:val="167"/>
                    <w:snapToGrid w:val="0"/>
                    <w:spacing w:line="240" w:lineRule="auto"/>
                    <w:rPr>
                      <w:rFonts w:ascii="Times New Roman" w:hAnsi="Times New Roman" w:eastAsia="宋体" w:cs="Times New Roman"/>
                      <w:szCs w:val="21"/>
                    </w:rPr>
                  </w:pPr>
                </w:p>
              </w:tc>
              <w:tc>
                <w:tcPr>
                  <w:tcW w:w="1295" w:type="dxa"/>
                  <w:vAlign w:val="center"/>
                </w:tcPr>
                <w:p w14:paraId="0E3B3CB9">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w:t>
                  </w:r>
                </w:p>
              </w:tc>
              <w:tc>
                <w:tcPr>
                  <w:tcW w:w="690" w:type="dxa"/>
                  <w:vMerge w:val="restart"/>
                  <w:tcBorders>
                    <w:top w:val="single" w:color="auto" w:sz="4" w:space="0"/>
                    <w:right w:val="single" w:color="auto" w:sz="12" w:space="0"/>
                  </w:tcBorders>
                  <w:vAlign w:val="center"/>
                </w:tcPr>
                <w:p w14:paraId="11952C06">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利旧改造</w:t>
                  </w:r>
                </w:p>
              </w:tc>
            </w:tr>
            <w:tr w14:paraId="79DC7BB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41" w:type="dxa"/>
                  <w:vMerge w:val="continue"/>
                  <w:tcBorders>
                    <w:left w:val="single" w:color="auto" w:sz="12" w:space="0"/>
                  </w:tcBorders>
                  <w:vAlign w:val="center"/>
                </w:tcPr>
                <w:p w14:paraId="37EC59C1">
                  <w:pPr>
                    <w:pStyle w:val="167"/>
                    <w:snapToGrid w:val="0"/>
                    <w:spacing w:line="240" w:lineRule="auto"/>
                    <w:rPr>
                      <w:rFonts w:ascii="Times New Roman" w:hAnsi="Times New Roman" w:eastAsia="宋体" w:cs="Times New Roman"/>
                      <w:szCs w:val="21"/>
                    </w:rPr>
                  </w:pPr>
                </w:p>
              </w:tc>
              <w:tc>
                <w:tcPr>
                  <w:tcW w:w="1240" w:type="dxa"/>
                  <w:vAlign w:val="center"/>
                </w:tcPr>
                <w:p w14:paraId="013C1CC1">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供电</w:t>
                  </w:r>
                </w:p>
              </w:tc>
              <w:tc>
                <w:tcPr>
                  <w:tcW w:w="3743" w:type="dxa"/>
                  <w:vAlign w:val="center"/>
                </w:tcPr>
                <w:p w14:paraId="7A27D135">
                  <w:pPr>
                    <w:pStyle w:val="167"/>
                    <w:snapToGrid w:val="0"/>
                    <w:rPr>
                      <w:rFonts w:ascii="Times New Roman" w:hAnsi="Times New Roman" w:eastAsia="宋体" w:cs="Times New Roman"/>
                      <w:szCs w:val="21"/>
                    </w:rPr>
                  </w:pPr>
                  <w:r>
                    <w:rPr>
                      <w:rFonts w:ascii="Times New Roman" w:hAnsi="Times New Roman" w:eastAsia="宋体" w:cs="Times New Roman"/>
                      <w:szCs w:val="21"/>
                    </w:rPr>
                    <w:t>市政电网供应</w:t>
                  </w:r>
                </w:p>
              </w:tc>
              <w:tc>
                <w:tcPr>
                  <w:tcW w:w="1057" w:type="dxa"/>
                  <w:vMerge w:val="continue"/>
                  <w:vAlign w:val="center"/>
                </w:tcPr>
                <w:p w14:paraId="6491C7D4">
                  <w:pPr>
                    <w:pStyle w:val="167"/>
                    <w:snapToGrid w:val="0"/>
                    <w:spacing w:line="240" w:lineRule="auto"/>
                    <w:rPr>
                      <w:rFonts w:ascii="Times New Roman" w:hAnsi="Times New Roman" w:eastAsia="宋体" w:cs="Times New Roman"/>
                      <w:szCs w:val="21"/>
                    </w:rPr>
                  </w:pPr>
                </w:p>
              </w:tc>
              <w:tc>
                <w:tcPr>
                  <w:tcW w:w="1295" w:type="dxa"/>
                  <w:vAlign w:val="center"/>
                </w:tcPr>
                <w:p w14:paraId="47ABF2D9">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w:t>
                  </w:r>
                </w:p>
              </w:tc>
              <w:tc>
                <w:tcPr>
                  <w:tcW w:w="690" w:type="dxa"/>
                  <w:vMerge w:val="continue"/>
                  <w:tcBorders>
                    <w:top w:val="single" w:color="auto" w:sz="4" w:space="0"/>
                    <w:right w:val="single" w:color="auto" w:sz="12" w:space="0"/>
                  </w:tcBorders>
                  <w:vAlign w:val="center"/>
                </w:tcPr>
                <w:p w14:paraId="2A9038B7">
                  <w:pPr>
                    <w:pStyle w:val="167"/>
                    <w:snapToGrid w:val="0"/>
                    <w:spacing w:line="240" w:lineRule="auto"/>
                    <w:rPr>
                      <w:rFonts w:ascii="Times New Roman" w:hAnsi="Times New Roman" w:eastAsia="宋体" w:cs="Times New Roman"/>
                      <w:szCs w:val="21"/>
                    </w:rPr>
                  </w:pPr>
                </w:p>
              </w:tc>
            </w:tr>
            <w:tr w14:paraId="30E0CF8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4" w:hRule="atLeast"/>
                <w:jc w:val="center"/>
              </w:trPr>
              <w:tc>
                <w:tcPr>
                  <w:tcW w:w="841" w:type="dxa"/>
                  <w:vMerge w:val="continue"/>
                  <w:tcBorders>
                    <w:left w:val="single" w:color="auto" w:sz="12" w:space="0"/>
                  </w:tcBorders>
                  <w:vAlign w:val="center"/>
                </w:tcPr>
                <w:p w14:paraId="1A827D36">
                  <w:pPr>
                    <w:pStyle w:val="167"/>
                    <w:snapToGrid w:val="0"/>
                    <w:spacing w:line="240" w:lineRule="auto"/>
                    <w:rPr>
                      <w:rFonts w:ascii="Times New Roman" w:hAnsi="Times New Roman" w:eastAsia="宋体" w:cs="Times New Roman"/>
                      <w:szCs w:val="21"/>
                    </w:rPr>
                  </w:pPr>
                </w:p>
              </w:tc>
              <w:tc>
                <w:tcPr>
                  <w:tcW w:w="1240" w:type="dxa"/>
                  <w:vAlign w:val="center"/>
                </w:tcPr>
                <w:p w14:paraId="1B0A4BC6">
                  <w:pPr>
                    <w:pStyle w:val="167"/>
                    <w:snapToGrid w:val="0"/>
                    <w:spacing w:line="240" w:lineRule="auto"/>
                    <w:rPr>
                      <w:rFonts w:ascii="Times New Roman" w:hAnsi="Times New Roman" w:eastAsia="宋体" w:cs="Times New Roman"/>
                    </w:rPr>
                  </w:pPr>
                  <w:r>
                    <w:rPr>
                      <w:rFonts w:ascii="Times New Roman" w:hAnsi="Times New Roman" w:eastAsia="宋体" w:cs="Times New Roman"/>
                      <w:szCs w:val="21"/>
                    </w:rPr>
                    <w:t>消防系统</w:t>
                  </w:r>
                </w:p>
              </w:tc>
              <w:tc>
                <w:tcPr>
                  <w:tcW w:w="3743" w:type="dxa"/>
                  <w:vAlign w:val="center"/>
                </w:tcPr>
                <w:p w14:paraId="7509A585">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车间配备灭火器</w:t>
                  </w:r>
                  <w:r>
                    <w:rPr>
                      <w:rFonts w:hint="eastAsia" w:ascii="Times New Roman" w:hAnsi="Times New Roman" w:eastAsia="宋体" w:cs="Times New Roman"/>
                      <w:szCs w:val="21"/>
                    </w:rPr>
                    <w:t>等消防设施</w:t>
                  </w:r>
                  <w:r>
                    <w:rPr>
                      <w:rFonts w:ascii="Times New Roman" w:hAnsi="Times New Roman" w:eastAsia="宋体" w:cs="Times New Roman"/>
                      <w:szCs w:val="21"/>
                    </w:rPr>
                    <w:t>。</w:t>
                  </w:r>
                </w:p>
              </w:tc>
              <w:tc>
                <w:tcPr>
                  <w:tcW w:w="1057" w:type="dxa"/>
                  <w:vMerge w:val="continue"/>
                  <w:vAlign w:val="center"/>
                </w:tcPr>
                <w:p w14:paraId="0E1FE12C">
                  <w:pPr>
                    <w:pStyle w:val="167"/>
                    <w:snapToGrid w:val="0"/>
                    <w:spacing w:line="240" w:lineRule="auto"/>
                    <w:rPr>
                      <w:rFonts w:ascii="Times New Roman" w:hAnsi="Times New Roman" w:eastAsia="宋体" w:cs="Times New Roman"/>
                      <w:szCs w:val="21"/>
                    </w:rPr>
                  </w:pPr>
                </w:p>
              </w:tc>
              <w:tc>
                <w:tcPr>
                  <w:tcW w:w="1295" w:type="dxa"/>
                  <w:vAlign w:val="center"/>
                </w:tcPr>
                <w:p w14:paraId="780E0037">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w:t>
                  </w:r>
                </w:p>
              </w:tc>
              <w:tc>
                <w:tcPr>
                  <w:tcW w:w="690" w:type="dxa"/>
                  <w:tcBorders>
                    <w:right w:val="single" w:color="auto" w:sz="12" w:space="0"/>
                  </w:tcBorders>
                  <w:vAlign w:val="center"/>
                </w:tcPr>
                <w:p w14:paraId="4C2B36C4">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新建</w:t>
                  </w:r>
                </w:p>
              </w:tc>
            </w:tr>
            <w:tr w14:paraId="236513E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41" w:type="dxa"/>
                  <w:vMerge w:val="restart"/>
                  <w:tcBorders>
                    <w:left w:val="single" w:color="auto" w:sz="12" w:space="0"/>
                  </w:tcBorders>
                  <w:vAlign w:val="center"/>
                </w:tcPr>
                <w:p w14:paraId="3B871F9A">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办公生活设施</w:t>
                  </w:r>
                </w:p>
              </w:tc>
              <w:tc>
                <w:tcPr>
                  <w:tcW w:w="1240" w:type="dxa"/>
                  <w:vAlign w:val="center"/>
                </w:tcPr>
                <w:p w14:paraId="49D42672">
                  <w:pPr>
                    <w:pStyle w:val="167"/>
                    <w:snapToGrid w:val="0"/>
                    <w:spacing w:line="240" w:lineRule="auto"/>
                    <w:rPr>
                      <w:rFonts w:ascii="Times New Roman" w:hAnsi="Times New Roman" w:eastAsia="宋体" w:cs="Times New Roman"/>
                    </w:rPr>
                  </w:pPr>
                  <w:r>
                    <w:rPr>
                      <w:rFonts w:hint="eastAsia" w:ascii="Times New Roman" w:hAnsi="Times New Roman" w:eastAsia="宋体" w:cs="Times New Roman"/>
                    </w:rPr>
                    <w:t>办公生活区</w:t>
                  </w:r>
                </w:p>
              </w:tc>
              <w:tc>
                <w:tcPr>
                  <w:tcW w:w="3743" w:type="dxa"/>
                  <w:vAlign w:val="center"/>
                </w:tcPr>
                <w:p w14:paraId="6AD3B289">
                  <w:pPr>
                    <w:pStyle w:val="167"/>
                    <w:snapToGrid w:val="0"/>
                    <w:spacing w:line="240" w:lineRule="auto"/>
                    <w:jc w:val="left"/>
                    <w:rPr>
                      <w:rFonts w:ascii="Times New Roman" w:hAnsi="Times New Roman" w:eastAsia="宋体" w:cs="Times New Roman"/>
                      <w:szCs w:val="21"/>
                    </w:rPr>
                  </w:pPr>
                  <w:r>
                    <w:rPr>
                      <w:rFonts w:ascii="Times New Roman" w:hAnsi="Times New Roman" w:eastAsia="宋体" w:cs="Times New Roman"/>
                      <w:szCs w:val="21"/>
                    </w:rPr>
                    <w:t>位于厂区</w:t>
                  </w:r>
                  <w:r>
                    <w:rPr>
                      <w:rFonts w:hint="eastAsia" w:ascii="Times New Roman" w:hAnsi="Times New Roman" w:eastAsia="宋体" w:cs="Times New Roman"/>
                      <w:szCs w:val="21"/>
                    </w:rPr>
                    <w:t>西北侧</w:t>
                  </w:r>
                  <w:r>
                    <w:rPr>
                      <w:rFonts w:ascii="Times New Roman" w:hAnsi="Times New Roman" w:eastAsia="宋体" w:cs="Times New Roman"/>
                      <w:szCs w:val="21"/>
                    </w:rPr>
                    <w:t>，</w:t>
                  </w:r>
                  <w:r>
                    <w:rPr>
                      <w:rFonts w:hint="eastAsia" w:ascii="Times New Roman" w:hAnsi="Times New Roman" w:eastAsia="宋体" w:cs="Times New Roman"/>
                      <w:szCs w:val="21"/>
                    </w:rPr>
                    <w:t>厂区出口旁，彩钢棚</w:t>
                  </w:r>
                  <w:r>
                    <w:rPr>
                      <w:rFonts w:ascii="Times New Roman" w:hAnsi="Times New Roman" w:eastAsia="宋体" w:cs="Times New Roman"/>
                      <w:szCs w:val="21"/>
                    </w:rPr>
                    <w:t>结构，2F</w:t>
                  </w:r>
                  <w:r>
                    <w:rPr>
                      <w:rFonts w:hint="eastAsia" w:ascii="Times New Roman" w:hAnsi="Times New Roman" w:eastAsia="宋体" w:cs="Times New Roman"/>
                      <w:szCs w:val="21"/>
                    </w:rPr>
                    <w:t>，</w:t>
                  </w:r>
                  <w:r>
                    <w:rPr>
                      <w:rFonts w:ascii="Times New Roman" w:hAnsi="Times New Roman" w:eastAsia="宋体" w:cs="Times New Roman"/>
                      <w:szCs w:val="21"/>
                    </w:rPr>
                    <w:t>占地面积约260m</w:t>
                  </w:r>
                  <w:r>
                    <w:rPr>
                      <w:rFonts w:ascii="Times New Roman" w:hAnsi="Times New Roman" w:eastAsia="宋体" w:cs="Times New Roman"/>
                      <w:szCs w:val="21"/>
                      <w:vertAlign w:val="superscript"/>
                    </w:rPr>
                    <w:t>2</w:t>
                  </w:r>
                  <w:r>
                    <w:rPr>
                      <w:rFonts w:ascii="Times New Roman" w:hAnsi="Times New Roman" w:eastAsia="宋体" w:cs="Times New Roman"/>
                      <w:szCs w:val="21"/>
                    </w:rPr>
                    <w:t>。</w:t>
                  </w:r>
                  <w:r>
                    <w:rPr>
                      <w:rFonts w:hint="eastAsia" w:ascii="Times New Roman" w:hAnsi="Times New Roman" w:eastAsia="宋体" w:cs="Times New Roman"/>
                      <w:szCs w:val="21"/>
                    </w:rPr>
                    <w:t>用于员工的办公休息。</w:t>
                  </w:r>
                </w:p>
              </w:tc>
              <w:tc>
                <w:tcPr>
                  <w:tcW w:w="1057" w:type="dxa"/>
                  <w:vMerge w:val="continue"/>
                  <w:vAlign w:val="center"/>
                </w:tcPr>
                <w:p w14:paraId="56752AC7">
                  <w:pPr>
                    <w:pStyle w:val="167"/>
                    <w:snapToGrid w:val="0"/>
                    <w:spacing w:line="240" w:lineRule="auto"/>
                    <w:rPr>
                      <w:rFonts w:ascii="Times New Roman" w:hAnsi="Times New Roman" w:eastAsia="宋体" w:cs="Times New Roman"/>
                      <w:szCs w:val="21"/>
                    </w:rPr>
                  </w:pPr>
                </w:p>
              </w:tc>
              <w:tc>
                <w:tcPr>
                  <w:tcW w:w="1295" w:type="dxa"/>
                  <w:vAlign w:val="center"/>
                </w:tcPr>
                <w:p w14:paraId="67F6FB9E">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生活垃圾、生活废水</w:t>
                  </w:r>
                </w:p>
              </w:tc>
              <w:tc>
                <w:tcPr>
                  <w:tcW w:w="690" w:type="dxa"/>
                  <w:tcBorders>
                    <w:right w:val="single" w:color="auto" w:sz="12" w:space="0"/>
                  </w:tcBorders>
                  <w:vAlign w:val="center"/>
                </w:tcPr>
                <w:p w14:paraId="091FC8C0">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依托利旧</w:t>
                  </w:r>
                </w:p>
              </w:tc>
            </w:tr>
            <w:tr w14:paraId="3337683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41" w:type="dxa"/>
                  <w:vMerge w:val="continue"/>
                  <w:tcBorders>
                    <w:left w:val="single" w:color="auto" w:sz="12" w:space="0"/>
                  </w:tcBorders>
                  <w:vAlign w:val="center"/>
                </w:tcPr>
                <w:p w14:paraId="77B8D6C2">
                  <w:pPr>
                    <w:pStyle w:val="167"/>
                    <w:snapToGrid w:val="0"/>
                    <w:spacing w:line="240" w:lineRule="auto"/>
                    <w:rPr>
                      <w:rFonts w:ascii="Times New Roman" w:hAnsi="Times New Roman" w:eastAsia="宋体" w:cs="Times New Roman"/>
                      <w:szCs w:val="21"/>
                    </w:rPr>
                  </w:pPr>
                </w:p>
              </w:tc>
              <w:tc>
                <w:tcPr>
                  <w:tcW w:w="1240" w:type="dxa"/>
                  <w:vAlign w:val="center"/>
                </w:tcPr>
                <w:p w14:paraId="0913D4E1">
                  <w:pPr>
                    <w:pStyle w:val="167"/>
                    <w:snapToGrid w:val="0"/>
                    <w:spacing w:line="240" w:lineRule="auto"/>
                    <w:rPr>
                      <w:rFonts w:ascii="Times New Roman" w:hAnsi="Times New Roman" w:eastAsia="宋体" w:cs="Times New Roman"/>
                    </w:rPr>
                  </w:pPr>
                  <w:r>
                    <w:rPr>
                      <w:rFonts w:hint="eastAsia" w:ascii="Times New Roman" w:hAnsi="Times New Roman" w:eastAsia="宋体" w:cs="Times New Roman"/>
                    </w:rPr>
                    <w:t>厕所</w:t>
                  </w:r>
                </w:p>
              </w:tc>
              <w:tc>
                <w:tcPr>
                  <w:tcW w:w="3743" w:type="dxa"/>
                  <w:vAlign w:val="center"/>
                </w:tcPr>
                <w:p w14:paraId="58DA6DB7">
                  <w:pPr>
                    <w:pStyle w:val="167"/>
                    <w:snapToGrid w:val="0"/>
                    <w:spacing w:line="240" w:lineRule="auto"/>
                    <w:jc w:val="left"/>
                    <w:rPr>
                      <w:rFonts w:ascii="Times New Roman" w:hAnsi="Times New Roman" w:eastAsia="宋体" w:cs="Times New Roman"/>
                      <w:szCs w:val="21"/>
                    </w:rPr>
                  </w:pPr>
                  <w:r>
                    <w:rPr>
                      <w:rFonts w:ascii="Times New Roman" w:hAnsi="Times New Roman" w:eastAsia="宋体" w:cs="Times New Roman"/>
                      <w:szCs w:val="21"/>
                    </w:rPr>
                    <w:t>位于厂区</w:t>
                  </w:r>
                  <w:r>
                    <w:rPr>
                      <w:rFonts w:hint="eastAsia" w:ascii="Times New Roman" w:hAnsi="Times New Roman" w:eastAsia="宋体" w:cs="Times New Roman"/>
                      <w:szCs w:val="21"/>
                    </w:rPr>
                    <w:t>西北侧</w:t>
                  </w:r>
                  <w:r>
                    <w:rPr>
                      <w:rFonts w:ascii="Times New Roman" w:hAnsi="Times New Roman" w:eastAsia="宋体" w:cs="Times New Roman"/>
                      <w:szCs w:val="21"/>
                    </w:rPr>
                    <w:t>，</w:t>
                  </w:r>
                  <w:r>
                    <w:rPr>
                      <w:rFonts w:hint="eastAsia" w:ascii="Times New Roman" w:hAnsi="Times New Roman" w:eastAsia="宋体" w:cs="Times New Roman"/>
                      <w:szCs w:val="21"/>
                    </w:rPr>
                    <w:t>厂区出口旁，彩钢棚</w:t>
                  </w:r>
                  <w:r>
                    <w:rPr>
                      <w:rFonts w:ascii="Times New Roman" w:hAnsi="Times New Roman" w:eastAsia="宋体" w:cs="Times New Roman"/>
                      <w:szCs w:val="21"/>
                    </w:rPr>
                    <w:t>结构，</w:t>
                  </w:r>
                  <w:r>
                    <w:rPr>
                      <w:rFonts w:hint="eastAsia" w:ascii="Times New Roman" w:hAnsi="Times New Roman" w:eastAsia="宋体" w:cs="Times New Roman"/>
                      <w:szCs w:val="21"/>
                    </w:rPr>
                    <w:t>用于厂区员工使用。</w:t>
                  </w:r>
                </w:p>
              </w:tc>
              <w:tc>
                <w:tcPr>
                  <w:tcW w:w="1057" w:type="dxa"/>
                  <w:vMerge w:val="continue"/>
                  <w:vAlign w:val="center"/>
                </w:tcPr>
                <w:p w14:paraId="4EAFE53D">
                  <w:pPr>
                    <w:pStyle w:val="167"/>
                    <w:snapToGrid w:val="0"/>
                    <w:spacing w:line="240" w:lineRule="auto"/>
                    <w:rPr>
                      <w:rFonts w:ascii="Times New Roman" w:hAnsi="Times New Roman" w:eastAsia="宋体" w:cs="Times New Roman"/>
                      <w:szCs w:val="21"/>
                    </w:rPr>
                  </w:pPr>
                </w:p>
              </w:tc>
              <w:tc>
                <w:tcPr>
                  <w:tcW w:w="1295" w:type="dxa"/>
                  <w:vAlign w:val="center"/>
                </w:tcPr>
                <w:p w14:paraId="4CFA343E">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生活垃圾、生活废水</w:t>
                  </w:r>
                </w:p>
              </w:tc>
              <w:tc>
                <w:tcPr>
                  <w:tcW w:w="690" w:type="dxa"/>
                  <w:tcBorders>
                    <w:right w:val="single" w:color="auto" w:sz="12" w:space="0"/>
                  </w:tcBorders>
                  <w:vAlign w:val="center"/>
                </w:tcPr>
                <w:p w14:paraId="35B31B9F">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依托利旧</w:t>
                  </w:r>
                </w:p>
              </w:tc>
            </w:tr>
            <w:tr w14:paraId="524E2B3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086" w:hRule="atLeast"/>
                <w:jc w:val="center"/>
              </w:trPr>
              <w:tc>
                <w:tcPr>
                  <w:tcW w:w="841" w:type="dxa"/>
                  <w:vMerge w:val="restart"/>
                  <w:tcBorders>
                    <w:left w:val="single" w:color="auto" w:sz="12" w:space="0"/>
                  </w:tcBorders>
                  <w:vAlign w:val="center"/>
                </w:tcPr>
                <w:p w14:paraId="6FA614CB">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环保</w:t>
                  </w:r>
                </w:p>
                <w:p w14:paraId="51789187">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工程</w:t>
                  </w:r>
                </w:p>
              </w:tc>
              <w:tc>
                <w:tcPr>
                  <w:tcW w:w="1240" w:type="dxa"/>
                  <w:vAlign w:val="center"/>
                </w:tcPr>
                <w:p w14:paraId="1973C388">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废水</w:t>
                  </w:r>
                </w:p>
              </w:tc>
              <w:tc>
                <w:tcPr>
                  <w:tcW w:w="3743" w:type="dxa"/>
                  <w:vAlign w:val="center"/>
                </w:tcPr>
                <w:p w14:paraId="092109EF">
                  <w:pPr>
                    <w:pStyle w:val="167"/>
                    <w:snapToGrid w:val="0"/>
                    <w:spacing w:line="240" w:lineRule="auto"/>
                    <w:jc w:val="both"/>
                    <w:rPr>
                      <w:rFonts w:ascii="Times New Roman" w:hAnsi="Times New Roman" w:eastAsia="宋体" w:cs="Times New Roman"/>
                      <w:szCs w:val="21"/>
                    </w:rPr>
                  </w:pPr>
                  <w:r>
                    <w:rPr>
                      <w:rFonts w:hint="eastAsia" w:ascii="Times New Roman" w:hAnsi="Times New Roman" w:eastAsia="宋体" w:cs="Times New Roman"/>
                      <w:szCs w:val="21"/>
                    </w:rPr>
                    <w:t>新建废水三级沉淀池一座，车间废水通过管道进入沉淀池处理后循环使用，不外排；项目生活污水经二级生化池处理后回用农肥处理。</w:t>
                  </w:r>
                </w:p>
              </w:tc>
              <w:tc>
                <w:tcPr>
                  <w:tcW w:w="1057" w:type="dxa"/>
                  <w:vMerge w:val="continue"/>
                  <w:vAlign w:val="center"/>
                </w:tcPr>
                <w:p w14:paraId="5386BAEA">
                  <w:pPr>
                    <w:pStyle w:val="167"/>
                    <w:snapToGrid w:val="0"/>
                    <w:spacing w:line="240" w:lineRule="auto"/>
                    <w:rPr>
                      <w:rFonts w:ascii="Times New Roman" w:hAnsi="Times New Roman" w:eastAsia="宋体" w:cs="Times New Roman"/>
                      <w:szCs w:val="21"/>
                    </w:rPr>
                  </w:pPr>
                </w:p>
              </w:tc>
              <w:tc>
                <w:tcPr>
                  <w:tcW w:w="1295" w:type="dxa"/>
                  <w:vAlign w:val="center"/>
                </w:tcPr>
                <w:p w14:paraId="72BD7979">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废水、污泥、恶臭</w:t>
                  </w:r>
                </w:p>
              </w:tc>
              <w:tc>
                <w:tcPr>
                  <w:tcW w:w="690" w:type="dxa"/>
                  <w:tcBorders>
                    <w:right w:val="single" w:color="auto" w:sz="12" w:space="0"/>
                  </w:tcBorders>
                  <w:vAlign w:val="center"/>
                </w:tcPr>
                <w:p w14:paraId="69EA0852">
                  <w:pPr>
                    <w:pStyle w:val="167"/>
                    <w:snapToGrid w:val="0"/>
                    <w:spacing w:line="240" w:lineRule="auto"/>
                    <w:rPr>
                      <w:rFonts w:ascii="Times New Roman" w:hAnsi="Times New Roman" w:eastAsia="宋体" w:cs="Times New Roman"/>
                      <w:szCs w:val="21"/>
                    </w:rPr>
                  </w:pPr>
                  <w:r>
                    <w:rPr>
                      <w:rFonts w:hint="eastAsia" w:ascii="Times New Roman" w:hAnsi="Times New Roman" w:eastAsia="宋体" w:cs="Times New Roman"/>
                      <w:szCs w:val="21"/>
                    </w:rPr>
                    <w:t>新建</w:t>
                  </w:r>
                </w:p>
              </w:tc>
            </w:tr>
            <w:tr w14:paraId="738B5F0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41" w:type="dxa"/>
                  <w:vMerge w:val="continue"/>
                  <w:tcBorders>
                    <w:left w:val="single" w:color="auto" w:sz="12" w:space="0"/>
                  </w:tcBorders>
                  <w:vAlign w:val="center"/>
                </w:tcPr>
                <w:p w14:paraId="1BDDFA96">
                  <w:pPr>
                    <w:pStyle w:val="167"/>
                    <w:snapToGrid w:val="0"/>
                    <w:spacing w:line="240" w:lineRule="auto"/>
                    <w:rPr>
                      <w:rFonts w:ascii="Times New Roman" w:hAnsi="Times New Roman" w:eastAsia="宋体" w:cs="Times New Roman"/>
                      <w:szCs w:val="21"/>
                    </w:rPr>
                  </w:pPr>
                </w:p>
              </w:tc>
              <w:tc>
                <w:tcPr>
                  <w:tcW w:w="1240" w:type="dxa"/>
                  <w:vAlign w:val="center"/>
                </w:tcPr>
                <w:p w14:paraId="2DE31925">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废气</w:t>
                  </w:r>
                </w:p>
              </w:tc>
              <w:tc>
                <w:tcPr>
                  <w:tcW w:w="3743" w:type="dxa"/>
                  <w:vAlign w:val="center"/>
                </w:tcPr>
                <w:p w14:paraId="7C48734F">
                  <w:pPr>
                    <w:widowControl/>
                    <w:rPr>
                      <w:rFonts w:ascii="Times New Roman" w:hAnsi="Times New Roman" w:eastAsia="宋体" w:cs="Times New Roman"/>
                      <w:kern w:val="0"/>
                      <w:szCs w:val="21"/>
                    </w:rPr>
                  </w:pPr>
                  <w:r>
                    <w:rPr>
                      <w:rFonts w:hint="eastAsia" w:ascii="Times New Roman" w:hAnsi="Times New Roman" w:eastAsia="宋体" w:cs="Times New Roman"/>
                      <w:kern w:val="0"/>
                      <w:szCs w:val="21"/>
                    </w:rPr>
                    <w:t>料场设置三围一挡、堆料全覆盖；装卸物料围挡、喷淋降尘；进料口围挡、设喷淋装置；</w:t>
                  </w:r>
                  <w:r>
                    <w:rPr>
                      <w:rFonts w:ascii="Times New Roman" w:hAnsi="Times New Roman" w:eastAsia="宋体" w:cs="Times New Roman"/>
                      <w:kern w:val="0"/>
                      <w:szCs w:val="21"/>
                    </w:rPr>
                    <w:t>生产湿法作业</w:t>
                  </w:r>
                  <w:r>
                    <w:rPr>
                      <w:rFonts w:hint="eastAsia" w:ascii="Times New Roman" w:hAnsi="Times New Roman" w:eastAsia="宋体" w:cs="Times New Roman"/>
                      <w:kern w:val="0"/>
                      <w:szCs w:val="21"/>
                    </w:rPr>
                    <w:t>；</w:t>
                  </w:r>
                  <w:r>
                    <w:rPr>
                      <w:rFonts w:ascii="Times New Roman" w:hAnsi="Times New Roman" w:eastAsia="宋体" w:cs="Times New Roman"/>
                      <w:kern w:val="0"/>
                      <w:szCs w:val="21"/>
                    </w:rPr>
                    <w:t>设置雾炮机降低粉尘</w:t>
                  </w:r>
                  <w:r>
                    <w:rPr>
                      <w:rFonts w:hint="eastAsia" w:ascii="Times New Roman" w:hAnsi="Times New Roman" w:eastAsia="宋体" w:cs="Times New Roman"/>
                      <w:kern w:val="0"/>
                      <w:szCs w:val="21"/>
                    </w:rPr>
                    <w:t>；车间密闭；主要道路硬化</w:t>
                  </w:r>
                </w:p>
              </w:tc>
              <w:tc>
                <w:tcPr>
                  <w:tcW w:w="1057" w:type="dxa"/>
                  <w:vMerge w:val="continue"/>
                  <w:vAlign w:val="center"/>
                </w:tcPr>
                <w:p w14:paraId="027C99DC">
                  <w:pPr>
                    <w:pStyle w:val="167"/>
                    <w:snapToGrid w:val="0"/>
                    <w:spacing w:line="240" w:lineRule="auto"/>
                    <w:rPr>
                      <w:rFonts w:ascii="Times New Roman" w:hAnsi="Times New Roman" w:eastAsia="宋体" w:cs="Times New Roman"/>
                      <w:szCs w:val="21"/>
                    </w:rPr>
                  </w:pPr>
                </w:p>
              </w:tc>
              <w:tc>
                <w:tcPr>
                  <w:tcW w:w="1295" w:type="dxa"/>
                  <w:vAlign w:val="center"/>
                </w:tcPr>
                <w:p w14:paraId="01273FA7">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废气</w:t>
                  </w:r>
                </w:p>
              </w:tc>
              <w:tc>
                <w:tcPr>
                  <w:tcW w:w="690" w:type="dxa"/>
                  <w:tcBorders>
                    <w:right w:val="single" w:color="auto" w:sz="12" w:space="0"/>
                  </w:tcBorders>
                  <w:vAlign w:val="center"/>
                </w:tcPr>
                <w:p w14:paraId="59C19C05">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新建</w:t>
                  </w:r>
                </w:p>
              </w:tc>
            </w:tr>
            <w:tr w14:paraId="000608D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41" w:type="dxa"/>
                  <w:vMerge w:val="continue"/>
                  <w:tcBorders>
                    <w:left w:val="single" w:color="auto" w:sz="12" w:space="0"/>
                  </w:tcBorders>
                  <w:vAlign w:val="center"/>
                </w:tcPr>
                <w:p w14:paraId="44CA4A64">
                  <w:pPr>
                    <w:pStyle w:val="167"/>
                    <w:snapToGrid w:val="0"/>
                    <w:spacing w:line="240" w:lineRule="auto"/>
                    <w:rPr>
                      <w:rFonts w:ascii="Times New Roman" w:hAnsi="Times New Roman" w:eastAsia="宋体" w:cs="Times New Roman"/>
                      <w:szCs w:val="21"/>
                    </w:rPr>
                  </w:pPr>
                </w:p>
              </w:tc>
              <w:tc>
                <w:tcPr>
                  <w:tcW w:w="1240" w:type="dxa"/>
                  <w:vAlign w:val="center"/>
                </w:tcPr>
                <w:p w14:paraId="1F94C20F">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固废</w:t>
                  </w:r>
                </w:p>
              </w:tc>
              <w:tc>
                <w:tcPr>
                  <w:tcW w:w="3743" w:type="dxa"/>
                  <w:vAlign w:val="center"/>
                </w:tcPr>
                <w:p w14:paraId="28E58A39">
                  <w:pPr>
                    <w:widowControl/>
                    <w:rPr>
                      <w:rFonts w:ascii="Times New Roman" w:hAnsi="Times New Roman" w:eastAsia="宋体" w:cs="Times New Roman"/>
                      <w:kern w:val="0"/>
                      <w:szCs w:val="21"/>
                    </w:rPr>
                  </w:pPr>
                  <w:r>
                    <w:rPr>
                      <w:rFonts w:hint="eastAsia" w:ascii="宋体" w:hAnsi="宋体" w:eastAsia="宋体" w:cs="宋体"/>
                      <w:kern w:val="0"/>
                      <w:szCs w:val="21"/>
                    </w:rPr>
                    <w:t>①</w:t>
                  </w:r>
                  <w:r>
                    <w:rPr>
                      <w:rFonts w:ascii="Times New Roman" w:hAnsi="Times New Roman" w:eastAsia="宋体" w:cs="Times New Roman"/>
                      <w:kern w:val="0"/>
                      <w:szCs w:val="21"/>
                    </w:rPr>
                    <w:t>一般工业固废：</w:t>
                  </w:r>
                  <w:r>
                    <w:rPr>
                      <w:rFonts w:hint="eastAsia" w:ascii="Times New Roman" w:hAnsi="Times New Roman" w:eastAsia="宋体" w:cs="Times New Roman"/>
                      <w:kern w:val="0"/>
                      <w:szCs w:val="21"/>
                    </w:rPr>
                    <w:t>铁质杂质、</w:t>
                  </w:r>
                  <w:r>
                    <w:rPr>
                      <w:rFonts w:hint="eastAsia" w:ascii="Times New Roman" w:hAnsi="Times New Roman" w:eastAsia="宋体" w:cs="Times New Roman"/>
                      <w:kern w:val="0"/>
                      <w:szCs w:val="21"/>
                      <w:lang w:eastAsia="zh-CN"/>
                    </w:rPr>
                    <w:t>粉类</w:t>
                  </w:r>
                  <w:r>
                    <w:rPr>
                      <w:rFonts w:hint="eastAsia" w:ascii="Times New Roman" w:hAnsi="Times New Roman" w:eastAsia="宋体" w:cs="Times New Roman"/>
                      <w:kern w:val="0"/>
                      <w:szCs w:val="21"/>
                    </w:rPr>
                    <w:t>废料，作为副产品外售；淤泥干化处理，回填中铁十五局弃土场</w:t>
                  </w:r>
                  <w:r>
                    <w:rPr>
                      <w:rFonts w:ascii="Times New Roman" w:hAnsi="Times New Roman" w:eastAsia="宋体" w:cs="Times New Roman"/>
                      <w:kern w:val="0"/>
                      <w:szCs w:val="21"/>
                    </w:rPr>
                    <w:t>。</w:t>
                  </w:r>
                  <w:r>
                    <w:rPr>
                      <w:rFonts w:hint="eastAsia" w:ascii="Times New Roman" w:hAnsi="Times New Roman" w:eastAsia="宋体" w:cs="Times New Roman"/>
                      <w:kern w:val="0"/>
                      <w:szCs w:val="21"/>
                    </w:rPr>
                    <w:t>维修废物及</w:t>
                  </w:r>
                  <w:r>
                    <w:rPr>
                      <w:rFonts w:hint="eastAsia" w:ascii="Times New Roman" w:hAnsi="Times New Roman" w:eastAsia="宋体" w:cs="Times New Roman"/>
                      <w:kern w:val="0"/>
                      <w:szCs w:val="21"/>
                      <w:lang w:eastAsia="zh-CN"/>
                    </w:rPr>
                    <w:t>含油</w:t>
                  </w:r>
                  <w:r>
                    <w:rPr>
                      <w:rFonts w:hint="eastAsia" w:ascii="Times New Roman" w:hAnsi="Times New Roman" w:eastAsia="宋体" w:cs="Times New Roman"/>
                      <w:kern w:val="0"/>
                      <w:szCs w:val="21"/>
                    </w:rPr>
                    <w:t>抹布等，收集后清运至垃圾收集点，</w:t>
                  </w:r>
                  <w:r>
                    <w:rPr>
                      <w:rFonts w:ascii="Times New Roman" w:hAnsi="Times New Roman" w:eastAsia="宋体" w:cs="Times New Roman"/>
                      <w:kern w:val="0"/>
                      <w:szCs w:val="21"/>
                    </w:rPr>
                    <w:t>由环卫清运</w:t>
                  </w:r>
                  <w:r>
                    <w:rPr>
                      <w:rFonts w:hint="eastAsia" w:ascii="Times New Roman" w:hAnsi="Times New Roman" w:eastAsia="宋体" w:cs="Times New Roman"/>
                      <w:kern w:val="0"/>
                      <w:szCs w:val="21"/>
                    </w:rPr>
                    <w:t>处理</w:t>
                  </w:r>
                  <w:r>
                    <w:rPr>
                      <w:rFonts w:ascii="Times New Roman" w:hAnsi="Times New Roman" w:eastAsia="宋体" w:cs="Times New Roman"/>
                      <w:kern w:val="0"/>
                      <w:szCs w:val="21"/>
                    </w:rPr>
                    <w:t>。</w:t>
                  </w:r>
                </w:p>
                <w:p w14:paraId="08F47F35">
                  <w:pPr>
                    <w:widowControl/>
                    <w:rPr>
                      <w:rFonts w:ascii="Times New Roman" w:hAnsi="Times New Roman" w:eastAsia="宋体" w:cs="Times New Roman"/>
                      <w:b/>
                      <w:kern w:val="0"/>
                      <w:szCs w:val="21"/>
                    </w:rPr>
                  </w:pPr>
                  <w:r>
                    <w:rPr>
                      <w:rFonts w:hint="eastAsia" w:ascii="宋体" w:hAnsi="宋体" w:eastAsia="宋体" w:cs="宋体"/>
                      <w:kern w:val="0"/>
                      <w:szCs w:val="21"/>
                    </w:rPr>
                    <w:t>②</w:t>
                  </w:r>
                  <w:r>
                    <w:rPr>
                      <w:rFonts w:ascii="Times New Roman" w:hAnsi="Times New Roman" w:eastAsia="宋体" w:cs="Times New Roman"/>
                      <w:kern w:val="0"/>
                      <w:szCs w:val="21"/>
                    </w:rPr>
                    <w:t>生活垃圾：设置垃圾桶，集中收集后</w:t>
                  </w:r>
                  <w:r>
                    <w:rPr>
                      <w:rFonts w:hint="eastAsia" w:ascii="Times New Roman" w:hAnsi="Times New Roman" w:eastAsia="宋体" w:cs="Times New Roman"/>
                      <w:kern w:val="0"/>
                      <w:szCs w:val="21"/>
                    </w:rPr>
                    <w:t>清运至垃圾收集点，</w:t>
                  </w:r>
                  <w:r>
                    <w:rPr>
                      <w:rFonts w:ascii="Times New Roman" w:hAnsi="Times New Roman" w:eastAsia="宋体" w:cs="Times New Roman"/>
                      <w:kern w:val="0"/>
                      <w:szCs w:val="21"/>
                    </w:rPr>
                    <w:t>由环卫清运</w:t>
                  </w:r>
                  <w:r>
                    <w:rPr>
                      <w:rFonts w:hint="eastAsia" w:ascii="Times New Roman" w:hAnsi="Times New Roman" w:eastAsia="宋体" w:cs="Times New Roman"/>
                      <w:kern w:val="0"/>
                      <w:szCs w:val="21"/>
                    </w:rPr>
                    <w:t>处理</w:t>
                  </w:r>
                  <w:r>
                    <w:rPr>
                      <w:rFonts w:ascii="Times New Roman" w:hAnsi="Times New Roman" w:eastAsia="宋体" w:cs="Times New Roman"/>
                      <w:kern w:val="0"/>
                      <w:szCs w:val="21"/>
                    </w:rPr>
                    <w:t>。</w:t>
                  </w:r>
                </w:p>
              </w:tc>
              <w:tc>
                <w:tcPr>
                  <w:tcW w:w="1057" w:type="dxa"/>
                  <w:vMerge w:val="continue"/>
                  <w:vAlign w:val="center"/>
                </w:tcPr>
                <w:p w14:paraId="26C0C735">
                  <w:pPr>
                    <w:pStyle w:val="167"/>
                    <w:snapToGrid w:val="0"/>
                    <w:spacing w:line="240" w:lineRule="auto"/>
                    <w:rPr>
                      <w:rFonts w:ascii="Times New Roman" w:hAnsi="Times New Roman" w:eastAsia="宋体" w:cs="Times New Roman"/>
                      <w:szCs w:val="21"/>
                    </w:rPr>
                  </w:pPr>
                </w:p>
              </w:tc>
              <w:tc>
                <w:tcPr>
                  <w:tcW w:w="1295" w:type="dxa"/>
                  <w:vAlign w:val="center"/>
                </w:tcPr>
                <w:p w14:paraId="4CA70383">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固废</w:t>
                  </w:r>
                  <w:r>
                    <w:rPr>
                      <w:rFonts w:hint="eastAsia" w:ascii="Times New Roman" w:hAnsi="Times New Roman" w:eastAsia="宋体" w:cs="Times New Roman"/>
                      <w:szCs w:val="21"/>
                    </w:rPr>
                    <w:t>、危废</w:t>
                  </w:r>
                </w:p>
              </w:tc>
              <w:tc>
                <w:tcPr>
                  <w:tcW w:w="690" w:type="dxa"/>
                  <w:tcBorders>
                    <w:right w:val="single" w:color="auto" w:sz="12" w:space="0"/>
                  </w:tcBorders>
                  <w:vAlign w:val="center"/>
                </w:tcPr>
                <w:p w14:paraId="3E3E8877">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新建</w:t>
                  </w:r>
                </w:p>
              </w:tc>
            </w:tr>
            <w:tr w14:paraId="6AA78F9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41" w:type="dxa"/>
                  <w:vMerge w:val="continue"/>
                  <w:tcBorders>
                    <w:left w:val="single" w:color="auto" w:sz="12" w:space="0"/>
                    <w:bottom w:val="single" w:color="auto" w:sz="12" w:space="0"/>
                  </w:tcBorders>
                  <w:vAlign w:val="center"/>
                </w:tcPr>
                <w:p w14:paraId="028DB7C9">
                  <w:pPr>
                    <w:pStyle w:val="167"/>
                    <w:snapToGrid w:val="0"/>
                    <w:spacing w:line="240" w:lineRule="auto"/>
                    <w:rPr>
                      <w:rFonts w:ascii="Times New Roman" w:hAnsi="Times New Roman" w:eastAsia="宋体" w:cs="Times New Roman"/>
                      <w:szCs w:val="21"/>
                    </w:rPr>
                  </w:pPr>
                </w:p>
              </w:tc>
              <w:tc>
                <w:tcPr>
                  <w:tcW w:w="1240" w:type="dxa"/>
                  <w:tcBorders>
                    <w:bottom w:val="single" w:color="auto" w:sz="12" w:space="0"/>
                  </w:tcBorders>
                  <w:vAlign w:val="center"/>
                </w:tcPr>
                <w:p w14:paraId="11D05CC9">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噪声</w:t>
                  </w:r>
                </w:p>
              </w:tc>
              <w:tc>
                <w:tcPr>
                  <w:tcW w:w="3743" w:type="dxa"/>
                  <w:tcBorders>
                    <w:bottom w:val="single" w:color="auto" w:sz="12" w:space="0"/>
                  </w:tcBorders>
                  <w:vAlign w:val="center"/>
                </w:tcPr>
                <w:p w14:paraId="01844616">
                  <w:pPr>
                    <w:pStyle w:val="167"/>
                    <w:snapToGrid w:val="0"/>
                    <w:spacing w:line="240" w:lineRule="auto"/>
                    <w:jc w:val="left"/>
                    <w:rPr>
                      <w:rFonts w:ascii="Times New Roman" w:hAnsi="Times New Roman" w:eastAsia="宋体" w:cs="Times New Roman"/>
                      <w:szCs w:val="21"/>
                    </w:rPr>
                  </w:pPr>
                  <w:r>
                    <w:rPr>
                      <w:rFonts w:ascii="Times New Roman" w:hAnsi="Times New Roman" w:eastAsia="宋体" w:cs="Times New Roman"/>
                      <w:szCs w:val="21"/>
                    </w:rPr>
                    <w:t>设备噪声，采取基础减震和厂房隔声和柔性连接等措施。</w:t>
                  </w:r>
                </w:p>
              </w:tc>
              <w:tc>
                <w:tcPr>
                  <w:tcW w:w="1057" w:type="dxa"/>
                  <w:vMerge w:val="continue"/>
                  <w:tcBorders>
                    <w:bottom w:val="single" w:color="auto" w:sz="12" w:space="0"/>
                  </w:tcBorders>
                  <w:vAlign w:val="center"/>
                </w:tcPr>
                <w:p w14:paraId="4A816AB7">
                  <w:pPr>
                    <w:pStyle w:val="167"/>
                    <w:snapToGrid w:val="0"/>
                    <w:spacing w:line="240" w:lineRule="auto"/>
                    <w:rPr>
                      <w:rFonts w:ascii="Times New Roman" w:hAnsi="Times New Roman" w:eastAsia="宋体" w:cs="Times New Roman"/>
                      <w:szCs w:val="21"/>
                    </w:rPr>
                  </w:pPr>
                </w:p>
              </w:tc>
              <w:tc>
                <w:tcPr>
                  <w:tcW w:w="1295" w:type="dxa"/>
                  <w:tcBorders>
                    <w:bottom w:val="single" w:color="auto" w:sz="12" w:space="0"/>
                  </w:tcBorders>
                  <w:vAlign w:val="center"/>
                </w:tcPr>
                <w:p w14:paraId="61E7C305">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噪声</w:t>
                  </w:r>
                </w:p>
              </w:tc>
              <w:tc>
                <w:tcPr>
                  <w:tcW w:w="690" w:type="dxa"/>
                  <w:tcBorders>
                    <w:bottom w:val="single" w:color="auto" w:sz="12" w:space="0"/>
                    <w:right w:val="single" w:color="auto" w:sz="12" w:space="0"/>
                  </w:tcBorders>
                  <w:vAlign w:val="center"/>
                </w:tcPr>
                <w:p w14:paraId="13317022">
                  <w:pPr>
                    <w:pStyle w:val="167"/>
                    <w:snapToGrid w:val="0"/>
                    <w:spacing w:line="240" w:lineRule="auto"/>
                    <w:rPr>
                      <w:rFonts w:ascii="Times New Roman" w:hAnsi="Times New Roman" w:eastAsia="宋体" w:cs="Times New Roman"/>
                      <w:szCs w:val="21"/>
                    </w:rPr>
                  </w:pPr>
                  <w:r>
                    <w:rPr>
                      <w:rFonts w:ascii="Times New Roman" w:hAnsi="Times New Roman" w:eastAsia="宋体" w:cs="Times New Roman"/>
                      <w:szCs w:val="21"/>
                    </w:rPr>
                    <w:t>新建</w:t>
                  </w:r>
                </w:p>
              </w:tc>
            </w:tr>
          </w:tbl>
          <w:p w14:paraId="393D238C">
            <w:pPr>
              <w:spacing w:line="480" w:lineRule="exact"/>
              <w:ind w:firstLine="470" w:firstLineChars="196"/>
              <w:rPr>
                <w:rFonts w:ascii="Times New Roman" w:hAnsi="Times New Roman" w:eastAsia="宋体" w:cs="Times New Roman"/>
                <w:sz w:val="24"/>
              </w:rPr>
            </w:pPr>
            <w:r>
              <w:rPr>
                <w:rFonts w:ascii="Times New Roman" w:hAnsi="Times New Roman" w:eastAsia="宋体" w:cs="Times New Roman"/>
                <w:sz w:val="24"/>
                <w:szCs w:val="24"/>
              </w:rPr>
              <w:t>（4）</w:t>
            </w:r>
            <w:r>
              <w:rPr>
                <w:rFonts w:ascii="Times New Roman" w:hAnsi="Times New Roman" w:eastAsia="宋体" w:cs="Times New Roman"/>
                <w:sz w:val="24"/>
              </w:rPr>
              <w:t>原辅材料</w:t>
            </w:r>
          </w:p>
          <w:p w14:paraId="79897D75">
            <w:pPr>
              <w:spacing w:line="50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本项目主要原辅材料年用量汇总见下表1-6。</w:t>
            </w:r>
          </w:p>
          <w:p w14:paraId="2A9EFC46">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表1-6 项目主要原辅材料及能源消耗一览表</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87"/>
              <w:gridCol w:w="1696"/>
              <w:gridCol w:w="1132"/>
              <w:gridCol w:w="1557"/>
              <w:gridCol w:w="3556"/>
            </w:tblGrid>
            <w:tr w14:paraId="133288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3" w:type="pct"/>
                  <w:vAlign w:val="center"/>
                </w:tcPr>
                <w:p w14:paraId="3040CC31">
                  <w:pPr>
                    <w:jc w:val="center"/>
                    <w:rPr>
                      <w:rFonts w:ascii="Times New Roman" w:hAnsi="Times New Roman" w:eastAsia="宋体" w:cs="Times New Roman"/>
                    </w:rPr>
                  </w:pPr>
                  <w:r>
                    <w:rPr>
                      <w:rFonts w:ascii="Times New Roman" w:hAnsi="Times New Roman" w:eastAsia="宋体" w:cs="Times New Roman"/>
                    </w:rPr>
                    <w:t>序号</w:t>
                  </w:r>
                </w:p>
              </w:tc>
              <w:tc>
                <w:tcPr>
                  <w:tcW w:w="950" w:type="pct"/>
                  <w:vAlign w:val="center"/>
                </w:tcPr>
                <w:p w14:paraId="40E64792">
                  <w:pPr>
                    <w:jc w:val="center"/>
                    <w:rPr>
                      <w:rFonts w:ascii="Times New Roman" w:hAnsi="Times New Roman" w:eastAsia="宋体" w:cs="Times New Roman"/>
                    </w:rPr>
                  </w:pPr>
                  <w:r>
                    <w:rPr>
                      <w:rFonts w:ascii="Times New Roman" w:hAnsi="Times New Roman" w:eastAsia="宋体" w:cs="Times New Roman"/>
                    </w:rPr>
                    <w:t>原辅材料名称</w:t>
                  </w:r>
                </w:p>
              </w:tc>
              <w:tc>
                <w:tcPr>
                  <w:tcW w:w="634" w:type="pct"/>
                  <w:vAlign w:val="center"/>
                </w:tcPr>
                <w:p w14:paraId="5D5488B9">
                  <w:pPr>
                    <w:jc w:val="center"/>
                    <w:rPr>
                      <w:rFonts w:ascii="Times New Roman" w:hAnsi="Times New Roman" w:eastAsia="宋体" w:cs="Times New Roman"/>
                    </w:rPr>
                  </w:pPr>
                  <w:r>
                    <w:rPr>
                      <w:rFonts w:ascii="Times New Roman" w:hAnsi="Times New Roman" w:eastAsia="宋体" w:cs="Times New Roman"/>
                    </w:rPr>
                    <w:t>用量</w:t>
                  </w:r>
                </w:p>
              </w:tc>
              <w:tc>
                <w:tcPr>
                  <w:tcW w:w="872" w:type="pct"/>
                  <w:vAlign w:val="center"/>
                </w:tcPr>
                <w:p w14:paraId="0F0E1580">
                  <w:pPr>
                    <w:jc w:val="center"/>
                    <w:rPr>
                      <w:rFonts w:ascii="Times New Roman" w:hAnsi="Times New Roman" w:eastAsia="宋体" w:cs="Times New Roman"/>
                    </w:rPr>
                  </w:pPr>
                  <w:r>
                    <w:rPr>
                      <w:rFonts w:ascii="Times New Roman" w:hAnsi="Times New Roman" w:eastAsia="宋体" w:cs="Times New Roman"/>
                    </w:rPr>
                    <w:t>单位/年</w:t>
                  </w:r>
                </w:p>
              </w:tc>
              <w:tc>
                <w:tcPr>
                  <w:tcW w:w="1991" w:type="pct"/>
                  <w:vAlign w:val="center"/>
                </w:tcPr>
                <w:p w14:paraId="2A5B7F61">
                  <w:pPr>
                    <w:jc w:val="center"/>
                    <w:rPr>
                      <w:rFonts w:ascii="Times New Roman" w:hAnsi="Times New Roman" w:eastAsia="宋体" w:cs="Times New Roman"/>
                    </w:rPr>
                  </w:pPr>
                  <w:r>
                    <w:rPr>
                      <w:rFonts w:ascii="Times New Roman" w:hAnsi="Times New Roman" w:eastAsia="宋体" w:cs="Times New Roman"/>
                    </w:rPr>
                    <w:t>备注</w:t>
                  </w:r>
                </w:p>
              </w:tc>
            </w:tr>
            <w:tr w14:paraId="04ECA5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3" w:type="pct"/>
                  <w:vAlign w:val="center"/>
                </w:tcPr>
                <w:p w14:paraId="14B31A6A">
                  <w:pPr>
                    <w:jc w:val="center"/>
                    <w:rPr>
                      <w:rFonts w:ascii="Times New Roman" w:hAnsi="Times New Roman" w:eastAsia="宋体" w:cs="Times New Roman"/>
                    </w:rPr>
                  </w:pPr>
                  <w:r>
                    <w:rPr>
                      <w:rFonts w:ascii="Times New Roman" w:hAnsi="Times New Roman" w:eastAsia="宋体" w:cs="Times New Roman"/>
                    </w:rPr>
                    <w:t>1</w:t>
                  </w:r>
                </w:p>
              </w:tc>
              <w:tc>
                <w:tcPr>
                  <w:tcW w:w="950" w:type="pct"/>
                  <w:vAlign w:val="center"/>
                </w:tcPr>
                <w:p w14:paraId="360910C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建筑垃圾</w:t>
                  </w:r>
                </w:p>
              </w:tc>
              <w:tc>
                <w:tcPr>
                  <w:tcW w:w="634" w:type="pct"/>
                  <w:vAlign w:val="center"/>
                </w:tcPr>
                <w:p w14:paraId="14D47117">
                  <w:pPr>
                    <w:tabs>
                      <w:tab w:val="left" w:pos="1020"/>
                    </w:tabs>
                    <w:jc w:val="center"/>
                    <w:rPr>
                      <w:rFonts w:ascii="Times New Roman" w:hAnsi="Times New Roman" w:eastAsia="宋体" w:cs="Times New Roman"/>
                      <w:szCs w:val="21"/>
                    </w:rPr>
                  </w:pPr>
                  <w:r>
                    <w:rPr>
                      <w:rFonts w:ascii="Times New Roman" w:hAnsi="Times New Roman" w:eastAsia="宋体" w:cs="Times New Roman"/>
                      <w:szCs w:val="21"/>
                    </w:rPr>
                    <w:t>20</w:t>
                  </w:r>
                </w:p>
              </w:tc>
              <w:tc>
                <w:tcPr>
                  <w:tcW w:w="872" w:type="pct"/>
                  <w:vAlign w:val="center"/>
                </w:tcPr>
                <w:p w14:paraId="350342F1">
                  <w:pPr>
                    <w:tabs>
                      <w:tab w:val="left" w:pos="1020"/>
                    </w:tabs>
                    <w:jc w:val="center"/>
                    <w:rPr>
                      <w:rFonts w:ascii="Times New Roman" w:hAnsi="Times New Roman" w:eastAsia="宋体" w:cs="Times New Roman"/>
                    </w:rPr>
                  </w:pPr>
                  <w:r>
                    <w:rPr>
                      <w:rFonts w:ascii="Times New Roman" w:hAnsi="Times New Roman" w:eastAsia="宋体" w:cs="Times New Roman"/>
                    </w:rPr>
                    <w:t>万t</w:t>
                  </w:r>
                </w:p>
              </w:tc>
              <w:tc>
                <w:tcPr>
                  <w:tcW w:w="1991" w:type="pct"/>
                  <w:vAlign w:val="center"/>
                </w:tcPr>
                <w:p w14:paraId="592BEB3F">
                  <w:pPr>
                    <w:tabs>
                      <w:tab w:val="left" w:pos="1020"/>
                    </w:tabs>
                    <w:jc w:val="center"/>
                    <w:rPr>
                      <w:rFonts w:ascii="Times New Roman" w:hAnsi="Times New Roman" w:eastAsia="宋体" w:cs="Times New Roman"/>
                    </w:rPr>
                  </w:pPr>
                  <w:r>
                    <w:rPr>
                      <w:rFonts w:hint="eastAsia" w:ascii="Times New Roman" w:hAnsi="Times New Roman" w:eastAsia="宋体" w:cs="Times New Roman"/>
                      <w:lang w:eastAsia="zh-CN"/>
                    </w:rPr>
                    <w:t>峨边彝族自治县</w:t>
                  </w:r>
                  <w:r>
                    <w:rPr>
                      <w:rFonts w:hint="eastAsia" w:ascii="Times New Roman" w:hAnsi="Times New Roman" w:eastAsia="宋体" w:cs="Times New Roman"/>
                    </w:rPr>
                    <w:t>域及周边地区拆迁的建筑垃圾（混凝土、红砖等一般固废</w:t>
                  </w:r>
                  <w:r>
                    <w:rPr>
                      <w:rFonts w:hint="eastAsia" w:ascii="Times New Roman" w:hAnsi="Times New Roman" w:eastAsia="宋体" w:cs="Times New Roman"/>
                      <w:color w:val="FF0000"/>
                    </w:rPr>
                    <w:t>，不属于G</w:t>
                  </w:r>
                  <w:r>
                    <w:rPr>
                      <w:rFonts w:ascii="Times New Roman" w:hAnsi="Times New Roman" w:eastAsia="宋体" w:cs="Times New Roman"/>
                      <w:color w:val="FF0000"/>
                    </w:rPr>
                    <w:t>B30760-2014</w:t>
                  </w:r>
                  <w:r>
                    <w:rPr>
                      <w:rFonts w:hint="eastAsia" w:ascii="Times New Roman" w:hAnsi="Times New Roman" w:eastAsia="宋体" w:cs="Times New Roman"/>
                      <w:color w:val="FF0000"/>
                    </w:rPr>
                    <w:t>中不应协同处置的废物）</w:t>
                  </w:r>
                </w:p>
              </w:tc>
            </w:tr>
            <w:tr w14:paraId="5349DC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3" w:type="pct"/>
                  <w:vAlign w:val="center"/>
                </w:tcPr>
                <w:p w14:paraId="0599FD5C">
                  <w:pPr>
                    <w:jc w:val="center"/>
                    <w:rPr>
                      <w:rFonts w:ascii="Times New Roman" w:hAnsi="Times New Roman" w:eastAsia="宋体" w:cs="Times New Roman"/>
                    </w:rPr>
                  </w:pPr>
                  <w:r>
                    <w:rPr>
                      <w:rFonts w:ascii="Times New Roman" w:hAnsi="Times New Roman" w:eastAsia="宋体" w:cs="Times New Roman"/>
                    </w:rPr>
                    <w:t>2</w:t>
                  </w:r>
                </w:p>
              </w:tc>
              <w:tc>
                <w:tcPr>
                  <w:tcW w:w="950" w:type="pct"/>
                  <w:vAlign w:val="center"/>
                </w:tcPr>
                <w:p w14:paraId="7F9961E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水</w:t>
                  </w:r>
                </w:p>
              </w:tc>
              <w:tc>
                <w:tcPr>
                  <w:tcW w:w="634" w:type="pct"/>
                  <w:vAlign w:val="center"/>
                </w:tcPr>
                <w:p w14:paraId="3A4EA115">
                  <w:pPr>
                    <w:jc w:val="center"/>
                    <w:rPr>
                      <w:rFonts w:ascii="Times New Roman" w:hAnsi="Times New Roman" w:eastAsia="宋体" w:cs="Times New Roman"/>
                      <w:kern w:val="0"/>
                      <w:szCs w:val="21"/>
                    </w:rPr>
                  </w:pPr>
                  <w:r>
                    <w:rPr>
                      <w:rFonts w:ascii="Times New Roman" w:hAnsi="Times New Roman" w:eastAsia="宋体" w:cs="Times New Roman"/>
                      <w:kern w:val="0"/>
                      <w:szCs w:val="21"/>
                    </w:rPr>
                    <w:t>29400</w:t>
                  </w:r>
                </w:p>
              </w:tc>
              <w:tc>
                <w:tcPr>
                  <w:tcW w:w="872" w:type="pct"/>
                  <w:vAlign w:val="center"/>
                </w:tcPr>
                <w:p w14:paraId="75867054">
                  <w:pPr>
                    <w:tabs>
                      <w:tab w:val="left" w:pos="1020"/>
                    </w:tabs>
                    <w:jc w:val="center"/>
                    <w:rPr>
                      <w:rFonts w:ascii="Times New Roman" w:hAnsi="Times New Roman" w:eastAsia="宋体" w:cs="Times New Roman"/>
                    </w:rPr>
                  </w:pPr>
                  <w:r>
                    <w:rPr>
                      <w:rFonts w:ascii="Times New Roman" w:hAnsi="Times New Roman" w:eastAsia="宋体" w:cs="Times New Roman"/>
                    </w:rPr>
                    <w:t>m</w:t>
                  </w:r>
                  <w:r>
                    <w:rPr>
                      <w:rFonts w:ascii="Times New Roman" w:hAnsi="Times New Roman" w:eastAsia="宋体" w:cs="Times New Roman"/>
                      <w:vertAlign w:val="superscript"/>
                    </w:rPr>
                    <w:t>3</w:t>
                  </w:r>
                </w:p>
              </w:tc>
              <w:tc>
                <w:tcPr>
                  <w:tcW w:w="1991" w:type="pct"/>
                  <w:vAlign w:val="center"/>
                </w:tcPr>
                <w:p w14:paraId="41902E37">
                  <w:pPr>
                    <w:tabs>
                      <w:tab w:val="left" w:pos="1020"/>
                    </w:tabs>
                    <w:jc w:val="center"/>
                    <w:rPr>
                      <w:rFonts w:ascii="Times New Roman" w:hAnsi="Times New Roman" w:eastAsia="宋体" w:cs="Times New Roman"/>
                    </w:rPr>
                  </w:pPr>
                  <w:r>
                    <w:rPr>
                      <w:rFonts w:hint="eastAsia" w:ascii="Times New Roman" w:hAnsi="Times New Roman" w:eastAsia="宋体" w:cs="Times New Roman"/>
                    </w:rPr>
                    <w:t>山泉水</w:t>
                  </w:r>
                </w:p>
              </w:tc>
            </w:tr>
            <w:tr w14:paraId="3392E0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3" w:type="pct"/>
                  <w:vAlign w:val="center"/>
                </w:tcPr>
                <w:p w14:paraId="53A8A918">
                  <w:pPr>
                    <w:jc w:val="center"/>
                    <w:rPr>
                      <w:rFonts w:ascii="Times New Roman" w:hAnsi="Times New Roman" w:eastAsia="宋体" w:cs="Times New Roman"/>
                    </w:rPr>
                  </w:pPr>
                  <w:r>
                    <w:rPr>
                      <w:rFonts w:ascii="Times New Roman" w:hAnsi="Times New Roman" w:eastAsia="宋体" w:cs="Times New Roman"/>
                    </w:rPr>
                    <w:t>3</w:t>
                  </w:r>
                </w:p>
              </w:tc>
              <w:tc>
                <w:tcPr>
                  <w:tcW w:w="950" w:type="pct"/>
                  <w:vAlign w:val="center"/>
                </w:tcPr>
                <w:p w14:paraId="086BEAE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电</w:t>
                  </w:r>
                </w:p>
              </w:tc>
              <w:tc>
                <w:tcPr>
                  <w:tcW w:w="634" w:type="pct"/>
                  <w:vAlign w:val="center"/>
                </w:tcPr>
                <w:p w14:paraId="2F1EF942">
                  <w:pPr>
                    <w:jc w:val="center"/>
                    <w:rPr>
                      <w:rFonts w:ascii="Times New Roman" w:hAnsi="Times New Roman" w:eastAsia="宋体" w:cs="Times New Roman"/>
                      <w:kern w:val="0"/>
                      <w:szCs w:val="21"/>
                    </w:rPr>
                  </w:pPr>
                  <w:r>
                    <w:rPr>
                      <w:rFonts w:ascii="Times New Roman" w:hAnsi="Times New Roman" w:eastAsia="宋体" w:cs="Times New Roman"/>
                      <w:kern w:val="0"/>
                      <w:szCs w:val="21"/>
                    </w:rPr>
                    <w:t>10</w:t>
                  </w:r>
                </w:p>
              </w:tc>
              <w:tc>
                <w:tcPr>
                  <w:tcW w:w="872" w:type="pct"/>
                  <w:vAlign w:val="center"/>
                </w:tcPr>
                <w:p w14:paraId="524D16F1">
                  <w:pPr>
                    <w:tabs>
                      <w:tab w:val="left" w:pos="1020"/>
                    </w:tabs>
                    <w:jc w:val="center"/>
                    <w:rPr>
                      <w:rFonts w:ascii="Times New Roman" w:hAnsi="Times New Roman" w:eastAsia="宋体" w:cs="Times New Roman"/>
                    </w:rPr>
                  </w:pPr>
                  <w:r>
                    <w:rPr>
                      <w:rFonts w:ascii="Times New Roman" w:hAnsi="Times New Roman" w:eastAsia="宋体" w:cs="Times New Roman"/>
                    </w:rPr>
                    <w:t>万千瓦时</w:t>
                  </w:r>
                </w:p>
              </w:tc>
              <w:tc>
                <w:tcPr>
                  <w:tcW w:w="1991" w:type="pct"/>
                  <w:vAlign w:val="center"/>
                </w:tcPr>
                <w:p w14:paraId="7275FDB4">
                  <w:pPr>
                    <w:tabs>
                      <w:tab w:val="left" w:pos="1020"/>
                    </w:tabs>
                    <w:jc w:val="center"/>
                    <w:rPr>
                      <w:rFonts w:ascii="Times New Roman" w:hAnsi="Times New Roman" w:eastAsia="宋体" w:cs="Times New Roman"/>
                    </w:rPr>
                  </w:pPr>
                  <w:r>
                    <w:rPr>
                      <w:rFonts w:ascii="Times New Roman" w:hAnsi="Times New Roman" w:eastAsia="宋体" w:cs="Times New Roman"/>
                    </w:rPr>
                    <w:t>市政电网</w:t>
                  </w:r>
                </w:p>
              </w:tc>
            </w:tr>
            <w:tr w14:paraId="2E8967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53" w:type="pct"/>
                  <w:vAlign w:val="center"/>
                </w:tcPr>
                <w:p w14:paraId="24C0F654">
                  <w:pPr>
                    <w:jc w:val="center"/>
                    <w:rPr>
                      <w:rFonts w:ascii="Times New Roman" w:hAnsi="Times New Roman" w:eastAsia="宋体" w:cs="Times New Roman"/>
                    </w:rPr>
                  </w:pPr>
                  <w:r>
                    <w:rPr>
                      <w:rFonts w:hint="eastAsia" w:ascii="Times New Roman" w:hAnsi="Times New Roman" w:eastAsia="宋体" w:cs="Times New Roman"/>
                    </w:rPr>
                    <w:t>4</w:t>
                  </w:r>
                </w:p>
              </w:tc>
              <w:tc>
                <w:tcPr>
                  <w:tcW w:w="950" w:type="pct"/>
                  <w:vAlign w:val="center"/>
                </w:tcPr>
                <w:p w14:paraId="19B6CCE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机油</w:t>
                  </w:r>
                </w:p>
              </w:tc>
              <w:tc>
                <w:tcPr>
                  <w:tcW w:w="634" w:type="pct"/>
                  <w:vAlign w:val="center"/>
                </w:tcPr>
                <w:p w14:paraId="14E0AD31">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1</w:t>
                  </w:r>
                  <w:r>
                    <w:rPr>
                      <w:rFonts w:ascii="Times New Roman" w:hAnsi="Times New Roman" w:eastAsia="宋体" w:cs="Times New Roman"/>
                      <w:kern w:val="0"/>
                      <w:szCs w:val="21"/>
                    </w:rPr>
                    <w:t>00</w:t>
                  </w:r>
                </w:p>
              </w:tc>
              <w:tc>
                <w:tcPr>
                  <w:tcW w:w="872" w:type="pct"/>
                  <w:vAlign w:val="center"/>
                </w:tcPr>
                <w:p w14:paraId="0A60E567">
                  <w:pPr>
                    <w:tabs>
                      <w:tab w:val="left" w:pos="1020"/>
                    </w:tabs>
                    <w:jc w:val="center"/>
                    <w:rPr>
                      <w:rFonts w:ascii="Times New Roman" w:hAnsi="Times New Roman" w:eastAsia="宋体" w:cs="Times New Roman"/>
                    </w:rPr>
                  </w:pPr>
                  <w:r>
                    <w:rPr>
                      <w:rFonts w:ascii="Times New Roman" w:hAnsi="Times New Roman" w:eastAsia="宋体" w:cs="Times New Roman"/>
                    </w:rPr>
                    <w:t>kg</w:t>
                  </w:r>
                </w:p>
              </w:tc>
              <w:tc>
                <w:tcPr>
                  <w:tcW w:w="1991" w:type="pct"/>
                  <w:vAlign w:val="center"/>
                </w:tcPr>
                <w:p w14:paraId="424D6786">
                  <w:pPr>
                    <w:tabs>
                      <w:tab w:val="left" w:pos="1020"/>
                    </w:tabs>
                    <w:jc w:val="center"/>
                    <w:rPr>
                      <w:rFonts w:ascii="Times New Roman" w:hAnsi="Times New Roman" w:eastAsia="宋体" w:cs="Times New Roman"/>
                    </w:rPr>
                  </w:pPr>
                  <w:r>
                    <w:rPr>
                      <w:rFonts w:hint="eastAsia" w:ascii="Times New Roman" w:hAnsi="Times New Roman" w:eastAsia="宋体" w:cs="Times New Roman"/>
                    </w:rPr>
                    <w:t>外购</w:t>
                  </w:r>
                </w:p>
              </w:tc>
            </w:tr>
          </w:tbl>
          <w:p w14:paraId="399F375F">
            <w:pPr>
              <w:widowControl/>
              <w:adjustRightInd w:val="0"/>
              <w:snapToGrid w:val="0"/>
              <w:spacing w:line="480" w:lineRule="exact"/>
              <w:ind w:right="92" w:rightChars="44" w:firstLine="480" w:firstLineChars="200"/>
              <w:jc w:val="left"/>
              <w:rPr>
                <w:rFonts w:ascii="Times New Roman" w:hAnsi="Times New Roman" w:eastAsia="宋体" w:cs="Times New Roman"/>
                <w:color w:val="FF0000"/>
                <w:sz w:val="24"/>
              </w:rPr>
            </w:pPr>
            <w:r>
              <w:rPr>
                <w:rFonts w:hint="eastAsia" w:ascii="Times New Roman" w:hAnsi="Times New Roman" w:eastAsia="宋体" w:cs="Times New Roman"/>
                <w:color w:val="FF0000"/>
                <w:sz w:val="24"/>
              </w:rPr>
              <w:t>本项目建筑垃圾相关要求见下表：</w:t>
            </w:r>
          </w:p>
          <w:p w14:paraId="249F0238">
            <w:pPr>
              <w:widowControl/>
              <w:adjustRightInd w:val="0"/>
              <w:snapToGrid w:val="0"/>
              <w:spacing w:line="480" w:lineRule="exact"/>
              <w:ind w:right="92" w:rightChars="44" w:firstLine="480" w:firstLineChars="200"/>
              <w:jc w:val="center"/>
              <w:rPr>
                <w:rFonts w:ascii="Times New Roman" w:hAnsi="Times New Roman" w:eastAsia="宋体" w:cs="Times New Roman"/>
                <w:color w:val="FF0000"/>
                <w:sz w:val="24"/>
              </w:rPr>
            </w:pPr>
            <w:r>
              <w:rPr>
                <w:rFonts w:hint="eastAsia" w:ascii="Times New Roman" w:hAnsi="Times New Roman" w:eastAsia="宋体" w:cs="Times New Roman"/>
                <w:color w:val="FF0000"/>
                <w:sz w:val="24"/>
              </w:rPr>
              <w:t>表1</w:t>
            </w:r>
            <w:r>
              <w:rPr>
                <w:rFonts w:ascii="Times New Roman" w:hAnsi="Times New Roman" w:eastAsia="宋体" w:cs="Times New Roman"/>
                <w:color w:val="FF0000"/>
                <w:sz w:val="24"/>
              </w:rPr>
              <w:t xml:space="preserve">-7 </w:t>
            </w:r>
            <w:r>
              <w:rPr>
                <w:rFonts w:hint="eastAsia" w:ascii="Times New Roman" w:hAnsi="Times New Roman" w:eastAsia="宋体" w:cs="Times New Roman"/>
                <w:color w:val="FF0000"/>
                <w:sz w:val="24"/>
              </w:rPr>
              <w:t>建筑垃圾相关信息一览表</w:t>
            </w:r>
          </w:p>
          <w:tbl>
            <w:tblPr>
              <w:tblStyle w:val="27"/>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1791"/>
              <w:gridCol w:w="2190"/>
              <w:gridCol w:w="1499"/>
              <w:gridCol w:w="1605"/>
            </w:tblGrid>
            <w:tr w14:paraId="37AAA3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19EB9F9D">
                  <w:pPr>
                    <w:widowControl/>
                    <w:adjustRightInd w:val="0"/>
                    <w:snapToGrid w:val="0"/>
                    <w:ind w:right="92" w:rightChars="44"/>
                    <w:jc w:val="center"/>
                    <w:rPr>
                      <w:rFonts w:hint="eastAsia" w:ascii="Times New Roman" w:hAnsi="Times New Roman" w:eastAsia="宋体" w:cs="Times New Roman"/>
                      <w:color w:val="FF0000"/>
                      <w:szCs w:val="16"/>
                    </w:rPr>
                  </w:pPr>
                  <w:r>
                    <w:rPr>
                      <w:rFonts w:hint="eastAsia" w:ascii="Times New Roman" w:hAnsi="Times New Roman" w:eastAsia="宋体" w:cs="Times New Roman"/>
                      <w:color w:val="FF0000"/>
                      <w:szCs w:val="16"/>
                    </w:rPr>
                    <w:t>种类</w:t>
                  </w:r>
                </w:p>
              </w:tc>
              <w:tc>
                <w:tcPr>
                  <w:tcW w:w="0" w:type="auto"/>
                  <w:vAlign w:val="center"/>
                </w:tcPr>
                <w:p w14:paraId="7F5711E3">
                  <w:pPr>
                    <w:widowControl/>
                    <w:adjustRightInd w:val="0"/>
                    <w:snapToGrid w:val="0"/>
                    <w:ind w:right="92" w:rightChars="44"/>
                    <w:jc w:val="center"/>
                    <w:rPr>
                      <w:rFonts w:hint="eastAsia" w:ascii="Times New Roman" w:hAnsi="Times New Roman" w:eastAsia="宋体" w:cs="Times New Roman"/>
                      <w:color w:val="FF0000"/>
                      <w:szCs w:val="16"/>
                    </w:rPr>
                  </w:pPr>
                  <w:r>
                    <w:rPr>
                      <w:rFonts w:hint="eastAsia" w:ascii="Times New Roman" w:hAnsi="Times New Roman" w:eastAsia="宋体" w:cs="Times New Roman"/>
                      <w:color w:val="FF0000"/>
                      <w:szCs w:val="16"/>
                    </w:rPr>
                    <w:t>来源</w:t>
                  </w:r>
                </w:p>
              </w:tc>
              <w:tc>
                <w:tcPr>
                  <w:tcW w:w="0" w:type="auto"/>
                  <w:vAlign w:val="center"/>
                </w:tcPr>
                <w:p w14:paraId="4A563916">
                  <w:pPr>
                    <w:widowControl/>
                    <w:adjustRightInd w:val="0"/>
                    <w:snapToGrid w:val="0"/>
                    <w:ind w:right="92" w:rightChars="44"/>
                    <w:jc w:val="center"/>
                    <w:rPr>
                      <w:rFonts w:hint="eastAsia" w:ascii="Times New Roman" w:hAnsi="Times New Roman" w:eastAsia="宋体" w:cs="Times New Roman"/>
                      <w:color w:val="FF0000"/>
                      <w:szCs w:val="16"/>
                    </w:rPr>
                  </w:pPr>
                  <w:r>
                    <w:rPr>
                      <w:rFonts w:hint="eastAsia" w:ascii="Times New Roman" w:hAnsi="Times New Roman" w:eastAsia="宋体" w:cs="Times New Roman"/>
                      <w:color w:val="FF0000"/>
                      <w:szCs w:val="16"/>
                    </w:rPr>
                    <w:t>质量控制要求</w:t>
                  </w:r>
                </w:p>
              </w:tc>
              <w:tc>
                <w:tcPr>
                  <w:tcW w:w="0" w:type="auto"/>
                  <w:vAlign w:val="center"/>
                </w:tcPr>
                <w:p w14:paraId="68D8D223">
                  <w:pPr>
                    <w:widowControl/>
                    <w:adjustRightInd w:val="0"/>
                    <w:snapToGrid w:val="0"/>
                    <w:ind w:right="92" w:rightChars="44"/>
                    <w:jc w:val="center"/>
                    <w:rPr>
                      <w:rFonts w:hint="eastAsia" w:ascii="Times New Roman" w:hAnsi="Times New Roman" w:eastAsia="宋体" w:cs="Times New Roman"/>
                      <w:color w:val="FF0000"/>
                      <w:szCs w:val="16"/>
                    </w:rPr>
                  </w:pPr>
                  <w:r>
                    <w:rPr>
                      <w:rFonts w:hint="eastAsia" w:ascii="Times New Roman" w:hAnsi="Times New Roman" w:eastAsia="宋体" w:cs="Times New Roman"/>
                      <w:color w:val="FF0000"/>
                      <w:szCs w:val="16"/>
                    </w:rPr>
                    <w:t>收集运输方式</w:t>
                  </w:r>
                </w:p>
              </w:tc>
              <w:tc>
                <w:tcPr>
                  <w:tcW w:w="0" w:type="auto"/>
                  <w:vAlign w:val="center"/>
                </w:tcPr>
                <w:p w14:paraId="61027E0D">
                  <w:pPr>
                    <w:widowControl/>
                    <w:adjustRightInd w:val="0"/>
                    <w:snapToGrid w:val="0"/>
                    <w:ind w:right="92" w:rightChars="44"/>
                    <w:jc w:val="center"/>
                    <w:rPr>
                      <w:rFonts w:hint="eastAsia" w:ascii="Times New Roman" w:hAnsi="Times New Roman" w:eastAsia="宋体" w:cs="Times New Roman"/>
                      <w:color w:val="FF0000"/>
                      <w:szCs w:val="16"/>
                    </w:rPr>
                  </w:pPr>
                  <w:r>
                    <w:rPr>
                      <w:rFonts w:hint="eastAsia" w:ascii="Times New Roman" w:hAnsi="Times New Roman" w:eastAsia="宋体" w:cs="Times New Roman"/>
                      <w:color w:val="FF0000"/>
                      <w:szCs w:val="16"/>
                    </w:rPr>
                    <w:t>收集服务范围</w:t>
                  </w:r>
                </w:p>
              </w:tc>
            </w:tr>
            <w:tr w14:paraId="2C04FB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285A923E">
                  <w:pPr>
                    <w:widowControl/>
                    <w:adjustRightInd w:val="0"/>
                    <w:snapToGrid w:val="0"/>
                    <w:ind w:right="92" w:rightChars="44"/>
                    <w:jc w:val="center"/>
                    <w:rPr>
                      <w:rFonts w:hint="eastAsia" w:ascii="Times New Roman" w:hAnsi="Times New Roman" w:eastAsia="宋体" w:cs="Times New Roman"/>
                      <w:color w:val="FF0000"/>
                      <w:szCs w:val="16"/>
                    </w:rPr>
                  </w:pPr>
                  <w:r>
                    <w:rPr>
                      <w:rFonts w:hint="eastAsia" w:ascii="Times New Roman" w:hAnsi="Times New Roman" w:eastAsia="宋体" w:cs="Times New Roman"/>
                      <w:color w:val="FF0000"/>
                      <w:szCs w:val="16"/>
                    </w:rPr>
                    <w:t>房屋拆除等各类建筑物、构筑物</w:t>
                  </w:r>
                  <w:r>
                    <w:rPr>
                      <w:rFonts w:hint="eastAsia" w:ascii="Times New Roman" w:hAnsi="Times New Roman" w:eastAsia="宋体" w:cs="Times New Roman"/>
                      <w:color w:val="FF0000"/>
                      <w:szCs w:val="16"/>
                      <w:lang w:eastAsia="zh-CN"/>
                    </w:rPr>
                    <w:t>以及</w:t>
                  </w:r>
                  <w:r>
                    <w:rPr>
                      <w:rFonts w:hint="eastAsia" w:ascii="Times New Roman" w:hAnsi="Times New Roman" w:eastAsia="宋体" w:cs="Times New Roman"/>
                      <w:color w:val="FF0000"/>
                      <w:szCs w:val="16"/>
                    </w:rPr>
                    <w:t>装饰装修房屋中所产生的废料（废弃砖瓦、混凝土）等固体废物</w:t>
                  </w:r>
                </w:p>
              </w:tc>
              <w:tc>
                <w:tcPr>
                  <w:tcW w:w="0" w:type="auto"/>
                  <w:vAlign w:val="center"/>
                </w:tcPr>
                <w:p w14:paraId="35A912CA">
                  <w:pPr>
                    <w:widowControl/>
                    <w:adjustRightInd w:val="0"/>
                    <w:snapToGrid w:val="0"/>
                    <w:ind w:right="92" w:rightChars="44"/>
                    <w:jc w:val="center"/>
                    <w:rPr>
                      <w:rFonts w:hint="eastAsia" w:ascii="Times New Roman" w:hAnsi="Times New Roman" w:eastAsia="宋体" w:cs="Times New Roman"/>
                      <w:color w:val="FF0000"/>
                      <w:szCs w:val="16"/>
                    </w:rPr>
                  </w:pPr>
                  <w:r>
                    <w:rPr>
                      <w:rFonts w:hint="eastAsia" w:ascii="Times New Roman" w:hAnsi="Times New Roman" w:eastAsia="宋体" w:cs="Times New Roman"/>
                      <w:color w:val="FF0000"/>
                      <w:szCs w:val="16"/>
                    </w:rPr>
                    <w:t>主要源于</w:t>
                  </w:r>
                  <w:r>
                    <w:rPr>
                      <w:rFonts w:hint="eastAsia" w:ascii="Times New Roman" w:hAnsi="Times New Roman" w:eastAsia="宋体" w:cs="Times New Roman"/>
                      <w:color w:val="FF0000"/>
                      <w:szCs w:val="16"/>
                      <w:lang w:eastAsia="zh-CN"/>
                    </w:rPr>
                    <w:t>峨边彝族自治县</w:t>
                  </w:r>
                  <w:r>
                    <w:rPr>
                      <w:rFonts w:hint="eastAsia" w:ascii="Times New Roman" w:hAnsi="Times New Roman" w:eastAsia="宋体" w:cs="Times New Roman"/>
                      <w:color w:val="FF0000"/>
                      <w:szCs w:val="16"/>
                    </w:rPr>
                    <w:t>及周边建设单位、施工单位或者个人新建、改建、扩建和拆除等建筑物</w:t>
                  </w:r>
                </w:p>
              </w:tc>
              <w:tc>
                <w:tcPr>
                  <w:tcW w:w="0" w:type="auto"/>
                  <w:vAlign w:val="center"/>
                </w:tcPr>
                <w:p w14:paraId="3242A70D">
                  <w:pPr>
                    <w:widowControl/>
                    <w:adjustRightInd w:val="0"/>
                    <w:snapToGrid w:val="0"/>
                    <w:ind w:right="92" w:rightChars="44"/>
                    <w:jc w:val="center"/>
                    <w:rPr>
                      <w:rFonts w:hint="eastAsia" w:ascii="Times New Roman" w:hAnsi="Times New Roman" w:eastAsia="宋体" w:cs="Times New Roman"/>
                      <w:color w:val="FF0000"/>
                      <w:szCs w:val="16"/>
                    </w:rPr>
                  </w:pPr>
                  <w:r>
                    <w:rPr>
                      <w:rFonts w:hint="eastAsia" w:ascii="Times New Roman" w:hAnsi="Times New Roman" w:eastAsia="宋体" w:cs="Times New Roman"/>
                      <w:color w:val="FF0000"/>
                      <w:szCs w:val="16"/>
                    </w:rPr>
                    <w:t>实行减量化、资源化、无害化；建筑垃圾处置场不得接纳工业固体废物、生活垃圾、餐厨垃圾、医疗垃圾、危险废物等非建筑垃圾</w:t>
                  </w:r>
                </w:p>
              </w:tc>
              <w:tc>
                <w:tcPr>
                  <w:tcW w:w="0" w:type="auto"/>
                  <w:vAlign w:val="center"/>
                </w:tcPr>
                <w:p w14:paraId="420F6521">
                  <w:pPr>
                    <w:widowControl/>
                    <w:adjustRightInd w:val="0"/>
                    <w:snapToGrid w:val="0"/>
                    <w:ind w:right="92" w:rightChars="44"/>
                    <w:jc w:val="center"/>
                    <w:rPr>
                      <w:rFonts w:hint="eastAsia" w:ascii="Times New Roman" w:hAnsi="Times New Roman" w:eastAsia="宋体" w:cs="Times New Roman"/>
                      <w:color w:val="FF0000"/>
                      <w:szCs w:val="16"/>
                    </w:rPr>
                  </w:pPr>
                  <w:r>
                    <w:rPr>
                      <w:rFonts w:hint="eastAsia" w:ascii="Times New Roman" w:hAnsi="Times New Roman" w:eastAsia="宋体" w:cs="Times New Roman"/>
                      <w:color w:val="FF0000"/>
                      <w:szCs w:val="16"/>
                    </w:rPr>
                    <w:t>采用外单位符合技术规范标准的车辆，运输车辆厢体完好、密闭、整洁</w:t>
                  </w:r>
                </w:p>
              </w:tc>
              <w:tc>
                <w:tcPr>
                  <w:tcW w:w="0" w:type="auto"/>
                  <w:vAlign w:val="center"/>
                </w:tcPr>
                <w:p w14:paraId="63A780CC">
                  <w:pPr>
                    <w:widowControl/>
                    <w:adjustRightInd w:val="0"/>
                    <w:snapToGrid w:val="0"/>
                    <w:ind w:right="92" w:rightChars="44"/>
                    <w:jc w:val="center"/>
                    <w:rPr>
                      <w:rFonts w:hint="eastAsia" w:ascii="Times New Roman" w:hAnsi="Times New Roman" w:eastAsia="宋体" w:cs="Times New Roman"/>
                      <w:color w:val="FF0000"/>
                      <w:szCs w:val="16"/>
                    </w:rPr>
                  </w:pPr>
                  <w:r>
                    <w:rPr>
                      <w:rFonts w:hint="eastAsia" w:ascii="Times New Roman" w:hAnsi="Times New Roman" w:eastAsia="宋体" w:cs="Times New Roman"/>
                      <w:color w:val="FF0000"/>
                      <w:szCs w:val="16"/>
                    </w:rPr>
                    <w:t>房屋拆除等各类建筑物、构筑物</w:t>
                  </w:r>
                  <w:r>
                    <w:rPr>
                      <w:rFonts w:hint="eastAsia" w:ascii="Times New Roman" w:hAnsi="Times New Roman" w:eastAsia="宋体" w:cs="Times New Roman"/>
                      <w:color w:val="FF0000"/>
                      <w:szCs w:val="16"/>
                      <w:lang w:eastAsia="zh-CN"/>
                    </w:rPr>
                    <w:t>以及</w:t>
                  </w:r>
                  <w:r>
                    <w:rPr>
                      <w:rFonts w:hint="eastAsia" w:ascii="Times New Roman" w:hAnsi="Times New Roman" w:eastAsia="宋体" w:cs="Times New Roman"/>
                      <w:color w:val="FF0000"/>
                      <w:szCs w:val="16"/>
                    </w:rPr>
                    <w:t>装饰装修房屋中所产生的弃料、弃土等废物</w:t>
                  </w:r>
                </w:p>
              </w:tc>
            </w:tr>
          </w:tbl>
          <w:p w14:paraId="6866DC07">
            <w:pPr>
              <w:widowControl/>
              <w:adjustRightInd w:val="0"/>
              <w:snapToGrid w:val="0"/>
              <w:spacing w:line="480" w:lineRule="exact"/>
              <w:ind w:right="92" w:rightChars="44" w:firstLine="480" w:firstLineChars="200"/>
              <w:jc w:val="left"/>
              <w:rPr>
                <w:rFonts w:ascii="Times New Roman" w:hAnsi="Times New Roman" w:eastAsia="宋体" w:cs="Times New Roman"/>
                <w:sz w:val="24"/>
              </w:rPr>
            </w:pPr>
            <w:r>
              <w:rPr>
                <w:rFonts w:ascii="Times New Roman" w:hAnsi="Times New Roman" w:eastAsia="宋体" w:cs="Times New Roman"/>
                <w:sz w:val="24"/>
              </w:rPr>
              <w:t>（5）主要设备</w:t>
            </w:r>
          </w:p>
          <w:p w14:paraId="4D13DC32">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本项目所用的设备见下表。</w:t>
            </w:r>
          </w:p>
          <w:p w14:paraId="0DF35A56">
            <w:pPr>
              <w:spacing w:before="120" w:after="120" w:line="480" w:lineRule="exact"/>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表1-8  项目主要设备设施清单</w:t>
            </w:r>
          </w:p>
          <w:tbl>
            <w:tblPr>
              <w:tblStyle w:val="26"/>
              <w:tblW w:w="5000" w:type="pct"/>
              <w:jc w:val="center"/>
              <w:tblLayout w:type="autofit"/>
              <w:tblCellMar>
                <w:top w:w="0" w:type="dxa"/>
                <w:left w:w="0" w:type="dxa"/>
                <w:bottom w:w="0" w:type="dxa"/>
                <w:right w:w="0" w:type="dxa"/>
              </w:tblCellMar>
            </w:tblPr>
            <w:tblGrid>
              <w:gridCol w:w="702"/>
              <w:gridCol w:w="2512"/>
              <w:gridCol w:w="2834"/>
              <w:gridCol w:w="1457"/>
              <w:gridCol w:w="1453"/>
            </w:tblGrid>
            <w:tr w14:paraId="19F4A2AC">
              <w:tblPrEx>
                <w:tblCellMar>
                  <w:top w:w="0" w:type="dxa"/>
                  <w:left w:w="0" w:type="dxa"/>
                  <w:bottom w:w="0" w:type="dxa"/>
                  <w:right w:w="0" w:type="dxa"/>
                </w:tblCellMar>
              </w:tblPrEx>
              <w:trPr>
                <w:trHeight w:val="340" w:hRule="atLeast"/>
                <w:jc w:val="center"/>
              </w:trPr>
              <w:tc>
                <w:tcPr>
                  <w:tcW w:w="392" w:type="pct"/>
                  <w:tcBorders>
                    <w:top w:val="single" w:color="auto" w:sz="12" w:space="0"/>
                    <w:left w:val="single" w:color="auto" w:sz="12" w:space="0"/>
                    <w:bottom w:val="single" w:color="000000" w:sz="4" w:space="0"/>
                    <w:right w:val="single" w:color="000000" w:sz="4" w:space="0"/>
                  </w:tcBorders>
                  <w:noWrap/>
                  <w:tcMar>
                    <w:top w:w="15" w:type="dxa"/>
                    <w:left w:w="15" w:type="dxa"/>
                    <w:right w:w="15" w:type="dxa"/>
                  </w:tcMar>
                  <w:vAlign w:val="center"/>
                </w:tcPr>
                <w:p w14:paraId="4BDD457F">
                  <w:pPr>
                    <w:widowControl/>
                    <w:jc w:val="center"/>
                    <w:textAlignment w:val="center"/>
                    <w:rPr>
                      <w:rFonts w:ascii="Times New Roman" w:hAnsi="Times New Roman" w:eastAsia="宋体" w:cs="Times New Roman"/>
                      <w:szCs w:val="21"/>
                    </w:rPr>
                  </w:pPr>
                  <w:r>
                    <w:rPr>
                      <w:rFonts w:ascii="Times New Roman" w:hAnsi="Times New Roman" w:eastAsia="宋体" w:cs="Times New Roman"/>
                      <w:kern w:val="0"/>
                      <w:szCs w:val="21"/>
                      <w:lang w:bidi="ar"/>
                    </w:rPr>
                    <w:t>序号</w:t>
                  </w:r>
                </w:p>
              </w:tc>
              <w:tc>
                <w:tcPr>
                  <w:tcW w:w="1402" w:type="pct"/>
                  <w:tcBorders>
                    <w:top w:val="single" w:color="auto" w:sz="12" w:space="0"/>
                    <w:left w:val="single" w:color="000000" w:sz="4" w:space="0"/>
                    <w:bottom w:val="single" w:color="000000" w:sz="4" w:space="0"/>
                    <w:right w:val="single" w:color="000000" w:sz="4" w:space="0"/>
                  </w:tcBorders>
                  <w:noWrap/>
                  <w:tcMar>
                    <w:top w:w="15" w:type="dxa"/>
                    <w:left w:w="15" w:type="dxa"/>
                    <w:right w:w="15" w:type="dxa"/>
                  </w:tcMar>
                  <w:vAlign w:val="center"/>
                </w:tcPr>
                <w:p w14:paraId="02BFF215">
                  <w:pPr>
                    <w:widowControl/>
                    <w:jc w:val="center"/>
                    <w:textAlignment w:val="center"/>
                    <w:rPr>
                      <w:rFonts w:ascii="Times New Roman" w:hAnsi="Times New Roman" w:eastAsia="宋体" w:cs="Times New Roman"/>
                      <w:szCs w:val="21"/>
                    </w:rPr>
                  </w:pPr>
                  <w:r>
                    <w:rPr>
                      <w:rFonts w:ascii="Times New Roman" w:hAnsi="Times New Roman" w:eastAsia="宋体" w:cs="Times New Roman"/>
                    </w:rPr>
                    <w:t>设备名称</w:t>
                  </w:r>
                </w:p>
              </w:tc>
              <w:tc>
                <w:tcPr>
                  <w:tcW w:w="1582" w:type="pct"/>
                  <w:tcBorders>
                    <w:top w:val="single" w:color="auto" w:sz="12" w:space="0"/>
                    <w:left w:val="single" w:color="000000" w:sz="4" w:space="0"/>
                    <w:bottom w:val="single" w:color="000000" w:sz="4" w:space="0"/>
                    <w:right w:val="single" w:color="000000" w:sz="4" w:space="0"/>
                  </w:tcBorders>
                  <w:noWrap/>
                  <w:tcMar>
                    <w:top w:w="15" w:type="dxa"/>
                    <w:left w:w="15" w:type="dxa"/>
                    <w:right w:w="15" w:type="dxa"/>
                  </w:tcMar>
                  <w:vAlign w:val="center"/>
                </w:tcPr>
                <w:p w14:paraId="18B6B40C">
                  <w:pPr>
                    <w:widowControl/>
                    <w:jc w:val="center"/>
                    <w:textAlignment w:val="center"/>
                    <w:rPr>
                      <w:rFonts w:ascii="Times New Roman" w:hAnsi="Times New Roman" w:eastAsia="宋体" w:cs="Times New Roman"/>
                      <w:szCs w:val="21"/>
                    </w:rPr>
                  </w:pPr>
                  <w:r>
                    <w:rPr>
                      <w:rFonts w:ascii="Times New Roman" w:hAnsi="Times New Roman" w:eastAsia="宋体" w:cs="Times New Roman"/>
                    </w:rPr>
                    <w:t>规格</w:t>
                  </w:r>
                </w:p>
              </w:tc>
              <w:tc>
                <w:tcPr>
                  <w:tcW w:w="813" w:type="pct"/>
                  <w:tcBorders>
                    <w:top w:val="single" w:color="auto" w:sz="12" w:space="0"/>
                    <w:left w:val="single" w:color="000000" w:sz="4" w:space="0"/>
                    <w:bottom w:val="single" w:color="000000" w:sz="4" w:space="0"/>
                    <w:right w:val="single" w:color="000000" w:sz="4" w:space="0"/>
                  </w:tcBorders>
                  <w:tcMar>
                    <w:top w:w="15" w:type="dxa"/>
                    <w:left w:w="15" w:type="dxa"/>
                    <w:right w:w="15" w:type="dxa"/>
                  </w:tcMar>
                  <w:vAlign w:val="center"/>
                </w:tcPr>
                <w:p w14:paraId="3425EE7A">
                  <w:pPr>
                    <w:widowControl/>
                    <w:jc w:val="center"/>
                    <w:textAlignment w:val="center"/>
                    <w:rPr>
                      <w:rFonts w:ascii="Times New Roman" w:hAnsi="Times New Roman" w:eastAsia="宋体" w:cs="Times New Roman"/>
                      <w:szCs w:val="21"/>
                    </w:rPr>
                  </w:pPr>
                  <w:r>
                    <w:rPr>
                      <w:rFonts w:ascii="Times New Roman" w:hAnsi="Times New Roman" w:eastAsia="宋体" w:cs="Times New Roman"/>
                    </w:rPr>
                    <w:t>单位</w:t>
                  </w:r>
                </w:p>
              </w:tc>
              <w:tc>
                <w:tcPr>
                  <w:tcW w:w="811" w:type="pct"/>
                  <w:tcBorders>
                    <w:top w:val="single" w:color="auto" w:sz="12" w:space="0"/>
                    <w:left w:val="single" w:color="000000" w:sz="4" w:space="0"/>
                    <w:bottom w:val="single" w:color="000000" w:sz="4" w:space="0"/>
                    <w:right w:val="single" w:color="auto" w:sz="12" w:space="0"/>
                  </w:tcBorders>
                  <w:vAlign w:val="center"/>
                </w:tcPr>
                <w:p w14:paraId="2E3A9F0E">
                  <w:pPr>
                    <w:widowControl/>
                    <w:jc w:val="center"/>
                    <w:textAlignment w:val="center"/>
                    <w:rPr>
                      <w:rFonts w:ascii="Times New Roman" w:hAnsi="Times New Roman" w:eastAsia="宋体" w:cs="Times New Roman"/>
                      <w:kern w:val="0"/>
                      <w:szCs w:val="21"/>
                      <w:lang w:bidi="ar"/>
                    </w:rPr>
                  </w:pPr>
                  <w:r>
                    <w:rPr>
                      <w:rFonts w:ascii="Times New Roman" w:hAnsi="Times New Roman" w:eastAsia="宋体" w:cs="Times New Roman"/>
                    </w:rPr>
                    <w:t>数量</w:t>
                  </w:r>
                </w:p>
              </w:tc>
            </w:tr>
            <w:tr w14:paraId="58D574B2">
              <w:tblPrEx>
                <w:tblCellMar>
                  <w:top w:w="0" w:type="dxa"/>
                  <w:left w:w="0" w:type="dxa"/>
                  <w:bottom w:w="0" w:type="dxa"/>
                  <w:right w:w="0" w:type="dxa"/>
                </w:tblCellMar>
              </w:tblPrEx>
              <w:trPr>
                <w:trHeight w:val="340" w:hRule="atLeast"/>
                <w:jc w:val="center"/>
              </w:trPr>
              <w:tc>
                <w:tcPr>
                  <w:tcW w:w="392"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59115801">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1</w:t>
                  </w:r>
                </w:p>
              </w:tc>
              <w:tc>
                <w:tcPr>
                  <w:tcW w:w="140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96A0F0F">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重型给料机</w:t>
                  </w:r>
                </w:p>
              </w:tc>
              <w:tc>
                <w:tcPr>
                  <w:tcW w:w="158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4D06D1E">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142</w:t>
                  </w:r>
                </w:p>
              </w:tc>
              <w:tc>
                <w:tcPr>
                  <w:tcW w:w="81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AF6FA5C">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台</w:t>
                  </w:r>
                </w:p>
              </w:tc>
              <w:tc>
                <w:tcPr>
                  <w:tcW w:w="811" w:type="pct"/>
                  <w:tcBorders>
                    <w:top w:val="single" w:color="000000" w:sz="4" w:space="0"/>
                    <w:left w:val="single" w:color="000000" w:sz="4" w:space="0"/>
                    <w:bottom w:val="single" w:color="000000" w:sz="4" w:space="0"/>
                    <w:right w:val="single" w:color="auto" w:sz="12" w:space="0"/>
                  </w:tcBorders>
                  <w:vAlign w:val="center"/>
                </w:tcPr>
                <w:p w14:paraId="3FEF4276">
                  <w:pPr>
                    <w:widowControl/>
                    <w:jc w:val="center"/>
                    <w:rPr>
                      <w:rFonts w:ascii="Times New Roman" w:hAnsi="Times New Roman" w:eastAsia="宋体" w:cs="Times New Roman"/>
                      <w:szCs w:val="21"/>
                    </w:rPr>
                  </w:pPr>
                  <w:r>
                    <w:rPr>
                      <w:rFonts w:hint="eastAsia" w:ascii="Times New Roman" w:hAnsi="Times New Roman" w:eastAsia="宋体" w:cs="Times New Roman"/>
                      <w:szCs w:val="21"/>
                    </w:rPr>
                    <w:t>1</w:t>
                  </w:r>
                </w:p>
              </w:tc>
            </w:tr>
            <w:tr w14:paraId="0EC07F0B">
              <w:tblPrEx>
                <w:tblCellMar>
                  <w:top w:w="0" w:type="dxa"/>
                  <w:left w:w="0" w:type="dxa"/>
                  <w:bottom w:w="0" w:type="dxa"/>
                  <w:right w:w="0" w:type="dxa"/>
                </w:tblCellMar>
              </w:tblPrEx>
              <w:trPr>
                <w:trHeight w:val="340" w:hRule="atLeast"/>
                <w:jc w:val="center"/>
              </w:trPr>
              <w:tc>
                <w:tcPr>
                  <w:tcW w:w="392"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0FEAA39D">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2</w:t>
                  </w:r>
                </w:p>
              </w:tc>
              <w:tc>
                <w:tcPr>
                  <w:tcW w:w="140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793746F">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颚式破碎机</w:t>
                  </w:r>
                </w:p>
              </w:tc>
              <w:tc>
                <w:tcPr>
                  <w:tcW w:w="158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EE69B38">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160</w:t>
                  </w:r>
                  <w:r>
                    <w:rPr>
                      <w:rFonts w:hint="eastAsia" w:ascii="Times New Roman" w:hAnsi="Times New Roman" w:eastAsia="宋体" w:cs="Times New Roman"/>
                      <w:szCs w:val="21"/>
                    </w:rPr>
                    <w:t>×</w:t>
                  </w:r>
                  <w:r>
                    <w:rPr>
                      <w:rFonts w:ascii="Times New Roman" w:hAnsi="Times New Roman" w:eastAsia="宋体" w:cs="Times New Roman"/>
                      <w:szCs w:val="21"/>
                    </w:rPr>
                    <w:t>750</w:t>
                  </w:r>
                </w:p>
              </w:tc>
              <w:tc>
                <w:tcPr>
                  <w:tcW w:w="813"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14:paraId="5FDD8577">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台</w:t>
                  </w:r>
                </w:p>
              </w:tc>
              <w:tc>
                <w:tcPr>
                  <w:tcW w:w="811" w:type="pct"/>
                  <w:tcBorders>
                    <w:top w:val="single" w:color="000000" w:sz="4" w:space="0"/>
                    <w:left w:val="single" w:color="000000" w:sz="4" w:space="0"/>
                    <w:bottom w:val="single" w:color="auto" w:sz="4" w:space="0"/>
                    <w:right w:val="single" w:color="auto" w:sz="12" w:space="0"/>
                  </w:tcBorders>
                  <w:vAlign w:val="center"/>
                </w:tcPr>
                <w:p w14:paraId="50560311">
                  <w:pPr>
                    <w:widowControl/>
                    <w:jc w:val="center"/>
                    <w:rPr>
                      <w:rFonts w:ascii="Times New Roman" w:hAnsi="Times New Roman" w:eastAsia="宋体" w:cs="Times New Roman"/>
                      <w:szCs w:val="21"/>
                    </w:rPr>
                  </w:pPr>
                  <w:r>
                    <w:rPr>
                      <w:rFonts w:hint="eastAsia" w:ascii="Times New Roman" w:hAnsi="Times New Roman" w:eastAsia="宋体" w:cs="Times New Roman"/>
                      <w:szCs w:val="21"/>
                    </w:rPr>
                    <w:t>1</w:t>
                  </w:r>
                </w:p>
              </w:tc>
            </w:tr>
            <w:tr w14:paraId="23E93A1B">
              <w:tblPrEx>
                <w:tblCellMar>
                  <w:top w:w="0" w:type="dxa"/>
                  <w:left w:w="0" w:type="dxa"/>
                  <w:bottom w:w="0" w:type="dxa"/>
                  <w:right w:w="0" w:type="dxa"/>
                </w:tblCellMar>
              </w:tblPrEx>
              <w:trPr>
                <w:trHeight w:val="340" w:hRule="atLeast"/>
                <w:jc w:val="center"/>
              </w:trPr>
              <w:tc>
                <w:tcPr>
                  <w:tcW w:w="392"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09D670A3">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3</w:t>
                  </w:r>
                </w:p>
              </w:tc>
              <w:tc>
                <w:tcPr>
                  <w:tcW w:w="140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2ABD411">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制砂机</w:t>
                  </w:r>
                </w:p>
              </w:tc>
              <w:tc>
                <w:tcPr>
                  <w:tcW w:w="158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4F34228">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416</w:t>
                  </w:r>
                </w:p>
              </w:tc>
              <w:tc>
                <w:tcPr>
                  <w:tcW w:w="813"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14:paraId="533DB1EE">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台</w:t>
                  </w:r>
                </w:p>
              </w:tc>
              <w:tc>
                <w:tcPr>
                  <w:tcW w:w="811" w:type="pct"/>
                  <w:tcBorders>
                    <w:top w:val="single" w:color="000000" w:sz="4" w:space="0"/>
                    <w:left w:val="single" w:color="000000" w:sz="4" w:space="0"/>
                    <w:bottom w:val="single" w:color="auto" w:sz="4" w:space="0"/>
                    <w:right w:val="single" w:color="auto" w:sz="12" w:space="0"/>
                  </w:tcBorders>
                  <w:vAlign w:val="center"/>
                </w:tcPr>
                <w:p w14:paraId="00DFC730">
                  <w:pPr>
                    <w:widowControl/>
                    <w:jc w:val="center"/>
                    <w:rPr>
                      <w:rFonts w:ascii="Times New Roman" w:hAnsi="Times New Roman" w:eastAsia="宋体" w:cs="Times New Roman"/>
                      <w:szCs w:val="21"/>
                    </w:rPr>
                  </w:pPr>
                  <w:r>
                    <w:rPr>
                      <w:rFonts w:hint="eastAsia" w:ascii="Times New Roman" w:hAnsi="Times New Roman" w:eastAsia="宋体" w:cs="Times New Roman"/>
                      <w:szCs w:val="21"/>
                    </w:rPr>
                    <w:t>1</w:t>
                  </w:r>
                </w:p>
              </w:tc>
            </w:tr>
            <w:tr w14:paraId="1F391638">
              <w:tblPrEx>
                <w:tblCellMar>
                  <w:top w:w="0" w:type="dxa"/>
                  <w:left w:w="0" w:type="dxa"/>
                  <w:bottom w:w="0" w:type="dxa"/>
                  <w:right w:w="0" w:type="dxa"/>
                </w:tblCellMar>
              </w:tblPrEx>
              <w:trPr>
                <w:trHeight w:val="340" w:hRule="atLeast"/>
                <w:jc w:val="center"/>
              </w:trPr>
              <w:tc>
                <w:tcPr>
                  <w:tcW w:w="392"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4566E418">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4</w:t>
                  </w:r>
                </w:p>
              </w:tc>
              <w:tc>
                <w:tcPr>
                  <w:tcW w:w="140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7493A3C">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振动筛</w:t>
                  </w:r>
                </w:p>
              </w:tc>
              <w:tc>
                <w:tcPr>
                  <w:tcW w:w="158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F4BD2EE">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470</w:t>
                  </w:r>
                </w:p>
              </w:tc>
              <w:tc>
                <w:tcPr>
                  <w:tcW w:w="813"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14:paraId="4AE7EB12">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台</w:t>
                  </w:r>
                </w:p>
              </w:tc>
              <w:tc>
                <w:tcPr>
                  <w:tcW w:w="811" w:type="pct"/>
                  <w:tcBorders>
                    <w:top w:val="single" w:color="000000" w:sz="4" w:space="0"/>
                    <w:left w:val="single" w:color="000000" w:sz="4" w:space="0"/>
                    <w:bottom w:val="single" w:color="auto" w:sz="4" w:space="0"/>
                    <w:right w:val="single" w:color="auto" w:sz="12" w:space="0"/>
                  </w:tcBorders>
                  <w:vAlign w:val="center"/>
                </w:tcPr>
                <w:p w14:paraId="3E32000F">
                  <w:pPr>
                    <w:widowControl/>
                    <w:jc w:val="center"/>
                    <w:rPr>
                      <w:rFonts w:ascii="Times New Roman" w:hAnsi="Times New Roman" w:eastAsia="宋体" w:cs="Times New Roman"/>
                      <w:szCs w:val="21"/>
                    </w:rPr>
                  </w:pPr>
                  <w:r>
                    <w:rPr>
                      <w:rFonts w:hint="eastAsia" w:ascii="Times New Roman" w:hAnsi="Times New Roman" w:eastAsia="宋体" w:cs="Times New Roman"/>
                      <w:szCs w:val="21"/>
                    </w:rPr>
                    <w:t>1</w:t>
                  </w:r>
                </w:p>
              </w:tc>
            </w:tr>
            <w:tr w14:paraId="0211DA25">
              <w:tblPrEx>
                <w:tblCellMar>
                  <w:top w:w="0" w:type="dxa"/>
                  <w:left w:w="0" w:type="dxa"/>
                  <w:bottom w:w="0" w:type="dxa"/>
                  <w:right w:w="0" w:type="dxa"/>
                </w:tblCellMar>
              </w:tblPrEx>
              <w:trPr>
                <w:trHeight w:val="340" w:hRule="atLeast"/>
                <w:jc w:val="center"/>
              </w:trPr>
              <w:tc>
                <w:tcPr>
                  <w:tcW w:w="392"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6C1622DB">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5</w:t>
                  </w:r>
                </w:p>
              </w:tc>
              <w:tc>
                <w:tcPr>
                  <w:tcW w:w="140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8441476">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输送机</w:t>
                  </w:r>
                </w:p>
              </w:tc>
              <w:tc>
                <w:tcPr>
                  <w:tcW w:w="158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6D1B1BB">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813"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14:paraId="459C3BFC">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台</w:t>
                  </w:r>
                </w:p>
              </w:tc>
              <w:tc>
                <w:tcPr>
                  <w:tcW w:w="811" w:type="pct"/>
                  <w:tcBorders>
                    <w:top w:val="single" w:color="000000" w:sz="4" w:space="0"/>
                    <w:left w:val="single" w:color="000000" w:sz="4" w:space="0"/>
                    <w:bottom w:val="single" w:color="auto" w:sz="4" w:space="0"/>
                    <w:right w:val="single" w:color="auto" w:sz="12" w:space="0"/>
                  </w:tcBorders>
                  <w:vAlign w:val="center"/>
                </w:tcPr>
                <w:p w14:paraId="15B5FF5A">
                  <w:pPr>
                    <w:widowControl/>
                    <w:jc w:val="center"/>
                    <w:rPr>
                      <w:rFonts w:ascii="Times New Roman" w:hAnsi="Times New Roman" w:eastAsia="宋体" w:cs="Times New Roman"/>
                      <w:szCs w:val="21"/>
                    </w:rPr>
                  </w:pPr>
                  <w:r>
                    <w:rPr>
                      <w:rFonts w:hint="eastAsia" w:ascii="Times New Roman" w:hAnsi="Times New Roman" w:eastAsia="宋体" w:cs="Times New Roman"/>
                      <w:szCs w:val="21"/>
                    </w:rPr>
                    <w:t>1</w:t>
                  </w:r>
                </w:p>
              </w:tc>
            </w:tr>
            <w:tr w14:paraId="6ABD4DCB">
              <w:tblPrEx>
                <w:tblCellMar>
                  <w:top w:w="0" w:type="dxa"/>
                  <w:left w:w="0" w:type="dxa"/>
                  <w:bottom w:w="0" w:type="dxa"/>
                  <w:right w:w="0" w:type="dxa"/>
                </w:tblCellMar>
              </w:tblPrEx>
              <w:trPr>
                <w:trHeight w:val="340" w:hRule="atLeast"/>
                <w:jc w:val="center"/>
              </w:trPr>
              <w:tc>
                <w:tcPr>
                  <w:tcW w:w="392" w:type="pct"/>
                  <w:tcBorders>
                    <w:top w:val="single" w:color="000000" w:sz="4" w:space="0"/>
                    <w:left w:val="single" w:color="auto" w:sz="12" w:space="0"/>
                    <w:bottom w:val="single" w:color="000000" w:sz="4" w:space="0"/>
                    <w:right w:val="single" w:color="000000" w:sz="4" w:space="0"/>
                  </w:tcBorders>
                  <w:noWrap/>
                  <w:tcMar>
                    <w:top w:w="15" w:type="dxa"/>
                    <w:left w:w="15" w:type="dxa"/>
                    <w:right w:w="15" w:type="dxa"/>
                  </w:tcMar>
                  <w:vAlign w:val="center"/>
                </w:tcPr>
                <w:p w14:paraId="01EA64A2">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6</w:t>
                  </w:r>
                </w:p>
              </w:tc>
              <w:tc>
                <w:tcPr>
                  <w:tcW w:w="140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8234E42">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装载机</w:t>
                  </w:r>
                </w:p>
              </w:tc>
              <w:tc>
                <w:tcPr>
                  <w:tcW w:w="158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D7DF551">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0</w:t>
                  </w:r>
                </w:p>
              </w:tc>
              <w:tc>
                <w:tcPr>
                  <w:tcW w:w="813" w:type="pct"/>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14:paraId="0438F140">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台</w:t>
                  </w:r>
                </w:p>
              </w:tc>
              <w:tc>
                <w:tcPr>
                  <w:tcW w:w="811" w:type="pct"/>
                  <w:tcBorders>
                    <w:top w:val="single" w:color="000000" w:sz="4" w:space="0"/>
                    <w:left w:val="single" w:color="000000" w:sz="4" w:space="0"/>
                    <w:bottom w:val="single" w:color="auto" w:sz="4" w:space="0"/>
                    <w:right w:val="single" w:color="auto" w:sz="12" w:space="0"/>
                  </w:tcBorders>
                  <w:vAlign w:val="center"/>
                </w:tcPr>
                <w:p w14:paraId="178BD6D4">
                  <w:pPr>
                    <w:widowControl/>
                    <w:jc w:val="center"/>
                    <w:rPr>
                      <w:rFonts w:ascii="Times New Roman" w:hAnsi="Times New Roman" w:eastAsia="宋体" w:cs="Times New Roman"/>
                      <w:szCs w:val="21"/>
                    </w:rPr>
                  </w:pPr>
                  <w:r>
                    <w:rPr>
                      <w:rFonts w:hint="eastAsia" w:ascii="Times New Roman" w:hAnsi="Times New Roman" w:eastAsia="宋体" w:cs="Times New Roman"/>
                      <w:szCs w:val="21"/>
                    </w:rPr>
                    <w:t>1</w:t>
                  </w:r>
                </w:p>
              </w:tc>
            </w:tr>
            <w:tr w14:paraId="0085947B">
              <w:tblPrEx>
                <w:tblCellMar>
                  <w:top w:w="0" w:type="dxa"/>
                  <w:left w:w="0" w:type="dxa"/>
                  <w:bottom w:w="0" w:type="dxa"/>
                  <w:right w:w="0" w:type="dxa"/>
                </w:tblCellMar>
              </w:tblPrEx>
              <w:trPr>
                <w:trHeight w:val="340" w:hRule="atLeast"/>
                <w:jc w:val="center"/>
              </w:trPr>
              <w:tc>
                <w:tcPr>
                  <w:tcW w:w="392" w:type="pct"/>
                  <w:tcBorders>
                    <w:top w:val="single" w:color="000000" w:sz="4" w:space="0"/>
                    <w:left w:val="single" w:color="auto" w:sz="12" w:space="0"/>
                    <w:bottom w:val="single" w:color="auto" w:sz="12" w:space="0"/>
                    <w:right w:val="single" w:color="000000" w:sz="4" w:space="0"/>
                  </w:tcBorders>
                  <w:noWrap/>
                  <w:tcMar>
                    <w:top w:w="15" w:type="dxa"/>
                    <w:left w:w="15" w:type="dxa"/>
                    <w:right w:w="15" w:type="dxa"/>
                  </w:tcMar>
                  <w:vAlign w:val="center"/>
                </w:tcPr>
                <w:p w14:paraId="7B5E4939">
                  <w:pPr>
                    <w:widowControl/>
                    <w:jc w:val="center"/>
                    <w:textAlignment w:val="center"/>
                    <w:rPr>
                      <w:rFonts w:ascii="Times New Roman" w:hAnsi="Times New Roman" w:eastAsia="宋体" w:cs="Times New Roman"/>
                      <w:szCs w:val="21"/>
                    </w:rPr>
                  </w:pPr>
                  <w:r>
                    <w:rPr>
                      <w:rFonts w:ascii="Times New Roman" w:hAnsi="Times New Roman" w:eastAsia="宋体" w:cs="Times New Roman"/>
                      <w:szCs w:val="21"/>
                    </w:rPr>
                    <w:t>7</w:t>
                  </w:r>
                </w:p>
              </w:tc>
              <w:tc>
                <w:tcPr>
                  <w:tcW w:w="1402" w:type="pct"/>
                  <w:tcBorders>
                    <w:top w:val="single" w:color="000000" w:sz="4" w:space="0"/>
                    <w:left w:val="single" w:color="000000" w:sz="4" w:space="0"/>
                    <w:bottom w:val="single" w:color="auto" w:sz="12" w:space="0"/>
                    <w:right w:val="single" w:color="000000" w:sz="4" w:space="0"/>
                  </w:tcBorders>
                  <w:noWrap/>
                  <w:tcMar>
                    <w:top w:w="15" w:type="dxa"/>
                    <w:left w:w="15" w:type="dxa"/>
                    <w:right w:w="15" w:type="dxa"/>
                  </w:tcMar>
                  <w:vAlign w:val="center"/>
                </w:tcPr>
                <w:p w14:paraId="6B2BFFCC">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雾炮机</w:t>
                  </w:r>
                </w:p>
              </w:tc>
              <w:tc>
                <w:tcPr>
                  <w:tcW w:w="1582" w:type="pct"/>
                  <w:tcBorders>
                    <w:top w:val="single" w:color="000000" w:sz="4" w:space="0"/>
                    <w:left w:val="single" w:color="000000" w:sz="4" w:space="0"/>
                    <w:bottom w:val="single" w:color="auto" w:sz="12" w:space="0"/>
                    <w:right w:val="single" w:color="000000" w:sz="4" w:space="0"/>
                  </w:tcBorders>
                  <w:noWrap/>
                  <w:tcMar>
                    <w:top w:w="15" w:type="dxa"/>
                    <w:left w:w="15" w:type="dxa"/>
                    <w:right w:w="15" w:type="dxa"/>
                  </w:tcMar>
                  <w:vAlign w:val="center"/>
                </w:tcPr>
                <w:p w14:paraId="12012B20">
                  <w:pPr>
                    <w:widowControl/>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813" w:type="pct"/>
                  <w:tcBorders>
                    <w:top w:val="single" w:color="000000" w:sz="4" w:space="0"/>
                    <w:left w:val="single" w:color="000000" w:sz="4" w:space="0"/>
                    <w:bottom w:val="single" w:color="auto" w:sz="12" w:space="0"/>
                    <w:right w:val="single" w:color="000000" w:sz="4" w:space="0"/>
                  </w:tcBorders>
                  <w:noWrap/>
                  <w:tcMar>
                    <w:top w:w="15" w:type="dxa"/>
                    <w:left w:w="15" w:type="dxa"/>
                    <w:right w:w="15" w:type="dxa"/>
                  </w:tcMar>
                  <w:vAlign w:val="center"/>
                </w:tcPr>
                <w:p w14:paraId="51E02166">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台</w:t>
                  </w:r>
                </w:p>
              </w:tc>
              <w:tc>
                <w:tcPr>
                  <w:tcW w:w="811" w:type="pct"/>
                  <w:tcBorders>
                    <w:top w:val="single" w:color="000000" w:sz="4" w:space="0"/>
                    <w:left w:val="single" w:color="000000" w:sz="4" w:space="0"/>
                    <w:bottom w:val="single" w:color="auto" w:sz="12" w:space="0"/>
                    <w:right w:val="single" w:color="auto" w:sz="12" w:space="0"/>
                  </w:tcBorders>
                  <w:vAlign w:val="center"/>
                </w:tcPr>
                <w:p w14:paraId="1E6E176E">
                  <w:pPr>
                    <w:widowControl/>
                    <w:jc w:val="center"/>
                    <w:rPr>
                      <w:rFonts w:ascii="Times New Roman" w:hAnsi="Times New Roman" w:eastAsia="宋体" w:cs="Times New Roman"/>
                      <w:szCs w:val="21"/>
                    </w:rPr>
                  </w:pPr>
                  <w:r>
                    <w:rPr>
                      <w:rFonts w:hint="eastAsia" w:ascii="Times New Roman" w:hAnsi="Times New Roman" w:eastAsia="宋体" w:cs="Times New Roman"/>
                      <w:szCs w:val="21"/>
                    </w:rPr>
                    <w:t>4</w:t>
                  </w:r>
                </w:p>
              </w:tc>
            </w:tr>
          </w:tbl>
          <w:p w14:paraId="1F9DEB08">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五、能源供给与排水</w:t>
            </w:r>
          </w:p>
          <w:p w14:paraId="084E5C2A">
            <w:pPr>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（1）供电</w:t>
            </w:r>
          </w:p>
          <w:p w14:paraId="41327676">
            <w:pPr>
              <w:pStyle w:val="16"/>
              <w:spacing w:line="360" w:lineRule="auto"/>
              <w:ind w:left="0" w:firstLine="480" w:firstLineChars="200"/>
              <w:jc w:val="left"/>
              <w:rPr>
                <w:rFonts w:ascii="Times New Roman" w:hAnsi="Times New Roman" w:eastAsia="宋体" w:cs="Times New Roman"/>
              </w:rPr>
            </w:pPr>
            <w:r>
              <w:rPr>
                <w:rFonts w:ascii="Times New Roman" w:hAnsi="Times New Roman" w:eastAsia="宋体" w:cs="Times New Roman"/>
              </w:rPr>
              <w:t>项目厂区用电来自市政电网。</w:t>
            </w:r>
            <w:r>
              <w:rPr>
                <w:rFonts w:hint="eastAsia" w:ascii="Times New Roman" w:hAnsi="Times New Roman" w:eastAsia="宋体" w:cs="Times New Roman"/>
              </w:rPr>
              <w:t>不涉及一类、二类高层及多层建筑。其中消防设备及事故应急照明用电为一级；机械、水泵等重要设备用电为二级负荷，其余均为三级负荷。本项目采用中央集控，一人可实现全线控制。所有电器大于30</w:t>
            </w:r>
            <w:r>
              <w:rPr>
                <w:rFonts w:hint="eastAsia" w:ascii="Times New Roman" w:hAnsi="Times New Roman" w:eastAsia="宋体" w:cs="Times New Roman"/>
                <w:lang w:eastAsia="zh-CN"/>
              </w:rPr>
              <w:t>kW</w:t>
            </w:r>
            <w:r>
              <w:rPr>
                <w:rFonts w:hint="eastAsia" w:ascii="Times New Roman" w:hAnsi="Times New Roman" w:eastAsia="宋体" w:cs="Times New Roman"/>
              </w:rPr>
              <w:t>以上电机控制采用就近补偿，小型电动机采用集中补偿。</w:t>
            </w:r>
            <w:r>
              <w:rPr>
                <w:rFonts w:ascii="Times New Roman" w:hAnsi="Times New Roman" w:eastAsia="宋体" w:cs="Times New Roman"/>
              </w:rPr>
              <w:t>可满足厂区设施用电负荷。</w:t>
            </w:r>
          </w:p>
          <w:p w14:paraId="47F75BBB">
            <w:pPr>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（2）给排水</w:t>
            </w:r>
          </w:p>
          <w:p w14:paraId="7786E268">
            <w:pPr>
              <w:spacing w:line="360" w:lineRule="auto"/>
              <w:ind w:firstLine="480" w:firstLineChars="200"/>
              <w:rPr>
                <w:rFonts w:ascii="Times New Roman" w:hAnsi="Times New Roman" w:eastAsia="宋体" w:cs="Times New Roman"/>
                <w:bCs/>
                <w:sz w:val="24"/>
              </w:rPr>
            </w:pPr>
            <w:r>
              <w:rPr>
                <w:rFonts w:hint="eastAsia" w:ascii="宋体" w:hAnsi="宋体" w:eastAsia="宋体" w:cs="宋体"/>
                <w:bCs/>
                <w:sz w:val="24"/>
              </w:rPr>
              <w:t>①</w:t>
            </w:r>
            <w:r>
              <w:rPr>
                <w:rFonts w:ascii="Times New Roman" w:hAnsi="Times New Roman" w:eastAsia="宋体" w:cs="Times New Roman"/>
                <w:bCs/>
                <w:sz w:val="24"/>
              </w:rPr>
              <w:t>供水</w:t>
            </w:r>
          </w:p>
          <w:p w14:paraId="0CA8A8F2">
            <w:pPr>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项目用水主要为员工生活用水，生活用水水源</w:t>
            </w:r>
            <w:r>
              <w:rPr>
                <w:rFonts w:hint="eastAsia" w:ascii="Times New Roman" w:hAnsi="Times New Roman" w:eastAsia="宋体" w:cs="Times New Roman"/>
                <w:bCs/>
                <w:sz w:val="24"/>
              </w:rPr>
              <w:t>取自山泉水</w:t>
            </w:r>
            <w:r>
              <w:rPr>
                <w:rFonts w:ascii="Times New Roman" w:hAnsi="Times New Roman" w:eastAsia="宋体" w:cs="Times New Roman"/>
                <w:bCs/>
                <w:sz w:val="24"/>
              </w:rPr>
              <w:t>，供给项目办公、生</w:t>
            </w:r>
            <w:r>
              <w:rPr>
                <w:rFonts w:hint="eastAsia" w:ascii="Times New Roman" w:hAnsi="Times New Roman" w:eastAsia="宋体" w:cs="Times New Roman"/>
                <w:bCs/>
                <w:sz w:val="24"/>
              </w:rPr>
              <w:t>活</w:t>
            </w:r>
            <w:r>
              <w:rPr>
                <w:rFonts w:ascii="Times New Roman" w:hAnsi="Times New Roman" w:eastAsia="宋体" w:cs="Times New Roman"/>
                <w:bCs/>
                <w:sz w:val="24"/>
              </w:rPr>
              <w:t>用水。</w:t>
            </w:r>
          </w:p>
          <w:p w14:paraId="3D65F473">
            <w:pPr>
              <w:widowControl/>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bCs/>
                <w:sz w:val="24"/>
              </w:rPr>
              <w:t>i</w:t>
            </w:r>
            <w:r>
              <w:rPr>
                <w:rFonts w:hint="eastAsia" w:ascii="Times New Roman" w:hAnsi="Times New Roman" w:eastAsia="宋体" w:cs="Times New Roman"/>
                <w:bCs/>
                <w:sz w:val="24"/>
                <w:lang w:eastAsia="zh-CN"/>
              </w:rPr>
              <w:t>.</w:t>
            </w:r>
            <w:r>
              <w:rPr>
                <w:rFonts w:ascii="Times New Roman" w:hAnsi="Times New Roman" w:eastAsia="宋体" w:cs="Times New Roman"/>
                <w:bCs/>
                <w:sz w:val="24"/>
              </w:rPr>
              <w:t>生活用水</w:t>
            </w:r>
          </w:p>
          <w:p w14:paraId="0B5FC3E3">
            <w:pPr>
              <w:widowControl/>
              <w:spacing w:line="360" w:lineRule="auto"/>
              <w:ind w:firstLine="480" w:firstLineChars="200"/>
              <w:rPr>
                <w:rFonts w:ascii="Times New Roman" w:hAnsi="Times New Roman" w:eastAsia="宋体" w:cs="Times New Roman"/>
                <w:kern w:val="0"/>
                <w:sz w:val="24"/>
              </w:rPr>
            </w:pPr>
            <w:r>
              <w:rPr>
                <w:rFonts w:ascii="Times New Roman" w:hAnsi="Times New Roman" w:eastAsia="宋体" w:cs="Times New Roman"/>
                <w:kern w:val="0"/>
                <w:sz w:val="24"/>
              </w:rPr>
              <w:t>按《建筑给水排水设计规范》（GB50015-2009）表 3.1.10宿舍、旅馆和公共建筑生活用水定额及小时变化系数中：办公楼每人每班用水定额为30</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50L，本次以40L/人•班进行计算，项目生活办公用水为0.24m</w:t>
            </w:r>
            <w:r>
              <w:rPr>
                <w:rFonts w:ascii="Times New Roman" w:hAnsi="Times New Roman" w:eastAsia="宋体" w:cs="Times New Roman"/>
                <w:kern w:val="0"/>
                <w:sz w:val="24"/>
                <w:vertAlign w:val="superscript"/>
              </w:rPr>
              <w:t>3</w:t>
            </w:r>
            <w:r>
              <w:rPr>
                <w:rFonts w:ascii="Times New Roman" w:hAnsi="Times New Roman" w:eastAsia="宋体" w:cs="Times New Roman"/>
                <w:kern w:val="0"/>
                <w:sz w:val="24"/>
              </w:rPr>
              <w:t>/d</w:t>
            </w:r>
            <w:r>
              <w:rPr>
                <w:rFonts w:ascii="Times New Roman" w:hAnsi="Times New Roman" w:eastAsia="宋体" w:cs="Times New Roman"/>
                <w:sz w:val="24"/>
                <w:szCs w:val="22"/>
              </w:rPr>
              <w:t>（72m</w:t>
            </w:r>
            <w:r>
              <w:rPr>
                <w:rFonts w:ascii="Times New Roman" w:hAnsi="Times New Roman" w:eastAsia="宋体" w:cs="Times New Roman"/>
                <w:sz w:val="24"/>
                <w:szCs w:val="22"/>
                <w:vertAlign w:val="superscript"/>
              </w:rPr>
              <w:t>3</w:t>
            </w:r>
            <w:r>
              <w:rPr>
                <w:rFonts w:ascii="Times New Roman" w:hAnsi="Times New Roman" w:eastAsia="宋体" w:cs="Times New Roman"/>
                <w:sz w:val="24"/>
                <w:szCs w:val="22"/>
              </w:rPr>
              <w:t>/a）</w:t>
            </w:r>
            <w:r>
              <w:rPr>
                <w:rFonts w:ascii="Times New Roman" w:hAnsi="Times New Roman" w:eastAsia="宋体" w:cs="Times New Roman"/>
                <w:kern w:val="0"/>
                <w:sz w:val="24"/>
              </w:rPr>
              <w:t>。</w:t>
            </w:r>
          </w:p>
          <w:p w14:paraId="73EA825A">
            <w:pPr>
              <w:pStyle w:val="16"/>
              <w:spacing w:line="360" w:lineRule="auto"/>
              <w:ind w:left="0" w:firstLine="480" w:firstLineChars="200"/>
              <w:jc w:val="left"/>
              <w:rPr>
                <w:rFonts w:ascii="Times New Roman" w:hAnsi="Times New Roman" w:eastAsia="宋体" w:cs="Times New Roman"/>
                <w:kern w:val="0"/>
              </w:rPr>
            </w:pPr>
            <w:r>
              <w:rPr>
                <w:rFonts w:hint="eastAsia" w:ascii="Times New Roman" w:hAnsi="Times New Roman" w:eastAsia="宋体" w:cs="Times New Roman"/>
                <w:kern w:val="0"/>
                <w:lang w:eastAsia="zh-CN"/>
              </w:rPr>
              <w:t>Ⅱ</w:t>
            </w:r>
            <w:r>
              <w:rPr>
                <w:rFonts w:ascii="Times New Roman" w:hAnsi="Times New Roman" w:eastAsia="宋体" w:cs="Times New Roman"/>
                <w:kern w:val="0"/>
              </w:rPr>
              <w:t>、生产用水</w:t>
            </w:r>
          </w:p>
          <w:p w14:paraId="06979AF4">
            <w:pPr>
              <w:pStyle w:val="16"/>
              <w:spacing w:line="360" w:lineRule="auto"/>
              <w:ind w:left="0" w:firstLine="480" w:firstLineChars="200"/>
              <w:jc w:val="left"/>
              <w:rPr>
                <w:rFonts w:ascii="Times New Roman" w:hAnsi="Times New Roman" w:eastAsia="宋体" w:cs="Times New Roman"/>
              </w:rPr>
            </w:pPr>
            <w:r>
              <w:rPr>
                <w:rFonts w:ascii="Times New Roman" w:hAnsi="Times New Roman" w:eastAsia="宋体" w:cs="Times New Roman"/>
              </w:rPr>
              <w:t>降尘用水：厂区内设有雾炮机</w:t>
            </w:r>
            <w:r>
              <w:rPr>
                <w:rFonts w:hint="eastAsia" w:ascii="Times New Roman" w:hAnsi="Times New Roman" w:eastAsia="宋体" w:cs="Times New Roman"/>
              </w:rPr>
              <w:t>、喷淋装置</w:t>
            </w:r>
            <w:r>
              <w:rPr>
                <w:rFonts w:ascii="Times New Roman" w:hAnsi="Times New Roman" w:eastAsia="宋体" w:cs="Times New Roman"/>
              </w:rPr>
              <w:t>等，主要用于</w:t>
            </w:r>
            <w:r>
              <w:rPr>
                <w:rFonts w:hint="eastAsia" w:ascii="Times New Roman" w:hAnsi="Times New Roman" w:eastAsia="宋体" w:cs="Times New Roman"/>
              </w:rPr>
              <w:t>车间降尘、</w:t>
            </w:r>
            <w:r>
              <w:rPr>
                <w:rFonts w:ascii="Times New Roman" w:hAnsi="Times New Roman" w:eastAsia="宋体" w:cs="Times New Roman"/>
              </w:rPr>
              <w:t>破碎生产线、厂区洒水防尘，降尘用水量约为0.5m</w:t>
            </w:r>
            <w:r>
              <w:rPr>
                <w:rFonts w:ascii="Times New Roman" w:hAnsi="Times New Roman" w:eastAsia="宋体" w:cs="Times New Roman"/>
                <w:vertAlign w:val="superscript"/>
              </w:rPr>
              <w:t>3</w:t>
            </w:r>
            <w:r>
              <w:rPr>
                <w:rFonts w:ascii="Times New Roman" w:hAnsi="Times New Roman" w:eastAsia="宋体" w:cs="Times New Roman"/>
              </w:rPr>
              <w:t>/d，165m</w:t>
            </w:r>
            <w:r>
              <w:rPr>
                <w:rFonts w:ascii="Times New Roman" w:hAnsi="Times New Roman" w:eastAsia="宋体" w:cs="Times New Roman"/>
                <w:vertAlign w:val="superscript"/>
              </w:rPr>
              <w:t>3</w:t>
            </w:r>
            <w:r>
              <w:rPr>
                <w:rFonts w:ascii="Times New Roman" w:hAnsi="Times New Roman" w:eastAsia="宋体" w:cs="Times New Roman"/>
              </w:rPr>
              <w:t>/a。</w:t>
            </w:r>
          </w:p>
          <w:p w14:paraId="0120379E">
            <w:pPr>
              <w:pStyle w:val="16"/>
              <w:spacing w:line="360" w:lineRule="auto"/>
              <w:ind w:left="0" w:firstLine="480" w:firstLineChars="200"/>
              <w:jc w:val="left"/>
              <w:rPr>
                <w:rFonts w:ascii="Times New Roman" w:hAnsi="Times New Roman" w:eastAsia="宋体" w:cs="Times New Roman"/>
              </w:rPr>
            </w:pPr>
            <w:r>
              <w:rPr>
                <w:rFonts w:hint="eastAsia" w:ascii="Times New Roman" w:hAnsi="Times New Roman" w:eastAsia="宋体" w:cs="Times New Roman"/>
              </w:rPr>
              <w:t>轮胎冲洗用水</w:t>
            </w:r>
            <w:r>
              <w:rPr>
                <w:rFonts w:ascii="Times New Roman" w:hAnsi="Times New Roman" w:eastAsia="宋体" w:cs="Times New Roman"/>
              </w:rPr>
              <w:t>：</w:t>
            </w:r>
            <w:r>
              <w:rPr>
                <w:rFonts w:hint="eastAsia" w:ascii="Times New Roman" w:hAnsi="Times New Roman" w:eastAsia="宋体" w:cs="Times New Roman"/>
              </w:rPr>
              <w:t>厂区车辆运输进出厂轮胎冲洗</w:t>
            </w:r>
            <w:r>
              <w:rPr>
                <w:rFonts w:ascii="Times New Roman" w:hAnsi="Times New Roman" w:eastAsia="宋体" w:cs="Times New Roman"/>
              </w:rPr>
              <w:t>，防治扬尘，用水量约为1m</w:t>
            </w:r>
            <w:r>
              <w:rPr>
                <w:rFonts w:ascii="Times New Roman" w:hAnsi="Times New Roman" w:eastAsia="宋体" w:cs="Times New Roman"/>
                <w:vertAlign w:val="superscript"/>
              </w:rPr>
              <w:t>3</w:t>
            </w:r>
            <w:r>
              <w:rPr>
                <w:rFonts w:ascii="Times New Roman" w:hAnsi="Times New Roman" w:eastAsia="宋体" w:cs="Times New Roman"/>
              </w:rPr>
              <w:t>/d，300m</w:t>
            </w:r>
            <w:r>
              <w:rPr>
                <w:rFonts w:ascii="Times New Roman" w:hAnsi="Times New Roman" w:eastAsia="宋体" w:cs="Times New Roman"/>
                <w:vertAlign w:val="superscript"/>
              </w:rPr>
              <w:t>3</w:t>
            </w:r>
            <w:r>
              <w:rPr>
                <w:rFonts w:ascii="Times New Roman" w:hAnsi="Times New Roman" w:eastAsia="宋体" w:cs="Times New Roman"/>
              </w:rPr>
              <w:t>/a。</w:t>
            </w:r>
          </w:p>
          <w:p w14:paraId="4C026BFC">
            <w:pPr>
              <w:pStyle w:val="16"/>
              <w:spacing w:line="360" w:lineRule="auto"/>
              <w:ind w:left="0" w:firstLine="480" w:firstLineChars="200"/>
              <w:jc w:val="left"/>
              <w:rPr>
                <w:rFonts w:ascii="Times New Roman" w:hAnsi="Times New Roman" w:eastAsia="宋体" w:cs="Times New Roman"/>
                <w:kern w:val="0"/>
              </w:rPr>
            </w:pPr>
            <w:r>
              <w:rPr>
                <w:rFonts w:ascii="Times New Roman" w:hAnsi="Times New Roman" w:eastAsia="宋体" w:cs="Times New Roman"/>
              </w:rPr>
              <w:t>项目为湿法作业，根据其运行经验，</w:t>
            </w:r>
            <w:r>
              <w:rPr>
                <w:rFonts w:hint="eastAsia" w:ascii="Times New Roman" w:hAnsi="Times New Roman" w:eastAsia="宋体" w:cs="Times New Roman"/>
              </w:rPr>
              <w:t>湿法作业</w:t>
            </w:r>
            <w:r>
              <w:rPr>
                <w:rFonts w:ascii="Times New Roman" w:hAnsi="Times New Roman" w:eastAsia="宋体" w:cs="Times New Roman"/>
              </w:rPr>
              <w:t>用水体积比约为1.3，故项目湿法作业中需用水481m</w:t>
            </w:r>
            <w:r>
              <w:rPr>
                <w:rFonts w:ascii="Times New Roman" w:hAnsi="Times New Roman" w:eastAsia="宋体" w:cs="Times New Roman"/>
                <w:vertAlign w:val="superscript"/>
              </w:rPr>
              <w:t>3</w:t>
            </w:r>
            <w:r>
              <w:rPr>
                <w:rFonts w:ascii="Times New Roman" w:hAnsi="Times New Roman" w:eastAsia="宋体" w:cs="Times New Roman"/>
              </w:rPr>
              <w:t>/d，14.44万m</w:t>
            </w:r>
            <w:r>
              <w:rPr>
                <w:rFonts w:ascii="Times New Roman" w:hAnsi="Times New Roman" w:eastAsia="宋体" w:cs="Times New Roman"/>
                <w:vertAlign w:val="superscript"/>
              </w:rPr>
              <w:t>3</w:t>
            </w:r>
            <w:r>
              <w:rPr>
                <w:rFonts w:ascii="Times New Roman" w:hAnsi="Times New Roman" w:eastAsia="宋体" w:cs="Times New Roman"/>
              </w:rPr>
              <w:t>/a（回用384.8万m</w:t>
            </w:r>
            <w:r>
              <w:rPr>
                <w:rFonts w:ascii="Times New Roman" w:hAnsi="Times New Roman" w:eastAsia="宋体" w:cs="Times New Roman"/>
                <w:vertAlign w:val="superscript"/>
              </w:rPr>
              <w:t>3</w:t>
            </w:r>
            <w:r>
              <w:rPr>
                <w:rFonts w:ascii="Times New Roman" w:hAnsi="Times New Roman" w:eastAsia="宋体" w:cs="Times New Roman"/>
              </w:rPr>
              <w:t>/d，11.55万m</w:t>
            </w:r>
            <w:r>
              <w:rPr>
                <w:rFonts w:ascii="Times New Roman" w:hAnsi="Times New Roman" w:eastAsia="宋体" w:cs="Times New Roman"/>
                <w:vertAlign w:val="superscript"/>
              </w:rPr>
              <w:t>3</w:t>
            </w:r>
            <w:r>
              <w:rPr>
                <w:rFonts w:ascii="Times New Roman" w:hAnsi="Times New Roman" w:eastAsia="宋体" w:cs="Times New Roman"/>
              </w:rPr>
              <w:t>/a）。</w:t>
            </w:r>
          </w:p>
          <w:p w14:paraId="13F5763F">
            <w:pPr>
              <w:pStyle w:val="16"/>
              <w:spacing w:line="360" w:lineRule="auto"/>
              <w:ind w:left="0" w:firstLine="480" w:firstLineChars="200"/>
              <w:jc w:val="left"/>
              <w:rPr>
                <w:rFonts w:ascii="Times New Roman" w:hAnsi="Times New Roman" w:eastAsia="宋体" w:cs="Times New Roman"/>
                <w:kern w:val="0"/>
              </w:rPr>
            </w:pPr>
            <w:r>
              <w:rPr>
                <w:rFonts w:hint="eastAsia" w:ascii="宋体" w:hAnsi="宋体" w:eastAsia="宋体" w:cs="宋体"/>
                <w:kern w:val="0"/>
              </w:rPr>
              <w:t>②</w:t>
            </w:r>
            <w:r>
              <w:rPr>
                <w:rFonts w:ascii="Times New Roman" w:hAnsi="Times New Roman" w:eastAsia="宋体" w:cs="Times New Roman"/>
                <w:kern w:val="0"/>
              </w:rPr>
              <w:t>排水</w:t>
            </w:r>
          </w:p>
          <w:p w14:paraId="4AC609B5">
            <w:pPr>
              <w:pStyle w:val="16"/>
              <w:spacing w:line="360" w:lineRule="auto"/>
              <w:ind w:left="0" w:firstLine="480" w:firstLineChars="200"/>
              <w:jc w:val="left"/>
              <w:rPr>
                <w:rFonts w:ascii="Times New Roman" w:hAnsi="Times New Roman" w:eastAsia="宋体" w:cs="Times New Roman"/>
                <w:b/>
              </w:rPr>
            </w:pPr>
            <w:r>
              <w:rPr>
                <w:rFonts w:ascii="Times New Roman" w:hAnsi="Times New Roman" w:eastAsia="宋体" w:cs="Times New Roman"/>
                <w:kern w:val="0"/>
              </w:rPr>
              <w:t>i</w:t>
            </w:r>
            <w:r>
              <w:rPr>
                <w:rFonts w:hint="eastAsia" w:ascii="Times New Roman" w:hAnsi="Times New Roman" w:eastAsia="宋体" w:cs="Times New Roman"/>
                <w:kern w:val="0"/>
                <w:lang w:eastAsia="zh-CN"/>
              </w:rPr>
              <w:t>.</w:t>
            </w:r>
            <w:r>
              <w:rPr>
                <w:rFonts w:ascii="Times New Roman" w:hAnsi="Times New Roman" w:eastAsia="宋体" w:cs="Times New Roman"/>
                <w:kern w:val="0"/>
              </w:rPr>
              <w:t>项目采取雨污分流。雨水经雨水导排沟外排。</w:t>
            </w:r>
          </w:p>
          <w:p w14:paraId="2A6F2EC9">
            <w:pPr>
              <w:widowControl/>
              <w:spacing w:line="360" w:lineRule="auto"/>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lang w:eastAsia="zh-CN"/>
              </w:rPr>
              <w:t>Ⅱ</w:t>
            </w:r>
            <w:r>
              <w:rPr>
                <w:rFonts w:ascii="Times New Roman" w:hAnsi="Times New Roman" w:eastAsia="宋体" w:cs="Times New Roman"/>
                <w:kern w:val="0"/>
                <w:sz w:val="24"/>
              </w:rPr>
              <w:t>、项目用水主要为员工生活用水，生活污水</w:t>
            </w:r>
            <w:r>
              <w:rPr>
                <w:rFonts w:hint="eastAsia" w:ascii="Times New Roman" w:hAnsi="Times New Roman" w:eastAsia="宋体" w:cs="Times New Roman"/>
                <w:kern w:val="0"/>
                <w:sz w:val="24"/>
              </w:rPr>
              <w:t>经二级生化池处理后</w:t>
            </w:r>
            <w:r>
              <w:rPr>
                <w:rFonts w:ascii="Times New Roman" w:hAnsi="Times New Roman" w:eastAsia="宋体" w:cs="Times New Roman"/>
                <w:kern w:val="0"/>
                <w:sz w:val="24"/>
              </w:rPr>
              <w:t>定期清理用于周边农田灌溉，不直接外排。</w:t>
            </w:r>
          </w:p>
          <w:p w14:paraId="06629A2F">
            <w:pPr>
              <w:widowControl/>
              <w:spacing w:line="360" w:lineRule="auto"/>
              <w:ind w:firstLine="480" w:firstLineChars="200"/>
              <w:rPr>
                <w:rFonts w:ascii="Times New Roman" w:hAnsi="Times New Roman" w:eastAsia="宋体" w:cs="Times New Roman"/>
                <w:kern w:val="0"/>
                <w:sz w:val="24"/>
              </w:rPr>
            </w:pPr>
            <w:r>
              <w:rPr>
                <w:rFonts w:ascii="Times New Roman" w:hAnsi="Times New Roman" w:eastAsia="宋体" w:cs="Times New Roman"/>
                <w:kern w:val="0"/>
                <w:sz w:val="24"/>
              </w:rPr>
              <w:t>用水情况见下表。</w:t>
            </w:r>
          </w:p>
          <w:p w14:paraId="0FC1A34A">
            <w:pPr>
              <w:widowControl/>
              <w:spacing w:line="360" w:lineRule="auto"/>
              <w:jc w:val="center"/>
              <w:rPr>
                <w:rFonts w:ascii="Times New Roman" w:hAnsi="Times New Roman" w:eastAsia="宋体" w:cs="Times New Roman"/>
                <w:kern w:val="0"/>
                <w:sz w:val="24"/>
              </w:rPr>
            </w:pPr>
            <w:r>
              <w:rPr>
                <w:rFonts w:ascii="Times New Roman" w:hAnsi="Times New Roman" w:eastAsia="宋体" w:cs="Times New Roman"/>
                <w:snapToGrid w:val="0"/>
                <w:kern w:val="0"/>
                <w:sz w:val="24"/>
                <w:szCs w:val="24"/>
              </w:rPr>
              <w:t>表1-9  项目用水排水量估算表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1554"/>
              <w:gridCol w:w="1415"/>
              <w:gridCol w:w="1415"/>
              <w:gridCol w:w="1841"/>
              <w:gridCol w:w="1859"/>
            </w:tblGrid>
            <w:tr w14:paraId="6344EC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shd w:val="clear" w:color="auto" w:fill="auto"/>
                  <w:vAlign w:val="center"/>
                </w:tcPr>
                <w:p w14:paraId="12A219CA">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序号</w:t>
                  </w:r>
                </w:p>
              </w:tc>
              <w:tc>
                <w:tcPr>
                  <w:tcW w:w="1559" w:type="dxa"/>
                  <w:shd w:val="clear" w:color="auto" w:fill="auto"/>
                  <w:vAlign w:val="center"/>
                </w:tcPr>
                <w:p w14:paraId="6FC40DEE">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用水项目</w:t>
                  </w:r>
                </w:p>
              </w:tc>
              <w:tc>
                <w:tcPr>
                  <w:tcW w:w="1418" w:type="dxa"/>
                  <w:shd w:val="clear" w:color="auto" w:fill="auto"/>
                  <w:vAlign w:val="center"/>
                </w:tcPr>
                <w:p w14:paraId="4F576277">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用水规模</w:t>
                  </w:r>
                </w:p>
              </w:tc>
              <w:tc>
                <w:tcPr>
                  <w:tcW w:w="1417" w:type="dxa"/>
                  <w:shd w:val="clear" w:color="auto" w:fill="auto"/>
                  <w:vAlign w:val="center"/>
                </w:tcPr>
                <w:p w14:paraId="66694492">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用水定额</w:t>
                  </w:r>
                </w:p>
              </w:tc>
              <w:tc>
                <w:tcPr>
                  <w:tcW w:w="1843" w:type="dxa"/>
                  <w:shd w:val="clear" w:color="auto" w:fill="auto"/>
                  <w:vAlign w:val="center"/>
                </w:tcPr>
                <w:p w14:paraId="6F7890F8">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用水量</w:t>
                  </w:r>
                </w:p>
              </w:tc>
              <w:tc>
                <w:tcPr>
                  <w:tcW w:w="1863" w:type="dxa"/>
                  <w:shd w:val="clear" w:color="auto" w:fill="auto"/>
                  <w:vAlign w:val="center"/>
                </w:tcPr>
                <w:p w14:paraId="7F5E6490">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排水量</w:t>
                  </w:r>
                </w:p>
              </w:tc>
            </w:tr>
            <w:tr w14:paraId="24F9E9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shd w:val="clear" w:color="auto" w:fill="auto"/>
                  <w:vAlign w:val="center"/>
                </w:tcPr>
                <w:p w14:paraId="663F9A32">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559" w:type="dxa"/>
                  <w:shd w:val="clear" w:color="auto" w:fill="auto"/>
                  <w:vAlign w:val="center"/>
                </w:tcPr>
                <w:p w14:paraId="310B6E0B">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生活用水</w:t>
                  </w:r>
                </w:p>
              </w:tc>
              <w:tc>
                <w:tcPr>
                  <w:tcW w:w="1418" w:type="dxa"/>
                  <w:shd w:val="clear" w:color="auto" w:fill="auto"/>
                  <w:vAlign w:val="center"/>
                </w:tcPr>
                <w:p w14:paraId="1E897BD5">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6</w:t>
                  </w:r>
                </w:p>
              </w:tc>
              <w:tc>
                <w:tcPr>
                  <w:tcW w:w="1417" w:type="dxa"/>
                  <w:shd w:val="clear" w:color="auto" w:fill="auto"/>
                  <w:vAlign w:val="center"/>
                </w:tcPr>
                <w:p w14:paraId="1B605A12">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40L/人•班</w:t>
                  </w:r>
                </w:p>
              </w:tc>
              <w:tc>
                <w:tcPr>
                  <w:tcW w:w="1843" w:type="dxa"/>
                  <w:shd w:val="clear" w:color="auto" w:fill="auto"/>
                  <w:vAlign w:val="center"/>
                </w:tcPr>
                <w:p w14:paraId="5A6C2726">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0.24m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c>
                <w:tcPr>
                  <w:tcW w:w="1863" w:type="dxa"/>
                  <w:shd w:val="clear" w:color="auto" w:fill="auto"/>
                  <w:vAlign w:val="center"/>
                </w:tcPr>
                <w:p w14:paraId="0226C901">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0.19m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r>
            <w:tr w14:paraId="6CF2D6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shd w:val="clear" w:color="auto" w:fill="auto"/>
                  <w:vAlign w:val="center"/>
                </w:tcPr>
                <w:p w14:paraId="22901CA4">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559" w:type="dxa"/>
                  <w:shd w:val="clear" w:color="auto" w:fill="auto"/>
                  <w:vAlign w:val="center"/>
                </w:tcPr>
                <w:p w14:paraId="0DA78D82">
                  <w:pPr>
                    <w:pStyle w:val="16"/>
                    <w:spacing w:line="240" w:lineRule="auto"/>
                    <w:ind w:left="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轮胎冲洗</w:t>
                  </w:r>
                  <w:r>
                    <w:rPr>
                      <w:rFonts w:ascii="Times New Roman" w:hAnsi="Times New Roman" w:eastAsia="宋体" w:cs="Times New Roman"/>
                      <w:sz w:val="21"/>
                      <w:szCs w:val="21"/>
                    </w:rPr>
                    <w:t>用水</w:t>
                  </w:r>
                </w:p>
              </w:tc>
              <w:tc>
                <w:tcPr>
                  <w:tcW w:w="1418" w:type="dxa"/>
                  <w:shd w:val="clear" w:color="auto" w:fill="auto"/>
                  <w:vAlign w:val="center"/>
                </w:tcPr>
                <w:p w14:paraId="6FEC641A">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w:t>
                  </w:r>
                </w:p>
              </w:tc>
              <w:tc>
                <w:tcPr>
                  <w:tcW w:w="1417" w:type="dxa"/>
                  <w:shd w:val="clear" w:color="auto" w:fill="auto"/>
                  <w:vAlign w:val="center"/>
                </w:tcPr>
                <w:p w14:paraId="5AC93C45">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w:t>
                  </w:r>
                </w:p>
              </w:tc>
              <w:tc>
                <w:tcPr>
                  <w:tcW w:w="1843" w:type="dxa"/>
                  <w:shd w:val="clear" w:color="auto" w:fill="auto"/>
                  <w:vAlign w:val="center"/>
                </w:tcPr>
                <w:p w14:paraId="751A0299">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1m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c>
                <w:tcPr>
                  <w:tcW w:w="1863" w:type="dxa"/>
                  <w:shd w:val="clear" w:color="auto" w:fill="auto"/>
                  <w:vAlign w:val="center"/>
                </w:tcPr>
                <w:p w14:paraId="01E29821">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自然蒸发1m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r>
            <w:tr w14:paraId="68FF24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shd w:val="clear" w:color="auto" w:fill="auto"/>
                  <w:vAlign w:val="center"/>
                </w:tcPr>
                <w:p w14:paraId="19F23A57">
                  <w:pPr>
                    <w:pStyle w:val="16"/>
                    <w:spacing w:line="240" w:lineRule="auto"/>
                    <w:ind w:left="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3</w:t>
                  </w:r>
                </w:p>
              </w:tc>
              <w:tc>
                <w:tcPr>
                  <w:tcW w:w="1559" w:type="dxa"/>
                  <w:shd w:val="clear" w:color="auto" w:fill="auto"/>
                  <w:vAlign w:val="center"/>
                </w:tcPr>
                <w:p w14:paraId="7CB4CF01">
                  <w:pPr>
                    <w:pStyle w:val="16"/>
                    <w:spacing w:line="240" w:lineRule="auto"/>
                    <w:ind w:left="0"/>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降尘用水</w:t>
                  </w:r>
                </w:p>
              </w:tc>
              <w:tc>
                <w:tcPr>
                  <w:tcW w:w="1418" w:type="dxa"/>
                  <w:shd w:val="clear" w:color="auto" w:fill="auto"/>
                  <w:vAlign w:val="center"/>
                </w:tcPr>
                <w:p w14:paraId="3F764A6E">
                  <w:pPr>
                    <w:pStyle w:val="16"/>
                    <w:spacing w:line="240" w:lineRule="auto"/>
                    <w:ind w:left="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w:t>
                  </w:r>
                </w:p>
              </w:tc>
              <w:tc>
                <w:tcPr>
                  <w:tcW w:w="1417" w:type="dxa"/>
                  <w:shd w:val="clear" w:color="auto" w:fill="auto"/>
                  <w:vAlign w:val="center"/>
                </w:tcPr>
                <w:p w14:paraId="38123B8C">
                  <w:pPr>
                    <w:pStyle w:val="16"/>
                    <w:spacing w:line="240" w:lineRule="auto"/>
                    <w:ind w:left="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w:t>
                  </w:r>
                </w:p>
              </w:tc>
              <w:tc>
                <w:tcPr>
                  <w:tcW w:w="1843" w:type="dxa"/>
                  <w:shd w:val="clear" w:color="auto" w:fill="auto"/>
                  <w:vAlign w:val="center"/>
                </w:tcPr>
                <w:p w14:paraId="2E833EAE">
                  <w:pPr>
                    <w:pStyle w:val="16"/>
                    <w:spacing w:line="240" w:lineRule="auto"/>
                    <w:ind w:left="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0</w:t>
                  </w:r>
                  <w:r>
                    <w:rPr>
                      <w:rFonts w:ascii="Times New Roman" w:hAnsi="Times New Roman" w:eastAsia="宋体" w:cs="Times New Roman"/>
                      <w:sz w:val="21"/>
                      <w:szCs w:val="21"/>
                    </w:rPr>
                    <w:t>.5 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c>
                <w:tcPr>
                  <w:tcW w:w="1863" w:type="dxa"/>
                  <w:shd w:val="clear" w:color="auto" w:fill="auto"/>
                  <w:vAlign w:val="center"/>
                </w:tcPr>
                <w:p w14:paraId="7C08645C">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自然蒸发0.5m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r>
            <w:tr w14:paraId="54591F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shd w:val="clear" w:color="auto" w:fill="auto"/>
                  <w:vAlign w:val="center"/>
                </w:tcPr>
                <w:p w14:paraId="3B29FB49">
                  <w:pPr>
                    <w:pStyle w:val="16"/>
                    <w:spacing w:line="240" w:lineRule="auto"/>
                    <w:ind w:left="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4</w:t>
                  </w:r>
                </w:p>
              </w:tc>
              <w:tc>
                <w:tcPr>
                  <w:tcW w:w="1559" w:type="dxa"/>
                  <w:shd w:val="clear" w:color="auto" w:fill="auto"/>
                  <w:vAlign w:val="center"/>
                </w:tcPr>
                <w:p w14:paraId="5499FB02">
                  <w:pPr>
                    <w:pStyle w:val="16"/>
                    <w:spacing w:line="240" w:lineRule="auto"/>
                    <w:ind w:left="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湿法作业用水</w:t>
                  </w:r>
                </w:p>
              </w:tc>
              <w:tc>
                <w:tcPr>
                  <w:tcW w:w="1418" w:type="dxa"/>
                  <w:shd w:val="clear" w:color="auto" w:fill="auto"/>
                  <w:vAlign w:val="center"/>
                </w:tcPr>
                <w:p w14:paraId="323F4D40">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20</w:t>
                  </w:r>
                  <w:r>
                    <w:rPr>
                      <w:rFonts w:hint="eastAsia" w:ascii="Times New Roman" w:hAnsi="Times New Roman" w:eastAsia="宋体" w:cs="Times New Roman"/>
                      <w:sz w:val="21"/>
                      <w:szCs w:val="21"/>
                    </w:rPr>
                    <w:t>万吨（约1</w:t>
                  </w:r>
                  <w:r>
                    <w:rPr>
                      <w:rFonts w:ascii="Times New Roman" w:hAnsi="Times New Roman" w:eastAsia="宋体" w:cs="Times New Roman"/>
                      <w:sz w:val="21"/>
                      <w:szCs w:val="21"/>
                    </w:rPr>
                    <w:t>4.44</w:t>
                  </w:r>
                  <w:r>
                    <w:rPr>
                      <w:rFonts w:hint="eastAsia" w:ascii="Times New Roman" w:hAnsi="Times New Roman" w:eastAsia="宋体" w:cs="Times New Roman"/>
                      <w:sz w:val="21"/>
                      <w:szCs w:val="21"/>
                    </w:rPr>
                    <w:t>万</w:t>
                  </w:r>
                  <w:r>
                    <w:rPr>
                      <w:rFonts w:ascii="Times New Roman" w:hAnsi="Times New Roman" w:eastAsia="宋体" w:cs="Times New Roman"/>
                      <w:sz w:val="21"/>
                      <w:szCs w:val="21"/>
                    </w:rPr>
                    <w:t>m</w:t>
                  </w:r>
                  <w:r>
                    <w:rPr>
                      <w:rFonts w:ascii="Times New Roman" w:hAnsi="Times New Roman" w:eastAsia="宋体" w:cs="Times New Roman"/>
                      <w:sz w:val="21"/>
                      <w:szCs w:val="21"/>
                      <w:vertAlign w:val="superscript"/>
                    </w:rPr>
                    <w:t>3</w:t>
                  </w:r>
                  <w:r>
                    <w:rPr>
                      <w:rFonts w:hint="eastAsia" w:ascii="Times New Roman" w:hAnsi="Times New Roman" w:eastAsia="宋体" w:cs="Times New Roman"/>
                      <w:sz w:val="21"/>
                      <w:szCs w:val="21"/>
                    </w:rPr>
                    <w:t>）</w:t>
                  </w:r>
                </w:p>
              </w:tc>
              <w:tc>
                <w:tcPr>
                  <w:tcW w:w="1417" w:type="dxa"/>
                  <w:shd w:val="clear" w:color="auto" w:fill="auto"/>
                  <w:vAlign w:val="center"/>
                </w:tcPr>
                <w:p w14:paraId="41835BB4">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18"/>
                    </w:rPr>
                    <w:t>1.3m</w:t>
                  </w:r>
                  <w:r>
                    <w:rPr>
                      <w:rFonts w:ascii="Times New Roman" w:hAnsi="Times New Roman" w:eastAsia="宋体" w:cs="Times New Roman"/>
                      <w:sz w:val="21"/>
                      <w:szCs w:val="18"/>
                      <w:vertAlign w:val="superscript"/>
                    </w:rPr>
                    <w:t>3</w:t>
                  </w:r>
                  <w:r>
                    <w:rPr>
                      <w:rFonts w:ascii="Times New Roman" w:hAnsi="Times New Roman" w:eastAsia="宋体" w:cs="Times New Roman"/>
                      <w:sz w:val="21"/>
                      <w:szCs w:val="18"/>
                    </w:rPr>
                    <w:t>/m</w:t>
                  </w:r>
                  <w:r>
                    <w:rPr>
                      <w:rFonts w:ascii="Times New Roman" w:hAnsi="Times New Roman" w:eastAsia="宋体" w:cs="Times New Roman"/>
                      <w:sz w:val="21"/>
                      <w:szCs w:val="18"/>
                      <w:vertAlign w:val="superscript"/>
                    </w:rPr>
                    <w:t>3</w:t>
                  </w:r>
                  <w:r>
                    <w:rPr>
                      <w:rFonts w:hint="eastAsia" w:ascii="Times New Roman" w:hAnsi="Times New Roman" w:eastAsia="宋体" w:cs="Times New Roman"/>
                      <w:sz w:val="21"/>
                      <w:szCs w:val="18"/>
                    </w:rPr>
                    <w:t>原料</w:t>
                  </w:r>
                </w:p>
              </w:tc>
              <w:tc>
                <w:tcPr>
                  <w:tcW w:w="1843" w:type="dxa"/>
                  <w:shd w:val="clear" w:color="auto" w:fill="auto"/>
                  <w:vAlign w:val="center"/>
                </w:tcPr>
                <w:p w14:paraId="6761DEDB">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96.2m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r>
                    <w:rPr>
                      <w:rFonts w:hint="eastAsia" w:ascii="Times New Roman" w:hAnsi="Times New Roman" w:eastAsia="宋体" w:cs="Times New Roman"/>
                      <w:sz w:val="21"/>
                      <w:szCs w:val="21"/>
                    </w:rPr>
                    <w:t>（回用3</w:t>
                  </w:r>
                  <w:r>
                    <w:rPr>
                      <w:rFonts w:ascii="Times New Roman" w:hAnsi="Times New Roman" w:eastAsia="宋体" w:cs="Times New Roman"/>
                      <w:sz w:val="21"/>
                      <w:szCs w:val="21"/>
                    </w:rPr>
                    <w:t>84.8m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r>
                    <w:rPr>
                      <w:rFonts w:hint="eastAsia" w:ascii="Times New Roman" w:hAnsi="Times New Roman" w:eastAsia="宋体" w:cs="Times New Roman"/>
                      <w:sz w:val="21"/>
                      <w:szCs w:val="21"/>
                    </w:rPr>
                    <w:t>）</w:t>
                  </w:r>
                </w:p>
              </w:tc>
              <w:tc>
                <w:tcPr>
                  <w:tcW w:w="1863" w:type="dxa"/>
                  <w:shd w:val="clear" w:color="auto" w:fill="auto"/>
                  <w:vAlign w:val="center"/>
                </w:tcPr>
                <w:p w14:paraId="30AF68ED">
                  <w:pPr>
                    <w:pStyle w:val="16"/>
                    <w:spacing w:line="240" w:lineRule="auto"/>
                    <w:ind w:left="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循环使用，不外排</w:t>
                  </w:r>
                </w:p>
              </w:tc>
            </w:tr>
            <w:tr w14:paraId="363908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240" w:type="dxa"/>
                  <w:gridSpan w:val="4"/>
                  <w:shd w:val="clear" w:color="auto" w:fill="auto"/>
                  <w:vAlign w:val="center"/>
                </w:tcPr>
                <w:p w14:paraId="7A0BA5A0">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合计</w:t>
                  </w:r>
                </w:p>
              </w:tc>
              <w:tc>
                <w:tcPr>
                  <w:tcW w:w="1843" w:type="dxa"/>
                  <w:shd w:val="clear" w:color="auto" w:fill="auto"/>
                  <w:vAlign w:val="center"/>
                </w:tcPr>
                <w:p w14:paraId="2BDDE243">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97.94m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c>
                <w:tcPr>
                  <w:tcW w:w="1863" w:type="dxa"/>
                  <w:shd w:val="clear" w:color="auto" w:fill="auto"/>
                  <w:vAlign w:val="center"/>
                </w:tcPr>
                <w:p w14:paraId="7A3DF6FC">
                  <w:pPr>
                    <w:pStyle w:val="16"/>
                    <w:spacing w:line="240" w:lineRule="auto"/>
                    <w:ind w:left="0"/>
                    <w:jc w:val="center"/>
                    <w:rPr>
                      <w:rFonts w:ascii="Times New Roman" w:hAnsi="Times New Roman" w:eastAsia="宋体" w:cs="Times New Roman"/>
                      <w:sz w:val="21"/>
                      <w:szCs w:val="21"/>
                    </w:rPr>
                  </w:pPr>
                  <w:r>
                    <w:rPr>
                      <w:rFonts w:ascii="Times New Roman" w:hAnsi="Times New Roman" w:eastAsia="宋体" w:cs="Times New Roman"/>
                      <w:sz w:val="21"/>
                      <w:szCs w:val="21"/>
                    </w:rPr>
                    <w:t>1.69 m</w:t>
                  </w:r>
                  <w:r>
                    <w:rPr>
                      <w:rFonts w:ascii="Times New Roman" w:hAnsi="Times New Roman" w:eastAsia="宋体" w:cs="Times New Roman"/>
                      <w:sz w:val="21"/>
                      <w:szCs w:val="21"/>
                      <w:vertAlign w:val="superscript"/>
                    </w:rPr>
                    <w:t>3</w:t>
                  </w:r>
                  <w:r>
                    <w:rPr>
                      <w:rFonts w:ascii="Times New Roman" w:hAnsi="Times New Roman" w:eastAsia="宋体" w:cs="Times New Roman"/>
                      <w:sz w:val="21"/>
                      <w:szCs w:val="21"/>
                    </w:rPr>
                    <w:t>/d</w:t>
                  </w:r>
                </w:p>
              </w:tc>
            </w:tr>
          </w:tbl>
          <w:p w14:paraId="45135FA3">
            <w:pPr>
              <w:pStyle w:val="16"/>
              <w:spacing w:line="240" w:lineRule="auto"/>
              <w:ind w:left="0" w:firstLine="420" w:firstLineChars="200"/>
              <w:jc w:val="left"/>
              <w:rPr>
                <w:rFonts w:ascii="Times New Roman" w:hAnsi="Times New Roman" w:eastAsia="宋体" w:cs="Times New Roman"/>
                <w:sz w:val="21"/>
                <w:szCs w:val="21"/>
              </w:rPr>
            </w:pPr>
          </w:p>
        </w:tc>
      </w:tr>
      <w:tr w14:paraId="5B55C05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70" w:hRule="atLeast"/>
          <w:jc w:val="center"/>
        </w:trPr>
        <w:tc>
          <w:tcPr>
            <w:tcW w:w="9174" w:type="dxa"/>
            <w:gridSpan w:val="11"/>
            <w:tcBorders>
              <w:top w:val="single" w:color="auto" w:sz="4" w:space="0"/>
              <w:bottom w:val="single" w:color="auto" w:sz="4" w:space="0"/>
            </w:tcBorders>
            <w:vAlign w:val="center"/>
          </w:tcPr>
          <w:p w14:paraId="6B31649C">
            <w:pPr>
              <w:spacing w:before="180" w:after="180" w:line="480" w:lineRule="exact"/>
              <w:rPr>
                <w:rFonts w:ascii="Times New Roman" w:hAnsi="Times New Roman" w:eastAsia="宋体" w:cs="Times New Roman"/>
                <w:b/>
                <w:sz w:val="30"/>
                <w:szCs w:val="30"/>
              </w:rPr>
            </w:pPr>
            <w:r>
              <w:rPr>
                <w:rFonts w:ascii="Times New Roman" w:hAnsi="Times New Roman" w:eastAsia="宋体" w:cs="Times New Roman"/>
                <w:b/>
                <w:sz w:val="30"/>
                <w:szCs w:val="30"/>
              </w:rPr>
              <w:t>与本项目有关的原有污染情况及主要环境问题：</w:t>
            </w:r>
          </w:p>
          <w:p w14:paraId="60ED96FA">
            <w:pPr>
              <w:spacing w:line="360" w:lineRule="auto"/>
              <w:ind w:firstLine="468" w:firstLineChars="195"/>
              <w:jc w:val="left"/>
              <w:rPr>
                <w:rFonts w:ascii="Times New Roman" w:hAnsi="Times New Roman" w:eastAsia="宋体" w:cs="Times New Roman"/>
                <w:bCs/>
                <w:sz w:val="24"/>
              </w:rPr>
            </w:pPr>
            <w:r>
              <w:rPr>
                <w:rFonts w:hint="eastAsia" w:ascii="Times New Roman" w:hAnsi="Times New Roman" w:eastAsia="宋体" w:cs="Times New Roman"/>
                <w:bCs/>
                <w:sz w:val="24"/>
              </w:rPr>
              <w:t>本项目选址位于峨边彝族自治县新林镇卷木村4组、7组，项目</w:t>
            </w:r>
            <w:r>
              <w:rPr>
                <w:rFonts w:hint="eastAsia" w:ascii="Times New Roman" w:hAnsi="Times New Roman" w:eastAsia="宋体" w:cs="Times New Roman"/>
                <w:bCs/>
                <w:sz w:val="24"/>
                <w:szCs w:val="24"/>
              </w:rPr>
              <w:t>在原中铁十二局搅拌站遗留的已硬化场地上新建建筑垃圾资源化回收项目。本项目为新建项目，项目选址除料仓及办公生活区外已清场，无原有污染源，本项目周边为林地及其他砂石加工项目厂区。</w:t>
            </w:r>
            <w:r>
              <w:rPr>
                <w:rFonts w:hint="eastAsia" w:ascii="Times New Roman" w:hAnsi="Times New Roman" w:eastAsia="宋体" w:cs="Times New Roman"/>
                <w:bCs/>
                <w:color w:val="FF0000"/>
                <w:sz w:val="24"/>
                <w:szCs w:val="24"/>
              </w:rPr>
              <w:t>项目主要新建生产车间、辅助工程、环保工程等，用水、用电等公用工程及办公生活设施等均依托原项目清场后遗留设施。根据现场勘查，项目原为已退役中铁十二局搅拌站，厂址除遗留基础办公生活设施及仓储等外</w:t>
            </w:r>
            <w:r>
              <w:rPr>
                <w:rFonts w:hint="eastAsia" w:ascii="Times New Roman" w:hAnsi="Times New Roman" w:eastAsia="宋体" w:cs="Times New Roman"/>
                <w:bCs/>
                <w:sz w:val="24"/>
                <w:szCs w:val="24"/>
              </w:rPr>
              <w:t>无与本项目有关的原有环境污染情况。</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76"/>
              <w:gridCol w:w="4191"/>
            </w:tblGrid>
            <w:tr w14:paraId="60CFC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shd w:val="clear" w:color="auto" w:fill="auto"/>
                  <w:vAlign w:val="center"/>
                </w:tcPr>
                <w:p w14:paraId="15C5DAA7">
                  <w:pPr>
                    <w:jc w:val="center"/>
                    <w:rPr>
                      <w:rFonts w:ascii="Times New Roman" w:hAnsi="Times New Roman" w:eastAsia="宋体" w:cs="Times New Roman"/>
                      <w:bCs/>
                      <w:sz w:val="24"/>
                    </w:rPr>
                  </w:pPr>
                  <w:r>
                    <w:rPr>
                      <w:rFonts w:ascii="Times New Roman" w:hAnsi="Times New Roman" w:eastAsia="宋体" w:cs="Times New Roman"/>
                      <w:bCs/>
                      <w:sz w:val="24"/>
                    </w:rPr>
                    <w:drawing>
                      <wp:inline distT="0" distB="0" distL="0" distR="0">
                        <wp:extent cx="2514600" cy="2514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14600" cy="2514600"/>
                                </a:xfrm>
                                <a:prstGeom prst="rect">
                                  <a:avLst/>
                                </a:prstGeom>
                                <a:noFill/>
                                <a:ln>
                                  <a:noFill/>
                                </a:ln>
                              </pic:spPr>
                            </pic:pic>
                          </a:graphicData>
                        </a:graphic>
                      </wp:inline>
                    </w:drawing>
                  </w:r>
                </w:p>
              </w:tc>
              <w:tc>
                <w:tcPr>
                  <w:tcW w:w="0" w:type="auto"/>
                  <w:shd w:val="clear" w:color="auto" w:fill="auto"/>
                  <w:vAlign w:val="center"/>
                </w:tcPr>
                <w:p w14:paraId="6261E65F">
                  <w:pPr>
                    <w:jc w:val="center"/>
                    <w:rPr>
                      <w:rFonts w:ascii="Times New Roman" w:hAnsi="Times New Roman" w:eastAsia="宋体" w:cs="Times New Roman"/>
                      <w:bCs/>
                      <w:sz w:val="24"/>
                    </w:rPr>
                  </w:pPr>
                  <w:r>
                    <w:drawing>
                      <wp:inline distT="0" distB="0" distL="0" distR="0">
                        <wp:extent cx="2524125" cy="25241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24125" cy="2524125"/>
                                </a:xfrm>
                                <a:prstGeom prst="rect">
                                  <a:avLst/>
                                </a:prstGeom>
                                <a:noFill/>
                                <a:ln>
                                  <a:noFill/>
                                </a:ln>
                              </pic:spPr>
                            </pic:pic>
                          </a:graphicData>
                        </a:graphic>
                      </wp:inline>
                    </w:drawing>
                  </w:r>
                </w:p>
              </w:tc>
            </w:tr>
            <w:tr w14:paraId="69083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14:paraId="1D7B6D59">
                  <w:pPr>
                    <w:jc w:val="center"/>
                    <w:rPr>
                      <w:rFonts w:ascii="Times New Roman" w:hAnsi="Times New Roman" w:eastAsia="宋体" w:cs="Times New Roman"/>
                      <w:bCs/>
                      <w:sz w:val="24"/>
                    </w:rPr>
                  </w:pPr>
                  <w:r>
                    <w:rPr>
                      <w:rFonts w:hint="eastAsia" w:ascii="Times New Roman" w:hAnsi="Times New Roman" w:eastAsia="宋体" w:cs="Times New Roman"/>
                      <w:bCs/>
                      <w:sz w:val="24"/>
                    </w:rPr>
                    <w:t>项目北部厂区</w:t>
                  </w:r>
                </w:p>
              </w:tc>
              <w:tc>
                <w:tcPr>
                  <w:tcW w:w="0" w:type="auto"/>
                  <w:shd w:val="clear" w:color="auto" w:fill="auto"/>
                  <w:vAlign w:val="center"/>
                </w:tcPr>
                <w:p w14:paraId="231EA0B6">
                  <w:pPr>
                    <w:jc w:val="center"/>
                    <w:rPr>
                      <w:rFonts w:ascii="Times New Roman" w:hAnsi="Times New Roman" w:eastAsia="宋体" w:cs="Times New Roman"/>
                      <w:bCs/>
                      <w:sz w:val="24"/>
                    </w:rPr>
                  </w:pPr>
                  <w:r>
                    <w:rPr>
                      <w:rFonts w:hint="eastAsia" w:ascii="Times New Roman" w:hAnsi="Times New Roman" w:eastAsia="宋体" w:cs="Times New Roman"/>
                      <w:bCs/>
                      <w:sz w:val="24"/>
                    </w:rPr>
                    <w:t>项目南部厂区</w:t>
                  </w:r>
                </w:p>
              </w:tc>
            </w:tr>
          </w:tbl>
          <w:p w14:paraId="7AD29F76">
            <w:pPr>
              <w:spacing w:line="360" w:lineRule="auto"/>
              <w:ind w:firstLine="468" w:firstLineChars="195"/>
              <w:jc w:val="center"/>
              <w:rPr>
                <w:rFonts w:ascii="Times New Roman" w:hAnsi="Times New Roman" w:eastAsia="宋体" w:cs="Times New Roman"/>
                <w:bCs/>
                <w:sz w:val="24"/>
              </w:rPr>
            </w:pPr>
            <w:r>
              <w:rPr>
                <w:rFonts w:hint="eastAsia" w:ascii="Times New Roman" w:hAnsi="Times New Roman" w:eastAsia="宋体" w:cs="Times New Roman"/>
                <w:bCs/>
                <w:sz w:val="24"/>
              </w:rPr>
              <w:t>图1</w:t>
            </w:r>
            <w:r>
              <w:rPr>
                <w:rFonts w:ascii="Times New Roman" w:hAnsi="Times New Roman" w:eastAsia="宋体" w:cs="Times New Roman"/>
                <w:bCs/>
                <w:sz w:val="24"/>
              </w:rPr>
              <w:t xml:space="preserve">-2 </w:t>
            </w:r>
            <w:r>
              <w:rPr>
                <w:rFonts w:hint="eastAsia" w:ascii="Times New Roman" w:hAnsi="Times New Roman" w:eastAsia="宋体" w:cs="Times New Roman"/>
                <w:bCs/>
                <w:sz w:val="24"/>
              </w:rPr>
              <w:t>项目现场图</w:t>
            </w:r>
          </w:p>
          <w:p w14:paraId="7D3C5BF6">
            <w:pPr>
              <w:spacing w:line="360" w:lineRule="auto"/>
              <w:ind w:firstLine="468" w:firstLineChars="195"/>
              <w:jc w:val="left"/>
              <w:rPr>
                <w:rFonts w:ascii="Times New Roman" w:hAnsi="Times New Roman" w:eastAsia="宋体" w:cs="Times New Roman"/>
                <w:bCs/>
                <w:sz w:val="24"/>
              </w:rPr>
            </w:pPr>
          </w:p>
          <w:p w14:paraId="0FA0F45E">
            <w:pPr>
              <w:spacing w:line="360" w:lineRule="auto"/>
              <w:ind w:firstLine="468" w:firstLineChars="195"/>
              <w:jc w:val="left"/>
              <w:rPr>
                <w:rFonts w:ascii="Times New Roman" w:hAnsi="Times New Roman" w:eastAsia="宋体" w:cs="Times New Roman"/>
                <w:bCs/>
                <w:sz w:val="24"/>
              </w:rPr>
            </w:pPr>
          </w:p>
          <w:p w14:paraId="2CCB6156">
            <w:pPr>
              <w:spacing w:line="360" w:lineRule="auto"/>
              <w:ind w:firstLine="468" w:firstLineChars="195"/>
              <w:jc w:val="left"/>
              <w:rPr>
                <w:rFonts w:ascii="Times New Roman" w:hAnsi="Times New Roman" w:eastAsia="宋体" w:cs="Times New Roman"/>
                <w:bCs/>
                <w:sz w:val="24"/>
              </w:rPr>
            </w:pPr>
          </w:p>
          <w:p w14:paraId="1161FA02">
            <w:pPr>
              <w:spacing w:line="360" w:lineRule="auto"/>
              <w:ind w:firstLine="468" w:firstLineChars="195"/>
              <w:jc w:val="left"/>
              <w:rPr>
                <w:rFonts w:ascii="Times New Roman" w:hAnsi="Times New Roman" w:eastAsia="宋体" w:cs="Times New Roman"/>
                <w:bCs/>
                <w:sz w:val="24"/>
              </w:rPr>
            </w:pPr>
          </w:p>
          <w:p w14:paraId="76C0E96D">
            <w:pPr>
              <w:spacing w:line="360" w:lineRule="auto"/>
              <w:ind w:firstLine="468" w:firstLineChars="195"/>
              <w:jc w:val="left"/>
              <w:rPr>
                <w:rFonts w:ascii="Times New Roman" w:hAnsi="Times New Roman" w:eastAsia="宋体" w:cs="Times New Roman"/>
                <w:bCs/>
                <w:sz w:val="24"/>
              </w:rPr>
            </w:pPr>
          </w:p>
          <w:p w14:paraId="3228908F">
            <w:pPr>
              <w:spacing w:line="360" w:lineRule="auto"/>
              <w:ind w:firstLine="468" w:firstLineChars="195"/>
              <w:jc w:val="left"/>
              <w:rPr>
                <w:rFonts w:ascii="Times New Roman" w:hAnsi="Times New Roman" w:eastAsia="宋体" w:cs="Times New Roman"/>
                <w:bCs/>
                <w:sz w:val="24"/>
              </w:rPr>
            </w:pPr>
          </w:p>
          <w:p w14:paraId="4CF3C45D">
            <w:pPr>
              <w:spacing w:line="360" w:lineRule="auto"/>
              <w:ind w:firstLine="468" w:firstLineChars="195"/>
              <w:jc w:val="left"/>
              <w:rPr>
                <w:rFonts w:hint="eastAsia" w:ascii="Times New Roman" w:hAnsi="Times New Roman" w:eastAsia="宋体" w:cs="Times New Roman"/>
                <w:bCs/>
                <w:sz w:val="24"/>
              </w:rPr>
            </w:pPr>
          </w:p>
          <w:p w14:paraId="61C7FE78">
            <w:pPr>
              <w:spacing w:line="360" w:lineRule="auto"/>
              <w:ind w:firstLine="468" w:firstLineChars="195"/>
              <w:jc w:val="left"/>
              <w:rPr>
                <w:rFonts w:ascii="Times New Roman" w:hAnsi="Times New Roman" w:eastAsia="宋体" w:cs="Times New Roman"/>
                <w:bCs/>
                <w:sz w:val="24"/>
              </w:rPr>
            </w:pPr>
          </w:p>
          <w:p w14:paraId="507A35CF">
            <w:pPr>
              <w:spacing w:line="360" w:lineRule="auto"/>
              <w:ind w:firstLine="468" w:firstLineChars="195"/>
              <w:jc w:val="left"/>
              <w:rPr>
                <w:rFonts w:ascii="Times New Roman" w:hAnsi="Times New Roman" w:eastAsia="宋体" w:cs="Times New Roman"/>
                <w:bCs/>
                <w:sz w:val="24"/>
              </w:rPr>
            </w:pPr>
          </w:p>
          <w:p w14:paraId="7B6F1578">
            <w:pPr>
              <w:spacing w:line="360" w:lineRule="auto"/>
              <w:ind w:firstLine="468" w:firstLineChars="195"/>
              <w:jc w:val="left"/>
              <w:rPr>
                <w:rFonts w:ascii="Times New Roman" w:hAnsi="Times New Roman" w:eastAsia="宋体" w:cs="Times New Roman"/>
                <w:bCs/>
                <w:sz w:val="24"/>
              </w:rPr>
            </w:pPr>
          </w:p>
          <w:p w14:paraId="36E3CED5">
            <w:pPr>
              <w:spacing w:line="360" w:lineRule="auto"/>
              <w:ind w:firstLine="468" w:firstLineChars="195"/>
              <w:jc w:val="left"/>
              <w:rPr>
                <w:rFonts w:hint="eastAsia" w:ascii="Times New Roman" w:hAnsi="Times New Roman" w:eastAsia="宋体" w:cs="Times New Roman"/>
                <w:bCs/>
                <w:sz w:val="24"/>
              </w:rPr>
            </w:pPr>
          </w:p>
          <w:p w14:paraId="6F97A389">
            <w:pPr>
              <w:spacing w:line="360" w:lineRule="auto"/>
              <w:ind w:firstLine="468" w:firstLineChars="195"/>
              <w:jc w:val="left"/>
              <w:rPr>
                <w:rFonts w:ascii="Times New Roman" w:hAnsi="Times New Roman" w:eastAsia="宋体" w:cs="Times New Roman"/>
                <w:bCs/>
                <w:sz w:val="24"/>
              </w:rPr>
            </w:pPr>
          </w:p>
          <w:p w14:paraId="2769C438">
            <w:pPr>
              <w:spacing w:line="360" w:lineRule="auto"/>
              <w:ind w:firstLine="468" w:firstLineChars="195"/>
              <w:jc w:val="left"/>
              <w:rPr>
                <w:rFonts w:ascii="Times New Roman" w:hAnsi="Times New Roman" w:eastAsia="宋体" w:cs="Times New Roman"/>
                <w:bCs/>
                <w:sz w:val="24"/>
              </w:rPr>
            </w:pPr>
          </w:p>
          <w:p w14:paraId="1F995F27">
            <w:pPr>
              <w:spacing w:line="360" w:lineRule="auto"/>
              <w:ind w:firstLine="468" w:firstLineChars="195"/>
              <w:jc w:val="left"/>
              <w:rPr>
                <w:rFonts w:ascii="Times New Roman" w:hAnsi="Times New Roman" w:eastAsia="宋体" w:cs="Times New Roman"/>
                <w:bCs/>
                <w:sz w:val="24"/>
              </w:rPr>
            </w:pPr>
          </w:p>
          <w:p w14:paraId="047084E5">
            <w:pPr>
              <w:spacing w:line="360" w:lineRule="auto"/>
              <w:ind w:firstLine="468" w:firstLineChars="195"/>
              <w:jc w:val="left"/>
              <w:rPr>
                <w:rFonts w:ascii="Times New Roman" w:hAnsi="Times New Roman" w:eastAsia="宋体" w:cs="Times New Roman"/>
                <w:bCs/>
                <w:sz w:val="24"/>
              </w:rPr>
            </w:pPr>
          </w:p>
          <w:p w14:paraId="023F2B89">
            <w:pPr>
              <w:spacing w:line="360" w:lineRule="auto"/>
              <w:ind w:firstLine="468" w:firstLineChars="195"/>
              <w:jc w:val="left"/>
              <w:rPr>
                <w:rFonts w:ascii="Times New Roman" w:hAnsi="Times New Roman" w:eastAsia="宋体" w:cs="Times New Roman"/>
                <w:bCs/>
                <w:sz w:val="24"/>
              </w:rPr>
            </w:pPr>
          </w:p>
          <w:p w14:paraId="45B35FB8">
            <w:pPr>
              <w:spacing w:line="360" w:lineRule="auto"/>
              <w:ind w:firstLine="468" w:firstLineChars="195"/>
              <w:jc w:val="left"/>
              <w:rPr>
                <w:rFonts w:ascii="Times New Roman" w:hAnsi="Times New Roman" w:eastAsia="宋体" w:cs="Times New Roman"/>
                <w:bCs/>
                <w:sz w:val="24"/>
              </w:rPr>
            </w:pPr>
          </w:p>
          <w:p w14:paraId="7EB796AF">
            <w:pPr>
              <w:spacing w:line="360" w:lineRule="auto"/>
              <w:ind w:firstLine="468" w:firstLineChars="195"/>
              <w:jc w:val="left"/>
              <w:rPr>
                <w:rFonts w:hint="eastAsia" w:ascii="Times New Roman" w:hAnsi="Times New Roman" w:eastAsia="宋体" w:cs="Times New Roman"/>
                <w:bCs/>
                <w:sz w:val="24"/>
              </w:rPr>
            </w:pPr>
          </w:p>
          <w:p w14:paraId="60669B04">
            <w:pPr>
              <w:spacing w:line="360" w:lineRule="auto"/>
              <w:ind w:firstLine="468" w:firstLineChars="195"/>
              <w:jc w:val="left"/>
              <w:rPr>
                <w:rFonts w:ascii="Times New Roman" w:hAnsi="Times New Roman" w:eastAsia="宋体" w:cs="Times New Roman"/>
                <w:sz w:val="24"/>
                <w:szCs w:val="24"/>
              </w:rPr>
            </w:pPr>
          </w:p>
        </w:tc>
      </w:tr>
    </w:tbl>
    <w:p w14:paraId="03C0CC49">
      <w:pPr>
        <w:spacing w:line="20" w:lineRule="exact"/>
        <w:rPr>
          <w:rFonts w:ascii="Times New Roman" w:hAnsi="Times New Roman" w:eastAsia="宋体" w:cs="Times New Roman"/>
        </w:rPr>
      </w:pPr>
    </w:p>
    <w:p w14:paraId="1669B79B">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br w:type="page"/>
      </w:r>
      <w:r>
        <w:rPr>
          <w:rFonts w:ascii="Times New Roman" w:hAnsi="Times New Roman" w:eastAsia="宋体" w:cs="Times New Roman"/>
          <w:b/>
          <w:sz w:val="30"/>
          <w:szCs w:val="30"/>
        </w:rPr>
        <w:t>建设项目所在地自然环境简况（表二）</w:t>
      </w:r>
    </w:p>
    <w:tbl>
      <w:tblPr>
        <w:tblStyle w:val="26"/>
        <w:tblW w:w="91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74"/>
      </w:tblGrid>
      <w:tr w14:paraId="12A5F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9174" w:type="dxa"/>
            <w:vAlign w:val="center"/>
          </w:tcPr>
          <w:p w14:paraId="70B579CA">
            <w:pPr>
              <w:spacing w:before="180" w:after="180"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自然环境简况</w:t>
            </w:r>
            <w:r>
              <w:rPr>
                <w:rFonts w:hint="eastAsia" w:ascii="Times New Roman" w:hAnsi="Times New Roman" w:eastAsia="宋体" w:cs="Times New Roman"/>
                <w:b/>
                <w:sz w:val="28"/>
                <w:szCs w:val="28"/>
                <w:lang w:eastAsia="zh-CN"/>
              </w:rPr>
              <w:t>（</w:t>
            </w:r>
            <w:r>
              <w:rPr>
                <w:rFonts w:ascii="Times New Roman" w:hAnsi="Times New Roman" w:eastAsia="宋体" w:cs="Times New Roman"/>
                <w:b/>
                <w:sz w:val="28"/>
                <w:szCs w:val="28"/>
              </w:rPr>
              <w:t>地形、地貌、地质、气候、气象、水文、植被、生物多样性等</w:t>
            </w:r>
            <w:r>
              <w:rPr>
                <w:rFonts w:hint="eastAsia" w:ascii="Times New Roman" w:hAnsi="Times New Roman" w:eastAsia="宋体" w:cs="Times New Roman"/>
                <w:b/>
                <w:sz w:val="28"/>
                <w:szCs w:val="28"/>
                <w:lang w:eastAsia="zh-CN"/>
              </w:rPr>
              <w:t>）</w:t>
            </w:r>
            <w:r>
              <w:rPr>
                <w:rFonts w:ascii="Times New Roman" w:hAnsi="Times New Roman" w:eastAsia="宋体" w:cs="Times New Roman"/>
                <w:b/>
                <w:sz w:val="28"/>
                <w:szCs w:val="28"/>
              </w:rPr>
              <w:t>：</w:t>
            </w:r>
          </w:p>
          <w:p w14:paraId="7D0E3B55">
            <w:pPr>
              <w:spacing w:before="120" w:after="120" w:line="360" w:lineRule="auto"/>
              <w:rPr>
                <w:rFonts w:ascii="Times New Roman" w:hAnsi="Times New Roman" w:eastAsia="宋体" w:cs="Times New Roman"/>
                <w:b/>
                <w:sz w:val="28"/>
                <w:szCs w:val="28"/>
              </w:rPr>
            </w:pPr>
            <w:r>
              <w:rPr>
                <w:rFonts w:hint="eastAsia" w:ascii="Times New Roman" w:hAnsi="Times New Roman" w:eastAsia="宋体" w:cs="Times New Roman"/>
                <w:b/>
                <w:sz w:val="28"/>
                <w:szCs w:val="28"/>
              </w:rPr>
              <w:t>一、地理位置</w:t>
            </w:r>
          </w:p>
          <w:p w14:paraId="26071CF3">
            <w:pPr>
              <w:spacing w:line="360" w:lineRule="auto"/>
              <w:ind w:firstLine="480" w:firstLineChars="200"/>
              <w:rPr>
                <w:rFonts w:ascii="Times New Roman" w:hAnsi="Times New Roman" w:eastAsia="宋体" w:cs="Times New Roman"/>
                <w:sz w:val="24"/>
                <w:szCs w:val="24"/>
                <w:lang w:val="zh-CN"/>
              </w:rPr>
            </w:pPr>
            <w:r>
              <w:rPr>
                <w:rFonts w:hint="eastAsia" w:ascii="Times New Roman" w:hAnsi="Times New Roman" w:eastAsia="宋体" w:cs="Times New Roman"/>
                <w:sz w:val="24"/>
                <w:szCs w:val="24"/>
                <w:lang w:val="zh-CN"/>
              </w:rPr>
              <w:t>峨边位于四川省西南部的小凉山区，与佛教圣地峨眉山毗邻。县城沙坪镇介于东经</w:t>
            </w:r>
            <w:r>
              <w:rPr>
                <w:rFonts w:ascii="Times New Roman" w:hAnsi="Times New Roman" w:eastAsia="宋体" w:cs="Times New Roman"/>
                <w:sz w:val="24"/>
                <w:szCs w:val="24"/>
                <w:lang w:val="zh-CN"/>
              </w:rPr>
              <w:t>103°15′</w:t>
            </w:r>
            <w:r>
              <w:rPr>
                <w:rFonts w:hint="eastAsia" w:ascii="Times New Roman" w:hAnsi="Times New Roman" w:eastAsia="宋体" w:cs="Times New Roman"/>
                <w:sz w:val="24"/>
                <w:szCs w:val="24"/>
                <w:lang w:val="zh-CN"/>
              </w:rPr>
              <w:t>至</w:t>
            </w:r>
            <w:r>
              <w:rPr>
                <w:rFonts w:ascii="Times New Roman" w:hAnsi="Times New Roman" w:eastAsia="宋体" w:cs="Times New Roman"/>
                <w:sz w:val="24"/>
                <w:szCs w:val="24"/>
                <w:lang w:val="zh-CN"/>
              </w:rPr>
              <w:t>103°33′</w:t>
            </w:r>
            <w:r>
              <w:rPr>
                <w:rFonts w:hint="eastAsia" w:ascii="Times New Roman" w:hAnsi="Times New Roman" w:eastAsia="宋体" w:cs="Times New Roman"/>
                <w:sz w:val="24"/>
                <w:szCs w:val="24"/>
                <w:lang w:val="zh-CN"/>
              </w:rPr>
              <w:t>，北纬</w:t>
            </w:r>
            <w:r>
              <w:rPr>
                <w:rFonts w:ascii="Times New Roman" w:hAnsi="Times New Roman" w:eastAsia="宋体" w:cs="Times New Roman"/>
                <w:sz w:val="24"/>
                <w:szCs w:val="24"/>
                <w:lang w:val="zh-CN"/>
              </w:rPr>
              <w:t>29°15′</w:t>
            </w:r>
            <w:r>
              <w:rPr>
                <w:rFonts w:hint="eastAsia" w:ascii="Times New Roman" w:hAnsi="Times New Roman" w:eastAsia="宋体" w:cs="Times New Roman"/>
                <w:sz w:val="24"/>
                <w:szCs w:val="24"/>
                <w:lang w:val="zh-CN"/>
              </w:rPr>
              <w:t>之间。东西宽</w:t>
            </w:r>
            <w:r>
              <w:rPr>
                <w:rFonts w:ascii="Times New Roman" w:hAnsi="Times New Roman" w:eastAsia="宋体" w:cs="Times New Roman"/>
                <w:sz w:val="24"/>
                <w:szCs w:val="24"/>
                <w:lang w:val="zh-CN"/>
              </w:rPr>
              <w:t>56</w:t>
            </w:r>
            <w:r>
              <w:rPr>
                <w:rFonts w:hint="eastAsia" w:ascii="Times New Roman" w:hAnsi="Times New Roman" w:eastAsia="宋体" w:cs="Times New Roman"/>
                <w:sz w:val="24"/>
                <w:szCs w:val="24"/>
                <w:lang w:val="zh-CN"/>
              </w:rPr>
              <w:t>千米，南北长</w:t>
            </w:r>
            <w:r>
              <w:rPr>
                <w:rFonts w:ascii="Times New Roman" w:hAnsi="Times New Roman" w:eastAsia="宋体" w:cs="Times New Roman"/>
                <w:sz w:val="24"/>
                <w:szCs w:val="24"/>
                <w:lang w:val="zh-CN"/>
              </w:rPr>
              <w:t>73</w:t>
            </w:r>
            <w:r>
              <w:rPr>
                <w:rFonts w:hint="eastAsia" w:ascii="Times New Roman" w:hAnsi="Times New Roman" w:eastAsia="宋体" w:cs="Times New Roman"/>
                <w:sz w:val="24"/>
                <w:szCs w:val="24"/>
                <w:lang w:val="zh-CN"/>
              </w:rPr>
              <w:t>千米，全县幅员面积</w:t>
            </w:r>
            <w:r>
              <w:rPr>
                <w:rFonts w:ascii="Times New Roman" w:hAnsi="Times New Roman" w:eastAsia="宋体" w:cs="Times New Roman"/>
                <w:sz w:val="24"/>
                <w:szCs w:val="24"/>
                <w:lang w:val="zh-CN"/>
              </w:rPr>
              <w:t>2395.5</w:t>
            </w:r>
            <w:r>
              <w:rPr>
                <w:rFonts w:hint="eastAsia" w:ascii="Times New Roman" w:hAnsi="Times New Roman" w:eastAsia="宋体" w:cs="Times New Roman"/>
                <w:sz w:val="24"/>
                <w:szCs w:val="24"/>
                <w:lang w:val="zh-CN"/>
              </w:rPr>
              <w:t>平方千米。成（都）昆（明）铁路横越县城，省道</w:t>
            </w:r>
            <w:r>
              <w:rPr>
                <w:rFonts w:ascii="Times New Roman" w:hAnsi="Times New Roman" w:eastAsia="宋体" w:cs="Times New Roman"/>
                <w:sz w:val="24"/>
                <w:szCs w:val="24"/>
                <w:lang w:val="zh-CN"/>
              </w:rPr>
              <w:t>306</w:t>
            </w:r>
            <w:r>
              <w:rPr>
                <w:rFonts w:hint="eastAsia" w:ascii="Times New Roman" w:hAnsi="Times New Roman" w:eastAsia="宋体" w:cs="Times New Roman"/>
                <w:sz w:val="24"/>
                <w:szCs w:val="24"/>
                <w:lang w:val="zh-CN"/>
              </w:rPr>
              <w:t>线穿过县境，距乐山大佛</w:t>
            </w:r>
            <w:r>
              <w:rPr>
                <w:rFonts w:ascii="Times New Roman" w:hAnsi="Times New Roman" w:eastAsia="宋体" w:cs="Times New Roman"/>
                <w:sz w:val="24"/>
                <w:szCs w:val="24"/>
                <w:lang w:val="zh-CN"/>
              </w:rPr>
              <w:t>108</w:t>
            </w:r>
            <w:r>
              <w:rPr>
                <w:rFonts w:hint="eastAsia" w:ascii="Times New Roman" w:hAnsi="Times New Roman" w:eastAsia="宋体" w:cs="Times New Roman"/>
                <w:sz w:val="24"/>
                <w:szCs w:val="24"/>
                <w:lang w:val="zh-CN"/>
              </w:rPr>
              <w:t>千米，是通往大凉山的门户。</w:t>
            </w:r>
          </w:p>
          <w:p w14:paraId="79EE4D7F">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本项目位于峨边彝族自治县新林镇卷木村4组、7组（E103.2309°，N29.1976°）。项目地理位置见附图</w:t>
            </w:r>
            <w:r>
              <w:rPr>
                <w:rFonts w:ascii="Times New Roman" w:hAnsi="Times New Roman" w:eastAsia="宋体" w:cs="Times New Roman"/>
                <w:sz w:val="24"/>
                <w:szCs w:val="24"/>
              </w:rPr>
              <w:t>1</w:t>
            </w:r>
            <w:r>
              <w:rPr>
                <w:rFonts w:hint="eastAsia" w:ascii="Times New Roman" w:hAnsi="Times New Roman" w:eastAsia="宋体" w:cs="Times New Roman"/>
                <w:sz w:val="24"/>
                <w:szCs w:val="24"/>
              </w:rPr>
              <w:t>。</w:t>
            </w:r>
          </w:p>
          <w:p w14:paraId="461FFC52">
            <w:pPr>
              <w:spacing w:before="120" w:after="120" w:line="360" w:lineRule="auto"/>
              <w:rPr>
                <w:rFonts w:ascii="Times New Roman" w:hAnsi="Times New Roman" w:eastAsia="宋体" w:cs="Times New Roman"/>
                <w:b/>
                <w:sz w:val="28"/>
                <w:szCs w:val="28"/>
              </w:rPr>
            </w:pPr>
            <w:r>
              <w:rPr>
                <w:rFonts w:hint="eastAsia" w:ascii="Times New Roman" w:hAnsi="Times New Roman" w:eastAsia="宋体" w:cs="Times New Roman"/>
                <w:b/>
                <w:sz w:val="28"/>
                <w:szCs w:val="28"/>
              </w:rPr>
              <w:t>二、地质、地形、地貌</w:t>
            </w:r>
          </w:p>
          <w:p w14:paraId="541FA0F1">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自治县地处四川盆地与云贵高原的过渡地带，属亚热带湿润季风气候，境内群山耸峙、山峦重叠、沟壑纵横、高差悬殊，最高马鞍山主峰海拔4288米，最低海拔469米。相对高差悬殊达3800米，形成西南高东北低逐渐倾斜地势。由于高差悬殊，使得地貌、气候、植被、土壤及农业利用方式，都呈现出明显的垂直分布规律。</w:t>
            </w:r>
          </w:p>
          <w:p w14:paraId="5C6E1E82">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厂区属四川盆地西南边缘大渡河北岸中、高山，中深切割区，总体地势西部较高，南、北、东三边皆为沟谷。最高海拔1410m，最低海拔940m，相对高差470m。区内多圆顶山，馒头山，因出露地层以碳酸盐岩石为主，岩溶地貌较为发育，溶蚀漏斗、溶蚀洼地、溶洞和溶丘较发育。</w:t>
            </w:r>
          </w:p>
          <w:p w14:paraId="07953CB8">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按《四川省工程地质分区图》划分，厂区属玉龙复式向斜次级褶皱为子岗鼻状宽缓向斜南东翼，区内断裂构造不发育。受2008年 “5.12汶川”大地震及2013年“4.20芦山”地震影响，本区均有十分明显的震感，且使部份房屋产生裂缝，因此，本区为地震波及区。按《建筑抗震设计规范》（GB50011—2010）规定，乐山市</w:t>
            </w:r>
            <w:r>
              <w:rPr>
                <w:rFonts w:hint="eastAsia" w:ascii="Times New Roman" w:hAnsi="Times New Roman" w:eastAsia="宋体" w:cs="Times New Roman"/>
                <w:sz w:val="24"/>
                <w:szCs w:val="24"/>
                <w:lang w:eastAsia="zh-CN"/>
              </w:rPr>
              <w:t>峨边彝族自治县</w:t>
            </w:r>
            <w:r>
              <w:rPr>
                <w:rFonts w:hint="eastAsia" w:ascii="Times New Roman" w:hAnsi="Times New Roman" w:eastAsia="宋体" w:cs="Times New Roman"/>
                <w:sz w:val="24"/>
                <w:szCs w:val="24"/>
              </w:rPr>
              <w:t>抗震设防烈度为7度，设计基本地震加速度值为0.10g，属设计地震第二组，区域上处于不稳定区。目前该区域岩层结构相对较完整稳定，除局部地段有小规模的崩塌外，其余地段均无大面积崩塌、滑坡、泥石流等地质灾害现象。</w:t>
            </w:r>
          </w:p>
          <w:p w14:paraId="03470A02">
            <w:pPr>
              <w:spacing w:before="120" w:after="120" w:line="360" w:lineRule="auto"/>
              <w:rPr>
                <w:rFonts w:ascii="Times New Roman" w:hAnsi="Times New Roman" w:eastAsia="宋体" w:cs="Times New Roman"/>
                <w:b/>
                <w:sz w:val="28"/>
                <w:szCs w:val="28"/>
              </w:rPr>
            </w:pPr>
            <w:r>
              <w:rPr>
                <w:rFonts w:hint="eastAsia" w:ascii="Times New Roman" w:hAnsi="Times New Roman" w:eastAsia="宋体" w:cs="Times New Roman"/>
                <w:b/>
                <w:sz w:val="28"/>
                <w:szCs w:val="28"/>
              </w:rPr>
              <w:t>三、气候特征</w:t>
            </w:r>
          </w:p>
          <w:p w14:paraId="575793D1">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rPr>
              <w:t>峨边属亚热带湿润季风气候，由于地形高差悬殊，气温随</w:t>
            </w:r>
            <w:r>
              <w:rPr>
                <w:rFonts w:hint="eastAsia" w:ascii="Times New Roman" w:hAnsi="Times New Roman" w:eastAsia="宋体" w:cs="Times New Roman"/>
                <w:sz w:val="24"/>
                <w:lang w:eastAsia="zh-CN"/>
              </w:rPr>
              <w:t>海拔</w:t>
            </w:r>
            <w:r>
              <w:rPr>
                <w:rFonts w:hint="eastAsia" w:ascii="Times New Roman" w:hAnsi="Times New Roman" w:eastAsia="宋体" w:cs="Times New Roman"/>
                <w:sz w:val="24"/>
              </w:rPr>
              <w:t>而异，垂直差异明显，形成“一山分四季，十里不同天；山顶戴雪帽，山脚百花鲜”的小凉山区气象景观。具有气</w:t>
            </w:r>
            <w:r>
              <w:rPr>
                <w:rFonts w:hint="eastAsia" w:ascii="Times New Roman" w:hAnsi="Times New Roman" w:eastAsia="宋体" w:cs="Times New Roman"/>
                <w:sz w:val="24"/>
                <w:szCs w:val="24"/>
              </w:rPr>
              <w:t>候温和，雨量充沛，云雾多，湿度大，光照少，无霜期长，农业气候四季分明，有春迟、夏短、秋早、冬长的特点。</w:t>
            </w:r>
          </w:p>
          <w:p w14:paraId="55CE8F65">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县境内气温年平均为16.6℃，极端高温为35.7℃，极端低温为－3.2℃。7月最热，月平均为25.3℃；1月最冷，月平均为6.5℃。</w:t>
            </w:r>
            <w:r>
              <w:rPr>
                <w:rFonts w:hint="eastAsia" w:ascii="Times New Roman" w:hAnsi="Times New Roman" w:eastAsia="宋体" w:cs="Times New Roman"/>
                <w:sz w:val="24"/>
                <w:szCs w:val="24"/>
                <w:lang w:eastAsia="zh-CN"/>
              </w:rPr>
              <w:t>年际变化</w:t>
            </w:r>
            <w:r>
              <w:rPr>
                <w:rFonts w:hint="eastAsia" w:ascii="Times New Roman" w:hAnsi="Times New Roman" w:eastAsia="宋体" w:cs="Times New Roman"/>
                <w:sz w:val="24"/>
                <w:szCs w:val="24"/>
              </w:rPr>
              <w:t>微小，高低相差1℃。历年日照平均总时数为1049.3时，日平均近6小时，实照时数占全年可照时数的24％。日照时数随</w:t>
            </w:r>
            <w:r>
              <w:rPr>
                <w:rFonts w:hint="eastAsia" w:ascii="Times New Roman" w:hAnsi="Times New Roman" w:eastAsia="宋体" w:cs="Times New Roman"/>
                <w:sz w:val="24"/>
                <w:szCs w:val="24"/>
                <w:lang w:eastAsia="zh-CN"/>
              </w:rPr>
              <w:t>海拔</w:t>
            </w:r>
            <w:r>
              <w:rPr>
                <w:rFonts w:hint="eastAsia" w:ascii="Times New Roman" w:hAnsi="Times New Roman" w:eastAsia="宋体" w:cs="Times New Roman"/>
                <w:sz w:val="24"/>
                <w:szCs w:val="24"/>
              </w:rPr>
              <w:t>不同而变化各异。</w:t>
            </w:r>
          </w:p>
          <w:p w14:paraId="705FF7B2">
            <w:pPr>
              <w:adjustRightInd w:val="0"/>
              <w:snapToGrid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szCs w:val="24"/>
              </w:rPr>
              <w:t>降水：在县境内随着海拔高低而分布不均。低山河谷区历年平均降水量为831.9毫米，中山区降水量年均</w:t>
            </w:r>
            <w:r>
              <w:rPr>
                <w:rFonts w:hint="eastAsia" w:ascii="Times New Roman" w:hAnsi="Times New Roman" w:eastAsia="宋体" w:cs="Times New Roman"/>
                <w:sz w:val="24"/>
              </w:rPr>
              <w:t>为1000毫米左右，高山区年均降水量为1000－1500毫米，海拔在2250米以上的原始森林区，年降水量在1500－2000毫米。降水分配不均，降水量从东北向西南逐渐递减，年度变化率在23－16％左右，例如东部的五渡镇龚嘴地带，年均降水量1275.5毫米，在西南部的勒乌乡地区，年均降水量则为725.5毫米，并形成冬干、春旱、夏洪、秋涝的气象特点。</w:t>
            </w:r>
          </w:p>
          <w:p w14:paraId="2CAE57FC">
            <w:pPr>
              <w:spacing w:before="120" w:after="120" w:line="360" w:lineRule="auto"/>
              <w:rPr>
                <w:rFonts w:ascii="Times New Roman" w:hAnsi="Times New Roman" w:eastAsia="宋体" w:cs="Times New Roman"/>
                <w:b/>
                <w:sz w:val="28"/>
                <w:szCs w:val="28"/>
              </w:rPr>
            </w:pPr>
            <w:r>
              <w:rPr>
                <w:rFonts w:hint="eastAsia" w:ascii="Times New Roman" w:hAnsi="Times New Roman" w:eastAsia="宋体" w:cs="Times New Roman"/>
                <w:b/>
                <w:sz w:val="28"/>
                <w:szCs w:val="28"/>
              </w:rPr>
              <w:t>四、水文特征</w:t>
            </w:r>
          </w:p>
          <w:p w14:paraId="37721CD0">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县境内河流众多，均属大渡河水系，水源丰富，水质优良。最大河流为大渡河，是全国重点治理开发的河流之一。大渡河从西北的金口河流入境内，而后转为东西向，流经本县的宜坪、沙坪、新场、共和、毛坪、龚嘴电站至五渡等六个乡镇，流入沙湾区，县境流程68公里。</w:t>
            </w:r>
          </w:p>
          <w:p w14:paraId="2FC82F3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除大渡河之外，县境内还有常年性全程流水的大小河流42条。集雨面积在100平方公里以上的主要溪河有8条，总长309.1公里，集雨面积共1836平方公里，水面积合计4700余亩，它们发源于高山原始森林或岩层涌泉，蜿蜒于崇山峻岭之中，水质清澈甘醇，流量稳定，洪枯季节变数不大。</w:t>
            </w:r>
          </w:p>
          <w:p w14:paraId="2DC8B1D7">
            <w:pPr>
              <w:spacing w:before="120" w:after="120" w:line="360" w:lineRule="auto"/>
              <w:rPr>
                <w:rFonts w:ascii="Times New Roman" w:hAnsi="Times New Roman" w:eastAsia="宋体" w:cs="Times New Roman"/>
                <w:b/>
                <w:sz w:val="28"/>
                <w:szCs w:val="28"/>
              </w:rPr>
            </w:pPr>
            <w:r>
              <w:rPr>
                <w:rFonts w:hint="eastAsia" w:ascii="Times New Roman" w:hAnsi="Times New Roman" w:eastAsia="宋体" w:cs="Times New Roman"/>
                <w:b/>
                <w:sz w:val="28"/>
                <w:szCs w:val="28"/>
              </w:rPr>
              <w:t>五、矿产资源概况</w:t>
            </w:r>
          </w:p>
          <w:p w14:paraId="075B62EB">
            <w:pPr>
              <w:spacing w:before="120" w:after="12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峨边彝族自治县境内已发现矿产种类有：可燃有机岩、黑色金属、有色金属、贵金属、非金属和食用</w:t>
            </w:r>
            <w:r>
              <w:rPr>
                <w:rFonts w:hint="eastAsia" w:ascii="Times New Roman" w:hAnsi="Times New Roman" w:eastAsia="宋体" w:cs="Times New Roman"/>
                <w:sz w:val="24"/>
                <w:szCs w:val="24"/>
                <w:lang w:eastAsia="zh-CN"/>
              </w:rPr>
              <w:t>微量元素</w:t>
            </w:r>
            <w:r>
              <w:rPr>
                <w:rFonts w:hint="eastAsia" w:ascii="Times New Roman" w:hAnsi="Times New Roman" w:eastAsia="宋体" w:cs="Times New Roman"/>
                <w:sz w:val="24"/>
                <w:szCs w:val="24"/>
              </w:rPr>
              <w:t>补充剂六大类，主要矿种有：煤、铁、铜、铅、锌、铝、砂、金、硬质耐火粘土、熔剂石灰岩、硫铁、重晶石、磷块岩、伊利石、水泥原料石灰岩、钾长石、脉石英、石膏、石棉、水晶、大理岩、花岗岩、方解石、石墨、玄武岩、砖瓦粘土及饮用矿泉水和医疗温泉等</w:t>
            </w:r>
            <w:r>
              <w:rPr>
                <w:rFonts w:ascii="Times New Roman" w:hAnsi="Times New Roman" w:eastAsia="宋体" w:cs="Times New Roman"/>
                <w:sz w:val="24"/>
                <w:szCs w:val="24"/>
              </w:rPr>
              <w:t>28</w:t>
            </w:r>
            <w:r>
              <w:rPr>
                <w:rFonts w:hint="eastAsia" w:ascii="Times New Roman" w:hAnsi="Times New Roman" w:eastAsia="宋体" w:cs="Times New Roman"/>
                <w:sz w:val="24"/>
                <w:szCs w:val="24"/>
              </w:rPr>
              <w:t>个矿种。</w:t>
            </w:r>
          </w:p>
          <w:p w14:paraId="57EE94BB">
            <w:pPr>
              <w:spacing w:before="120" w:after="120"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根据现场调查，项目评价范围内无珍稀、濒危动植物，无生态保护物种和自然保护区等生态敏感点，不在拟定的生态红线区内。</w:t>
            </w:r>
          </w:p>
          <w:p w14:paraId="76CCAF15">
            <w:pPr>
              <w:spacing w:before="120" w:after="120" w:line="360" w:lineRule="auto"/>
              <w:rPr>
                <w:rFonts w:ascii="Times New Roman" w:hAnsi="Times New Roman" w:eastAsia="宋体" w:cs="Times New Roman"/>
                <w:b/>
                <w:sz w:val="28"/>
                <w:szCs w:val="28"/>
              </w:rPr>
            </w:pPr>
            <w:r>
              <w:rPr>
                <w:rFonts w:hint="eastAsia" w:ascii="Times New Roman" w:hAnsi="Times New Roman" w:eastAsia="宋体" w:cs="Times New Roman"/>
                <w:b/>
                <w:sz w:val="28"/>
                <w:szCs w:val="28"/>
              </w:rPr>
              <w:t>六、主要植被及动物资源</w:t>
            </w:r>
            <w:r>
              <w:rPr>
                <w:rFonts w:ascii="Times New Roman" w:hAnsi="Times New Roman" w:eastAsia="宋体" w:cs="Times New Roman"/>
                <w:b/>
                <w:sz w:val="28"/>
                <w:szCs w:val="28"/>
              </w:rPr>
              <w:t xml:space="preserve">  </w:t>
            </w:r>
          </w:p>
          <w:p w14:paraId="2565C113">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峨边彝族自治县森林植被属于亚热带常绿阔叶林区，川东盆地偏湿性常绿阔叶林亚带，全县森林覆盖率为</w:t>
            </w:r>
            <w:r>
              <w:rPr>
                <w:rFonts w:ascii="Times New Roman" w:hAnsi="Times New Roman" w:eastAsia="宋体" w:cs="Times New Roman"/>
                <w:sz w:val="24"/>
                <w:szCs w:val="24"/>
              </w:rPr>
              <w:t>42%</w:t>
            </w:r>
            <w:r>
              <w:rPr>
                <w:rFonts w:hint="eastAsia" w:ascii="Times New Roman" w:hAnsi="Times New Roman" w:eastAsia="宋体" w:cs="Times New Roman"/>
                <w:sz w:val="24"/>
                <w:szCs w:val="24"/>
              </w:rPr>
              <w:t>，河源地区森林覆盖率达</w:t>
            </w:r>
            <w:r>
              <w:rPr>
                <w:rFonts w:ascii="Times New Roman" w:hAnsi="Times New Roman" w:eastAsia="宋体" w:cs="Times New Roman"/>
                <w:sz w:val="24"/>
                <w:szCs w:val="24"/>
              </w:rPr>
              <w:t>62.2%</w:t>
            </w:r>
            <w:r>
              <w:rPr>
                <w:rFonts w:hint="eastAsia" w:ascii="Times New Roman" w:hAnsi="Times New Roman" w:eastAsia="宋体" w:cs="Times New Roman"/>
                <w:sz w:val="24"/>
                <w:szCs w:val="24"/>
              </w:rPr>
              <w:t>。由于受山地地形制约，形成了相应的山地生物垂直带，植被垂直带谱明显，由低到高依次为：</w:t>
            </w:r>
          </w:p>
          <w:p w14:paraId="4BACC6E6">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海拔</w:t>
            </w:r>
            <w:r>
              <w:rPr>
                <w:rFonts w:ascii="Times New Roman" w:hAnsi="Times New Roman" w:eastAsia="宋体" w:cs="Times New Roman"/>
                <w:sz w:val="24"/>
                <w:szCs w:val="24"/>
              </w:rPr>
              <w:t>1300</w:t>
            </w:r>
            <w:r>
              <w:rPr>
                <w:rFonts w:hint="eastAsia" w:ascii="Times New Roman" w:hAnsi="Times New Roman" w:eastAsia="宋体" w:cs="Times New Roman"/>
                <w:sz w:val="24"/>
                <w:szCs w:val="24"/>
              </w:rPr>
              <w:t>～</w:t>
            </w:r>
            <w:r>
              <w:rPr>
                <w:rFonts w:ascii="Times New Roman" w:hAnsi="Times New Roman" w:eastAsia="宋体" w:cs="Times New Roman"/>
                <w:sz w:val="24"/>
                <w:szCs w:val="24"/>
              </w:rPr>
              <w:t>2000m</w:t>
            </w:r>
            <w:r>
              <w:rPr>
                <w:rFonts w:hint="eastAsia" w:ascii="Times New Roman" w:hAnsi="Times New Roman" w:eastAsia="宋体" w:cs="Times New Roman"/>
                <w:sz w:val="24"/>
                <w:szCs w:val="24"/>
              </w:rPr>
              <w:t>，为亚热带常绿阔叶林带；海拔</w:t>
            </w:r>
            <w:r>
              <w:rPr>
                <w:rFonts w:ascii="Times New Roman" w:hAnsi="Times New Roman" w:eastAsia="宋体" w:cs="Times New Roman"/>
                <w:sz w:val="24"/>
                <w:szCs w:val="24"/>
              </w:rPr>
              <w:t>2000</w:t>
            </w:r>
            <w:r>
              <w:rPr>
                <w:rFonts w:hint="eastAsia" w:ascii="Times New Roman" w:hAnsi="Times New Roman" w:eastAsia="宋体" w:cs="Times New Roman"/>
                <w:sz w:val="24"/>
                <w:szCs w:val="24"/>
              </w:rPr>
              <w:t>～</w:t>
            </w:r>
            <w:r>
              <w:rPr>
                <w:rFonts w:ascii="Times New Roman" w:hAnsi="Times New Roman" w:eastAsia="宋体" w:cs="Times New Roman"/>
                <w:sz w:val="24"/>
                <w:szCs w:val="24"/>
              </w:rPr>
              <w:t>2400m</w:t>
            </w:r>
            <w:r>
              <w:rPr>
                <w:rFonts w:hint="eastAsia" w:ascii="Times New Roman" w:hAnsi="Times New Roman" w:eastAsia="宋体" w:cs="Times New Roman"/>
                <w:sz w:val="24"/>
                <w:szCs w:val="24"/>
              </w:rPr>
              <w:t>，为针阔叶林混交林带；海拔</w:t>
            </w:r>
            <w:r>
              <w:rPr>
                <w:rFonts w:ascii="Times New Roman" w:hAnsi="Times New Roman" w:eastAsia="宋体" w:cs="Times New Roman"/>
                <w:sz w:val="24"/>
                <w:szCs w:val="24"/>
              </w:rPr>
              <w:t>2400</w:t>
            </w:r>
            <w:r>
              <w:rPr>
                <w:rFonts w:hint="eastAsia" w:ascii="Times New Roman" w:hAnsi="Times New Roman" w:eastAsia="宋体" w:cs="Times New Roman"/>
                <w:sz w:val="24"/>
                <w:szCs w:val="24"/>
              </w:rPr>
              <w:t>～</w:t>
            </w:r>
            <w:r>
              <w:rPr>
                <w:rFonts w:ascii="Times New Roman" w:hAnsi="Times New Roman" w:eastAsia="宋体" w:cs="Times New Roman"/>
                <w:sz w:val="24"/>
                <w:szCs w:val="24"/>
              </w:rPr>
              <w:t>3700m</w:t>
            </w:r>
            <w:r>
              <w:rPr>
                <w:rFonts w:hint="eastAsia" w:ascii="Times New Roman" w:hAnsi="Times New Roman" w:eastAsia="宋体" w:cs="Times New Roman"/>
                <w:sz w:val="24"/>
                <w:szCs w:val="24"/>
              </w:rPr>
              <w:t>，为暗针叶林带；海拔</w:t>
            </w:r>
            <w:r>
              <w:rPr>
                <w:rFonts w:ascii="Times New Roman" w:hAnsi="Times New Roman" w:eastAsia="宋体" w:cs="Times New Roman"/>
                <w:sz w:val="24"/>
                <w:szCs w:val="24"/>
              </w:rPr>
              <w:t>3700</w:t>
            </w:r>
            <w:r>
              <w:rPr>
                <w:rFonts w:hint="eastAsia" w:ascii="Times New Roman" w:hAnsi="Times New Roman" w:eastAsia="宋体" w:cs="Times New Roman"/>
                <w:sz w:val="24"/>
                <w:szCs w:val="24"/>
              </w:rPr>
              <w:t>以上，为高山灌丛和草甸带。</w:t>
            </w:r>
          </w:p>
          <w:p w14:paraId="3E574CF5">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峨边彝族自治县有林草地面积</w:t>
            </w:r>
            <w:r>
              <w:rPr>
                <w:rFonts w:ascii="Times New Roman" w:hAnsi="Times New Roman" w:eastAsia="宋体" w:cs="Times New Roman"/>
                <w:sz w:val="24"/>
                <w:szCs w:val="24"/>
              </w:rPr>
              <w:t>25.09</w:t>
            </w:r>
            <w:r>
              <w:rPr>
                <w:rFonts w:hint="eastAsia" w:ascii="Times New Roman" w:hAnsi="Times New Roman" w:eastAsia="宋体" w:cs="Times New Roman"/>
                <w:sz w:val="24"/>
                <w:szCs w:val="24"/>
              </w:rPr>
              <w:t>万</w:t>
            </w:r>
            <w:r>
              <w:rPr>
                <w:rFonts w:ascii="Times New Roman" w:hAnsi="Times New Roman" w:eastAsia="宋体" w:cs="Times New Roman"/>
                <w:sz w:val="24"/>
                <w:szCs w:val="24"/>
              </w:rPr>
              <w:t>hm</w:t>
            </w:r>
            <w:r>
              <w:rPr>
                <w:rFonts w:ascii="Times New Roman" w:hAnsi="Times New Roman" w:eastAsia="宋体" w:cs="Times New Roman"/>
                <w:sz w:val="24"/>
                <w:szCs w:val="24"/>
                <w:vertAlign w:val="superscript"/>
              </w:rPr>
              <w:t>2</w:t>
            </w:r>
            <w:r>
              <w:rPr>
                <w:rFonts w:hint="eastAsia" w:ascii="Times New Roman" w:hAnsi="Times New Roman" w:eastAsia="宋体" w:cs="Times New Roman"/>
                <w:sz w:val="24"/>
                <w:szCs w:val="24"/>
              </w:rPr>
              <w:t>，占全县总面积的</w:t>
            </w:r>
            <w:r>
              <w:rPr>
                <w:rFonts w:ascii="Times New Roman" w:hAnsi="Times New Roman" w:eastAsia="宋体" w:cs="Times New Roman"/>
                <w:sz w:val="24"/>
                <w:szCs w:val="24"/>
              </w:rPr>
              <w:t>37.1%</w:t>
            </w:r>
            <w:r>
              <w:rPr>
                <w:rFonts w:hint="eastAsia" w:ascii="Times New Roman" w:hAnsi="Times New Roman" w:eastAsia="宋体" w:cs="Times New Roman"/>
                <w:sz w:val="24"/>
                <w:szCs w:val="24"/>
              </w:rPr>
              <w:t>，天然草场面积</w:t>
            </w:r>
            <w:r>
              <w:rPr>
                <w:rFonts w:ascii="Times New Roman" w:hAnsi="Times New Roman" w:eastAsia="宋体" w:cs="Times New Roman"/>
                <w:sz w:val="24"/>
                <w:szCs w:val="24"/>
              </w:rPr>
              <w:t>33.44</w:t>
            </w:r>
            <w:r>
              <w:rPr>
                <w:rFonts w:hint="eastAsia" w:ascii="Times New Roman" w:hAnsi="Times New Roman" w:eastAsia="宋体" w:cs="Times New Roman"/>
                <w:sz w:val="24"/>
                <w:szCs w:val="24"/>
              </w:rPr>
              <w:t>万</w:t>
            </w:r>
            <w:r>
              <w:rPr>
                <w:rFonts w:ascii="Times New Roman" w:hAnsi="Times New Roman" w:eastAsia="宋体" w:cs="Times New Roman"/>
                <w:sz w:val="24"/>
                <w:szCs w:val="24"/>
              </w:rPr>
              <w:t>hm</w:t>
            </w:r>
            <w:r>
              <w:rPr>
                <w:rFonts w:ascii="Times New Roman" w:hAnsi="Times New Roman" w:eastAsia="宋体" w:cs="Times New Roman"/>
                <w:sz w:val="24"/>
                <w:szCs w:val="24"/>
                <w:vertAlign w:val="superscript"/>
              </w:rPr>
              <w:t>2</w:t>
            </w:r>
            <w:r>
              <w:rPr>
                <w:rFonts w:hint="eastAsia" w:ascii="Times New Roman" w:hAnsi="Times New Roman" w:eastAsia="宋体" w:cs="Times New Roman"/>
                <w:sz w:val="24"/>
                <w:szCs w:val="24"/>
              </w:rPr>
              <w:t>，占全县总面积的</w:t>
            </w:r>
            <w:r>
              <w:rPr>
                <w:rFonts w:ascii="Times New Roman" w:hAnsi="Times New Roman" w:eastAsia="宋体" w:cs="Times New Roman"/>
                <w:sz w:val="24"/>
                <w:szCs w:val="24"/>
              </w:rPr>
              <w:t>49.4%</w:t>
            </w:r>
            <w:r>
              <w:rPr>
                <w:rFonts w:hint="eastAsia" w:ascii="Times New Roman" w:hAnsi="Times New Roman" w:eastAsia="宋体" w:cs="Times New Roman"/>
                <w:sz w:val="24"/>
                <w:szCs w:val="24"/>
              </w:rPr>
              <w:t>。</w:t>
            </w:r>
          </w:p>
          <w:p w14:paraId="36301FF5">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据调查，峨边彝族自治县树种包括针叶树种、阔叶树种、灌木树种及经济树种。其中针叶树种主要包括松科的云杉树、冷杉树、铁杉树、落叶松树、松树，柏科的侧柏树，树种有云杉、巴山冷杉、苍山冷杉、云南铁杉、红杉、云南松、高山松和侧柏等；阔叶乔木树种主要包括杨柳科、壳斗科、桦木科的山杨、川杨、青杨、刺叶栎、细叶青冈和红桦等；灌木树种主要有枸子木、三颗针、野蔷薇和杜鹃等。全县主要草种有高山寒草、高山早熟禾、珠牙蓼、黑花苔草、羊茅、披碱草等，主要分布在海拔</w:t>
            </w:r>
            <w:r>
              <w:rPr>
                <w:rFonts w:ascii="Times New Roman" w:hAnsi="Times New Roman" w:eastAsia="宋体" w:cs="Times New Roman"/>
                <w:sz w:val="24"/>
                <w:szCs w:val="24"/>
              </w:rPr>
              <w:t>3700m</w:t>
            </w:r>
            <w:r>
              <w:rPr>
                <w:rFonts w:hint="eastAsia" w:ascii="Times New Roman" w:hAnsi="Times New Roman" w:eastAsia="宋体" w:cs="Times New Roman"/>
                <w:sz w:val="24"/>
                <w:szCs w:val="24"/>
              </w:rPr>
              <w:t>以上的高山宽谷、缓坡和小型台地。</w:t>
            </w:r>
          </w:p>
          <w:p w14:paraId="6F46C262">
            <w:pPr>
              <w:pStyle w:val="11"/>
              <w:spacing w:line="360" w:lineRule="auto"/>
              <w:ind w:firstLine="480" w:firstLineChars="200"/>
              <w:jc w:val="left"/>
              <w:rPr>
                <w:rFonts w:ascii="Times New Roman" w:hAnsi="Times New Roman" w:eastAsia="宋体" w:cs="Times New Roman"/>
                <w:b/>
                <w:bCs/>
                <w:sz w:val="24"/>
                <w:szCs w:val="24"/>
              </w:rPr>
            </w:pPr>
            <w:r>
              <w:rPr>
                <w:rFonts w:hint="eastAsia" w:ascii="Times New Roman" w:hAnsi="Times New Roman" w:eastAsia="宋体" w:cs="Times New Roman"/>
                <w:sz w:val="24"/>
                <w:szCs w:val="24"/>
              </w:rPr>
              <w:t>国家珍稀保护的野生动物如大熊猫、羚羊、豹、小熊猫、黑熊、岩羊等均分布在黑竹沟自然保护区、黑竹沟风景名胜区和黑竹沟森林公园内的高海拔林区，不受工程建设的影响。</w:t>
            </w:r>
            <w:r>
              <w:rPr>
                <w:rFonts w:hint="eastAsia" w:ascii="Times New Roman" w:hAnsi="Times New Roman" w:eastAsia="宋体" w:cs="Times New Roman"/>
                <w:sz w:val="24"/>
                <w:szCs w:val="24"/>
                <w:u w:val="single"/>
              </w:rPr>
              <w:t>项目拟建厂址位于乐山市峨边彝族自治县峨边新场工业园区，属于工业园区，该区域人类活动频繁，受人类活动的干扰，区内无珍稀保护动物。</w:t>
            </w:r>
            <w:r>
              <w:rPr>
                <w:rFonts w:ascii="Times New Roman" w:hAnsi="Times New Roman" w:eastAsia="宋体" w:cs="Times New Roman"/>
                <w:sz w:val="24"/>
                <w:szCs w:val="24"/>
                <w:u w:val="single"/>
              </w:rPr>
              <w:t>无重点保护的历史遗迹和文物古迹。工程所在地无风景名胜和文物保护单位。</w:t>
            </w:r>
          </w:p>
          <w:p w14:paraId="089C1547">
            <w:pPr>
              <w:pStyle w:val="11"/>
              <w:spacing w:line="360" w:lineRule="auto"/>
              <w:ind w:firstLine="480" w:firstLineChars="200"/>
              <w:jc w:val="left"/>
              <w:rPr>
                <w:rFonts w:ascii="Times New Roman" w:hAnsi="Times New Roman" w:eastAsia="宋体" w:cs="Times New Roman"/>
                <w:sz w:val="24"/>
                <w:szCs w:val="24"/>
              </w:rPr>
            </w:pPr>
          </w:p>
          <w:p w14:paraId="66E8F904">
            <w:pPr>
              <w:pStyle w:val="11"/>
              <w:spacing w:line="360" w:lineRule="auto"/>
              <w:ind w:firstLine="480" w:firstLineChars="200"/>
              <w:jc w:val="left"/>
              <w:rPr>
                <w:rFonts w:ascii="Times New Roman" w:hAnsi="Times New Roman" w:eastAsia="宋体" w:cs="Times New Roman"/>
                <w:sz w:val="24"/>
                <w:szCs w:val="24"/>
              </w:rPr>
            </w:pPr>
          </w:p>
        </w:tc>
      </w:tr>
    </w:tbl>
    <w:p w14:paraId="05458EF6">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br w:type="page"/>
      </w:r>
      <w:r>
        <w:rPr>
          <w:rFonts w:ascii="Times New Roman" w:hAnsi="Times New Roman" w:eastAsia="宋体" w:cs="Times New Roman"/>
          <w:b/>
          <w:sz w:val="30"/>
          <w:szCs w:val="30"/>
        </w:rPr>
        <w:t>环境质量状况（表三）</w:t>
      </w:r>
    </w:p>
    <w:tbl>
      <w:tblPr>
        <w:tblStyle w:val="26"/>
        <w:tblW w:w="92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69"/>
      </w:tblGrid>
      <w:tr w14:paraId="23DC7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1" w:hRule="atLeast"/>
          <w:jc w:val="center"/>
        </w:trPr>
        <w:tc>
          <w:tcPr>
            <w:tcW w:w="9269" w:type="dxa"/>
          </w:tcPr>
          <w:p w14:paraId="588A1EF9">
            <w:pPr>
              <w:spacing w:before="180" w:after="180" w:line="480" w:lineRule="exact"/>
              <w:rPr>
                <w:rFonts w:ascii="Times New Roman" w:hAnsi="Times New Roman" w:eastAsia="宋体" w:cs="Times New Roman"/>
                <w:b/>
                <w:sz w:val="28"/>
                <w:szCs w:val="28"/>
              </w:rPr>
            </w:pPr>
            <w:r>
              <w:rPr>
                <w:rFonts w:ascii="Times New Roman" w:hAnsi="Times New Roman" w:eastAsia="宋体" w:cs="Times New Roman"/>
                <w:b/>
                <w:sz w:val="28"/>
                <w:szCs w:val="28"/>
              </w:rPr>
              <w:t>建设项目所在地区域环境质量现状及主要环境问题（环境空气、声环境、生态环境等）</w:t>
            </w:r>
          </w:p>
          <w:p w14:paraId="45D32BB8">
            <w:pPr>
              <w:spacing w:before="120" w:after="120"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本项目位于</w:t>
            </w:r>
            <w:r>
              <w:rPr>
                <w:rFonts w:hint="eastAsia" w:ascii="Times New Roman" w:hAnsi="Times New Roman" w:eastAsia="宋体" w:cs="Times New Roman"/>
                <w:sz w:val="24"/>
              </w:rPr>
              <w:t>峨边彝族自治县新林镇卷木村4组、7组（E103.2309°，N29.1976°，</w:t>
            </w:r>
            <w:r>
              <w:rPr>
                <w:rFonts w:ascii="Times New Roman" w:hAnsi="Times New Roman" w:eastAsia="宋体" w:cs="Times New Roman"/>
                <w:sz w:val="24"/>
              </w:rPr>
              <w:t>详见附图1），系利用现有场地进行</w:t>
            </w:r>
            <w:r>
              <w:rPr>
                <w:rFonts w:hint="eastAsia" w:ascii="Times New Roman" w:hAnsi="Times New Roman" w:eastAsia="宋体" w:cs="Times New Roman"/>
                <w:sz w:val="24"/>
              </w:rPr>
              <w:t>新建</w:t>
            </w:r>
            <w:r>
              <w:rPr>
                <w:rFonts w:ascii="Times New Roman" w:hAnsi="Times New Roman" w:eastAsia="宋体" w:cs="Times New Roman"/>
                <w:sz w:val="24"/>
              </w:rPr>
              <w:t>。</w:t>
            </w:r>
          </w:p>
          <w:p w14:paraId="514115F2">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一、环境空气质量</w:t>
            </w:r>
          </w:p>
          <w:p w14:paraId="48F3D887">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1 \* GB3 </w:instrText>
            </w:r>
            <w:r>
              <w:rPr>
                <w:rFonts w:ascii="Times New Roman" w:hAnsi="Times New Roman" w:eastAsia="宋体" w:cs="Times New Roman"/>
                <w:sz w:val="24"/>
              </w:rPr>
              <w:fldChar w:fldCharType="separate"/>
            </w:r>
            <w:r>
              <w:rPr>
                <w:rFonts w:hint="eastAsia" w:ascii="宋体" w:hAnsi="宋体" w:eastAsia="宋体" w:cs="宋体"/>
                <w:sz w:val="24"/>
              </w:rPr>
              <w:t>①</w:t>
            </w:r>
            <w:r>
              <w:rPr>
                <w:rFonts w:ascii="Times New Roman" w:hAnsi="Times New Roman" w:eastAsia="宋体" w:cs="Times New Roman"/>
                <w:sz w:val="24"/>
              </w:rPr>
              <w:fldChar w:fldCharType="end"/>
            </w:r>
            <w:r>
              <w:rPr>
                <w:rFonts w:ascii="Times New Roman" w:hAnsi="Times New Roman" w:eastAsia="宋体" w:cs="Times New Roman"/>
                <w:sz w:val="24"/>
              </w:rPr>
              <w:t>环境空气数据来源</w:t>
            </w:r>
          </w:p>
          <w:p w14:paraId="4DC6974C">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ascii="Times New Roman" w:hAnsi="Times New Roman" w:eastAsia="宋体" w:cs="Times New Roman"/>
                <w:sz w:val="24"/>
              </w:rPr>
              <w:t>本次环境空气质量引用乐山市2019年环境质量公报中的监测数据，符合《环境影响评价技术导则 大气环境》（HJ2.2-2018）中“6.2数据来源”的要求。</w:t>
            </w:r>
          </w:p>
          <w:p w14:paraId="56A719CC">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ascii="Times New Roman" w:hAnsi="Times New Roman" w:eastAsia="宋体" w:cs="Times New Roman"/>
                <w:sz w:val="24"/>
              </w:rPr>
              <w:t>根据《乐山市2019年环境质量公报》，本项目所在区域大气环境质量现状情况见表3-1。</w:t>
            </w:r>
          </w:p>
          <w:p w14:paraId="6395831F">
            <w:pPr>
              <w:pStyle w:val="61"/>
              <w:ind w:firstLine="0" w:firstLineChars="0"/>
              <w:jc w:val="center"/>
              <w:rPr>
                <w:rFonts w:ascii="Times New Roman" w:hAnsi="Times New Roman" w:eastAsia="宋体" w:cs="Times New Roman"/>
              </w:rPr>
            </w:pPr>
            <w:r>
              <w:rPr>
                <w:rFonts w:ascii="Times New Roman" w:hAnsi="Times New Roman" w:eastAsia="宋体" w:cs="Times New Roman"/>
                <w:snapToGrid w:val="0"/>
                <w:kern w:val="0"/>
                <w:szCs w:val="24"/>
              </w:rPr>
              <w:t>表3-1  2019年乐山市空气质量数据统计表    单位：</w:t>
            </w:r>
            <w:r>
              <w:rPr>
                <w:rFonts w:hint="eastAsia" w:ascii="Times New Roman" w:hAnsi="Times New Roman" w:eastAsia="宋体" w:cs="Times New Roman"/>
                <w:snapToGrid w:val="0"/>
                <w:kern w:val="0"/>
                <w:szCs w:val="24"/>
                <w:lang w:eastAsia="zh-CN"/>
              </w:rPr>
              <w:t>μg/m3</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150"/>
              <w:gridCol w:w="1002"/>
              <w:gridCol w:w="1146"/>
              <w:gridCol w:w="1146"/>
              <w:gridCol w:w="1146"/>
              <w:gridCol w:w="1146"/>
              <w:gridCol w:w="1287"/>
            </w:tblGrid>
            <w:tr w14:paraId="48AB73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192" w:type="pct"/>
                  <w:vAlign w:val="center"/>
                </w:tcPr>
                <w:p w14:paraId="79D41832">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项目</w:t>
                  </w:r>
                </w:p>
              </w:tc>
              <w:tc>
                <w:tcPr>
                  <w:tcW w:w="555" w:type="pct"/>
                  <w:vAlign w:val="center"/>
                </w:tcPr>
                <w:p w14:paraId="58B1317F">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SO</w:t>
                  </w:r>
                  <w:r>
                    <w:rPr>
                      <w:rFonts w:ascii="Times New Roman" w:hAnsi="Times New Roman" w:eastAsia="宋体" w:cs="Times New Roman"/>
                      <w:szCs w:val="21"/>
                      <w:vertAlign w:val="subscript"/>
                    </w:rPr>
                    <w:t>2</w:t>
                  </w:r>
                </w:p>
              </w:tc>
              <w:tc>
                <w:tcPr>
                  <w:tcW w:w="635" w:type="pct"/>
                  <w:vAlign w:val="center"/>
                </w:tcPr>
                <w:p w14:paraId="20C4AE61">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NO</w:t>
                  </w:r>
                  <w:r>
                    <w:rPr>
                      <w:rFonts w:ascii="Times New Roman" w:hAnsi="Times New Roman" w:eastAsia="宋体" w:cs="Times New Roman"/>
                      <w:szCs w:val="21"/>
                      <w:vertAlign w:val="subscript"/>
                    </w:rPr>
                    <w:t>2</w:t>
                  </w:r>
                </w:p>
              </w:tc>
              <w:tc>
                <w:tcPr>
                  <w:tcW w:w="635" w:type="pct"/>
                  <w:vAlign w:val="center"/>
                </w:tcPr>
                <w:p w14:paraId="34627F87">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CO</w:t>
                  </w:r>
                </w:p>
              </w:tc>
              <w:tc>
                <w:tcPr>
                  <w:tcW w:w="635" w:type="pct"/>
                  <w:vAlign w:val="center"/>
                </w:tcPr>
                <w:p w14:paraId="41C3320A">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O</w:t>
                  </w:r>
                  <w:r>
                    <w:rPr>
                      <w:rFonts w:ascii="Times New Roman" w:hAnsi="Times New Roman" w:eastAsia="宋体" w:cs="Times New Roman"/>
                      <w:szCs w:val="21"/>
                      <w:vertAlign w:val="subscript"/>
                    </w:rPr>
                    <w:t>3</w:t>
                  </w:r>
                </w:p>
              </w:tc>
              <w:tc>
                <w:tcPr>
                  <w:tcW w:w="635" w:type="pct"/>
                  <w:vAlign w:val="center"/>
                </w:tcPr>
                <w:p w14:paraId="786374DC">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PM</w:t>
                  </w:r>
                  <w:r>
                    <w:rPr>
                      <w:rFonts w:ascii="Times New Roman" w:hAnsi="Times New Roman" w:eastAsia="宋体" w:cs="Times New Roman"/>
                      <w:szCs w:val="21"/>
                      <w:vertAlign w:val="subscript"/>
                    </w:rPr>
                    <w:t>2.5</w:t>
                  </w:r>
                </w:p>
              </w:tc>
              <w:tc>
                <w:tcPr>
                  <w:tcW w:w="714" w:type="pct"/>
                  <w:vAlign w:val="center"/>
                </w:tcPr>
                <w:p w14:paraId="1A8703DA">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PM</w:t>
                  </w:r>
                  <w:r>
                    <w:rPr>
                      <w:rFonts w:ascii="Times New Roman" w:hAnsi="Times New Roman" w:eastAsia="宋体" w:cs="Times New Roman"/>
                      <w:szCs w:val="21"/>
                      <w:vertAlign w:val="subscript"/>
                    </w:rPr>
                    <w:t>10</w:t>
                  </w:r>
                </w:p>
              </w:tc>
            </w:tr>
            <w:tr w14:paraId="46BE6E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192" w:type="pct"/>
                  <w:vAlign w:val="center"/>
                </w:tcPr>
                <w:p w14:paraId="74721D4B">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平均浓度</w:t>
                  </w:r>
                </w:p>
              </w:tc>
              <w:tc>
                <w:tcPr>
                  <w:tcW w:w="555" w:type="pct"/>
                  <w:vAlign w:val="center"/>
                </w:tcPr>
                <w:p w14:paraId="58DAB06B">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12.9</w:t>
                  </w:r>
                </w:p>
              </w:tc>
              <w:tc>
                <w:tcPr>
                  <w:tcW w:w="635" w:type="pct"/>
                  <w:vAlign w:val="center"/>
                </w:tcPr>
                <w:p w14:paraId="58AEE18B">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24.0</w:t>
                  </w:r>
                </w:p>
              </w:tc>
              <w:tc>
                <w:tcPr>
                  <w:tcW w:w="635" w:type="pct"/>
                  <w:vAlign w:val="center"/>
                </w:tcPr>
                <w:p w14:paraId="480F882F">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1.4</w:t>
                  </w:r>
                </w:p>
              </w:tc>
              <w:tc>
                <w:tcPr>
                  <w:tcW w:w="635" w:type="pct"/>
                  <w:vAlign w:val="center"/>
                </w:tcPr>
                <w:p w14:paraId="16E84220">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121.4</w:t>
                  </w:r>
                </w:p>
              </w:tc>
              <w:tc>
                <w:tcPr>
                  <w:tcW w:w="635" w:type="pct"/>
                  <w:vAlign w:val="center"/>
                </w:tcPr>
                <w:p w14:paraId="673D914D">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39.1</w:t>
                  </w:r>
                </w:p>
              </w:tc>
              <w:tc>
                <w:tcPr>
                  <w:tcW w:w="714" w:type="pct"/>
                  <w:vAlign w:val="center"/>
                </w:tcPr>
                <w:p w14:paraId="3FFC2258">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61.7</w:t>
                  </w:r>
                </w:p>
              </w:tc>
            </w:tr>
            <w:tr w14:paraId="0206F1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192" w:type="pct"/>
                  <w:vAlign w:val="center"/>
                </w:tcPr>
                <w:p w14:paraId="12B41A9B">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质量标准（年平均）</w:t>
                  </w:r>
                </w:p>
              </w:tc>
              <w:tc>
                <w:tcPr>
                  <w:tcW w:w="555" w:type="pct"/>
                  <w:vAlign w:val="center"/>
                </w:tcPr>
                <w:p w14:paraId="226D5F1D">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60</w:t>
                  </w:r>
                </w:p>
              </w:tc>
              <w:tc>
                <w:tcPr>
                  <w:tcW w:w="635" w:type="pct"/>
                  <w:vAlign w:val="center"/>
                </w:tcPr>
                <w:p w14:paraId="58E694DB">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40</w:t>
                  </w:r>
                </w:p>
              </w:tc>
              <w:tc>
                <w:tcPr>
                  <w:tcW w:w="635" w:type="pct"/>
                  <w:vAlign w:val="center"/>
                </w:tcPr>
                <w:p w14:paraId="20E96DAD">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4</w:t>
                  </w:r>
                </w:p>
              </w:tc>
              <w:tc>
                <w:tcPr>
                  <w:tcW w:w="635" w:type="pct"/>
                  <w:vAlign w:val="center"/>
                </w:tcPr>
                <w:p w14:paraId="362150B4">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160</w:t>
                  </w:r>
                </w:p>
              </w:tc>
              <w:tc>
                <w:tcPr>
                  <w:tcW w:w="635" w:type="pct"/>
                  <w:vAlign w:val="center"/>
                </w:tcPr>
                <w:p w14:paraId="3721CE7A">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35</w:t>
                  </w:r>
                </w:p>
              </w:tc>
              <w:tc>
                <w:tcPr>
                  <w:tcW w:w="714" w:type="pct"/>
                  <w:vAlign w:val="center"/>
                </w:tcPr>
                <w:p w14:paraId="26FAE3EE">
                  <w:pPr>
                    <w:spacing w:line="360" w:lineRule="exact"/>
                    <w:jc w:val="center"/>
                    <w:rPr>
                      <w:rFonts w:ascii="Times New Roman" w:hAnsi="Times New Roman" w:eastAsia="宋体" w:cs="Times New Roman"/>
                      <w:szCs w:val="21"/>
                    </w:rPr>
                  </w:pPr>
                  <w:r>
                    <w:rPr>
                      <w:rFonts w:ascii="Times New Roman" w:hAnsi="Times New Roman" w:eastAsia="宋体" w:cs="Times New Roman"/>
                      <w:szCs w:val="21"/>
                    </w:rPr>
                    <w:t>70</w:t>
                  </w:r>
                </w:p>
              </w:tc>
            </w:tr>
            <w:tr w14:paraId="264285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59" w:hRule="atLeast"/>
                <w:jc w:val="center"/>
              </w:trPr>
              <w:tc>
                <w:tcPr>
                  <w:tcW w:w="5000" w:type="pct"/>
                  <w:gridSpan w:val="7"/>
                  <w:vAlign w:val="center"/>
                </w:tcPr>
                <w:p w14:paraId="5F6AFB96">
                  <w:pPr>
                    <w:spacing w:line="360" w:lineRule="exact"/>
                    <w:jc w:val="left"/>
                    <w:rPr>
                      <w:rFonts w:ascii="Times New Roman" w:hAnsi="Times New Roman" w:eastAsia="宋体" w:cs="Times New Roman"/>
                      <w:szCs w:val="21"/>
                    </w:rPr>
                  </w:pPr>
                  <w:r>
                    <w:rPr>
                      <w:rFonts w:ascii="Times New Roman" w:hAnsi="Times New Roman" w:eastAsia="宋体" w:cs="Times New Roman"/>
                      <w:szCs w:val="21"/>
                    </w:rPr>
                    <w:t>备注：一氧化碳年均值为24小时平均第95百分位数，臭氧年均值为日最大8小时滑动平均第90百分位数。</w:t>
                  </w:r>
                </w:p>
              </w:tc>
            </w:tr>
          </w:tbl>
          <w:p w14:paraId="610E588B">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2 \* GB3 </w:instrText>
            </w:r>
            <w:r>
              <w:rPr>
                <w:rFonts w:ascii="Times New Roman" w:hAnsi="Times New Roman" w:eastAsia="宋体" w:cs="Times New Roman"/>
                <w:sz w:val="24"/>
              </w:rPr>
              <w:fldChar w:fldCharType="separate"/>
            </w:r>
            <w:r>
              <w:rPr>
                <w:rFonts w:hint="eastAsia" w:ascii="宋体" w:hAnsi="宋体" w:eastAsia="宋体" w:cs="宋体"/>
                <w:sz w:val="24"/>
              </w:rPr>
              <w:t>②</w:t>
            </w:r>
            <w:r>
              <w:rPr>
                <w:rFonts w:ascii="Times New Roman" w:hAnsi="Times New Roman" w:eastAsia="宋体" w:cs="Times New Roman"/>
                <w:sz w:val="24"/>
              </w:rPr>
              <w:fldChar w:fldCharType="end"/>
            </w:r>
            <w:r>
              <w:rPr>
                <w:rFonts w:ascii="Times New Roman" w:hAnsi="Times New Roman" w:eastAsia="宋体" w:cs="Times New Roman"/>
                <w:sz w:val="24"/>
              </w:rPr>
              <w:t>评价方法和评价标准</w:t>
            </w:r>
          </w:p>
          <w:p w14:paraId="7E67B684">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ascii="Times New Roman" w:hAnsi="Times New Roman" w:eastAsia="宋体" w:cs="Times New Roman"/>
                <w:kern w:val="0"/>
                <w:sz w:val="24"/>
              </w:rPr>
              <w:t>依据《环境空气质量标准》（GB 3095-2012）对乐山市2019年二氧化硫</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SO</w:t>
            </w:r>
            <w:r>
              <w:rPr>
                <w:rFonts w:ascii="Times New Roman" w:hAnsi="Times New Roman" w:eastAsia="宋体" w:cs="Times New Roman"/>
                <w:kern w:val="0"/>
                <w:sz w:val="24"/>
                <w:vertAlign w:val="subscript"/>
              </w:rPr>
              <w:t>2</w:t>
            </w:r>
            <w:r>
              <w:rPr>
                <w:rFonts w:hint="eastAsia" w:ascii="Times New Roman" w:hAnsi="Times New Roman" w:eastAsia="宋体" w:cs="Times New Roman"/>
                <w:kern w:val="0"/>
                <w:sz w:val="24"/>
                <w:vertAlign w:val="subscript"/>
                <w:lang w:eastAsia="zh-CN"/>
              </w:rPr>
              <w:t>）</w:t>
            </w:r>
            <w:r>
              <w:rPr>
                <w:rFonts w:ascii="Times New Roman" w:hAnsi="Times New Roman" w:eastAsia="宋体" w:cs="Times New Roman"/>
                <w:kern w:val="0"/>
                <w:sz w:val="24"/>
              </w:rPr>
              <w:t>、二氧化氮</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NO</w:t>
            </w:r>
            <w:r>
              <w:rPr>
                <w:rFonts w:ascii="Times New Roman" w:hAnsi="Times New Roman" w:eastAsia="宋体" w:cs="Times New Roman"/>
                <w:kern w:val="0"/>
                <w:sz w:val="24"/>
                <w:vertAlign w:val="subscript"/>
              </w:rPr>
              <w:t>2</w:t>
            </w:r>
            <w:r>
              <w:rPr>
                <w:rFonts w:hint="eastAsia" w:ascii="Times New Roman" w:hAnsi="Times New Roman" w:eastAsia="宋体" w:cs="Times New Roman"/>
                <w:kern w:val="0"/>
                <w:sz w:val="24"/>
                <w:vertAlign w:val="subscript"/>
                <w:lang w:eastAsia="zh-CN"/>
              </w:rPr>
              <w:t>）</w:t>
            </w:r>
            <w:r>
              <w:rPr>
                <w:rFonts w:ascii="Times New Roman" w:hAnsi="Times New Roman" w:eastAsia="宋体" w:cs="Times New Roman"/>
                <w:kern w:val="0"/>
                <w:sz w:val="24"/>
              </w:rPr>
              <w:t>、可吸入颗粒物</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PM</w:t>
            </w:r>
            <w:r>
              <w:rPr>
                <w:rFonts w:ascii="Times New Roman" w:hAnsi="Times New Roman" w:eastAsia="宋体" w:cs="Times New Roman"/>
                <w:kern w:val="0"/>
                <w:sz w:val="24"/>
                <w:vertAlign w:val="subscript"/>
              </w:rPr>
              <w:t>10</w:t>
            </w:r>
            <w:r>
              <w:rPr>
                <w:rFonts w:hint="eastAsia" w:ascii="Times New Roman" w:hAnsi="Times New Roman" w:eastAsia="宋体" w:cs="Times New Roman"/>
                <w:kern w:val="0"/>
                <w:sz w:val="24"/>
                <w:vertAlign w:val="subscript"/>
                <w:lang w:eastAsia="zh-CN"/>
              </w:rPr>
              <w:t>）</w:t>
            </w:r>
            <w:r>
              <w:rPr>
                <w:rFonts w:ascii="Times New Roman" w:hAnsi="Times New Roman" w:eastAsia="宋体" w:cs="Times New Roman"/>
                <w:kern w:val="0"/>
                <w:sz w:val="24"/>
              </w:rPr>
              <w:t>、细颗粒物</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PM</w:t>
            </w:r>
            <w:r>
              <w:rPr>
                <w:rFonts w:ascii="Times New Roman" w:hAnsi="Times New Roman" w:eastAsia="宋体" w:cs="Times New Roman"/>
                <w:kern w:val="0"/>
                <w:sz w:val="24"/>
                <w:vertAlign w:val="subscript"/>
              </w:rPr>
              <w:t>2.5</w:t>
            </w:r>
            <w:r>
              <w:rPr>
                <w:rFonts w:ascii="Times New Roman" w:hAnsi="Times New Roman" w:eastAsia="宋体" w:cs="Times New Roman"/>
                <w:kern w:val="0"/>
                <w:sz w:val="24"/>
              </w:rPr>
              <w:t>)、一氧化碳</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CO</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、臭氧</w:t>
            </w:r>
            <w:r>
              <w:rPr>
                <w:rFonts w:hint="eastAsia" w:ascii="Times New Roman" w:hAnsi="Times New Roman" w:eastAsia="宋体" w:cs="Times New Roman"/>
                <w:kern w:val="0"/>
                <w:sz w:val="24"/>
                <w:lang w:eastAsia="zh-CN"/>
              </w:rPr>
              <w:t>（</w:t>
            </w:r>
            <w:r>
              <w:rPr>
                <w:rFonts w:ascii="Times New Roman" w:hAnsi="Times New Roman" w:eastAsia="宋体" w:cs="Times New Roman"/>
                <w:kern w:val="0"/>
                <w:sz w:val="24"/>
              </w:rPr>
              <w:t>O</w:t>
            </w:r>
            <w:r>
              <w:rPr>
                <w:rFonts w:ascii="Times New Roman" w:hAnsi="Times New Roman" w:eastAsia="宋体" w:cs="Times New Roman"/>
                <w:kern w:val="0"/>
                <w:sz w:val="24"/>
                <w:vertAlign w:val="subscript"/>
              </w:rPr>
              <w:t>3</w:t>
            </w:r>
            <w:r>
              <w:rPr>
                <w:rFonts w:hint="eastAsia" w:ascii="Times New Roman" w:hAnsi="Times New Roman" w:eastAsia="宋体" w:cs="Times New Roman"/>
                <w:kern w:val="0"/>
                <w:sz w:val="24"/>
                <w:vertAlign w:val="subscript"/>
                <w:lang w:eastAsia="zh-CN"/>
              </w:rPr>
              <w:t>）</w:t>
            </w:r>
            <w:r>
              <w:rPr>
                <w:rFonts w:ascii="Times New Roman" w:hAnsi="Times New Roman" w:eastAsia="宋体" w:cs="Times New Roman"/>
                <w:kern w:val="0"/>
                <w:sz w:val="24"/>
              </w:rPr>
              <w:t>六项污染物进行评价，六项污染物全部达标即为城市环境空气质量达标。SO</w:t>
            </w:r>
            <w:r>
              <w:rPr>
                <w:rFonts w:ascii="Times New Roman" w:hAnsi="Times New Roman" w:eastAsia="宋体" w:cs="Times New Roman"/>
                <w:kern w:val="0"/>
                <w:sz w:val="24"/>
                <w:vertAlign w:val="subscript"/>
              </w:rPr>
              <w:t>2</w:t>
            </w:r>
            <w:r>
              <w:rPr>
                <w:rFonts w:ascii="Times New Roman" w:hAnsi="Times New Roman" w:eastAsia="宋体" w:cs="Times New Roman"/>
                <w:kern w:val="0"/>
                <w:sz w:val="24"/>
              </w:rPr>
              <w:t>、NO</w:t>
            </w:r>
            <w:r>
              <w:rPr>
                <w:rFonts w:ascii="Times New Roman" w:hAnsi="Times New Roman" w:eastAsia="宋体" w:cs="Times New Roman"/>
                <w:kern w:val="0"/>
                <w:sz w:val="24"/>
                <w:vertAlign w:val="subscript"/>
              </w:rPr>
              <w:t>2</w:t>
            </w:r>
            <w:r>
              <w:rPr>
                <w:rFonts w:ascii="Times New Roman" w:hAnsi="Times New Roman" w:eastAsia="宋体" w:cs="Times New Roman"/>
                <w:kern w:val="0"/>
                <w:sz w:val="24"/>
              </w:rPr>
              <w:t>、PM</w:t>
            </w:r>
            <w:r>
              <w:rPr>
                <w:rFonts w:ascii="Times New Roman" w:hAnsi="Times New Roman" w:eastAsia="宋体" w:cs="Times New Roman"/>
                <w:kern w:val="0"/>
                <w:sz w:val="24"/>
                <w:vertAlign w:val="subscript"/>
              </w:rPr>
              <w:t>10</w:t>
            </w:r>
            <w:r>
              <w:rPr>
                <w:rFonts w:ascii="Times New Roman" w:hAnsi="Times New Roman" w:eastAsia="宋体" w:cs="Times New Roman"/>
                <w:kern w:val="0"/>
                <w:sz w:val="24"/>
              </w:rPr>
              <w:t>和PM</w:t>
            </w:r>
            <w:r>
              <w:rPr>
                <w:rFonts w:ascii="Times New Roman" w:hAnsi="Times New Roman" w:eastAsia="宋体" w:cs="Times New Roman"/>
                <w:kern w:val="0"/>
                <w:sz w:val="24"/>
                <w:vertAlign w:val="subscript"/>
              </w:rPr>
              <w:t>2.5</w:t>
            </w:r>
            <w:r>
              <w:rPr>
                <w:rFonts w:ascii="Times New Roman" w:hAnsi="Times New Roman" w:eastAsia="宋体" w:cs="Times New Roman"/>
                <w:kern w:val="0"/>
                <w:sz w:val="24"/>
              </w:rPr>
              <w:t>年度达标情况由该项污染物年平均浓度对照年平均标准确定，CO年度达标情况由CO日</w:t>
            </w:r>
            <w:r>
              <w:rPr>
                <w:rFonts w:ascii="Times New Roman" w:hAnsi="Times New Roman" w:eastAsia="宋体" w:cs="Times New Roman"/>
                <w:sz w:val="24"/>
              </w:rPr>
              <w:t>均值第95百分位数浓度对照24小时平均标准确定，O</w:t>
            </w:r>
            <w:r>
              <w:rPr>
                <w:rFonts w:ascii="Times New Roman" w:hAnsi="Times New Roman" w:eastAsia="宋体" w:cs="Times New Roman"/>
                <w:sz w:val="24"/>
                <w:vertAlign w:val="subscript"/>
              </w:rPr>
              <w:t>3</w:t>
            </w:r>
            <w:r>
              <w:rPr>
                <w:rFonts w:ascii="Times New Roman" w:hAnsi="Times New Roman" w:eastAsia="宋体" w:cs="Times New Roman"/>
                <w:sz w:val="24"/>
              </w:rPr>
              <w:t>年度达标情况由O3日最大8小时平均第90百分位数浓度对照8小时平均标准确定。达到或好于国家环境空气质量二级标准为达标，超过二级标准为超标。</w:t>
            </w:r>
          </w:p>
          <w:p w14:paraId="6BD1E6FA">
            <w:pPr>
              <w:adjustRightInd w:val="0"/>
              <w:snapToGrid w:val="0"/>
              <w:spacing w:line="480" w:lineRule="exact"/>
              <w:ind w:right="78" w:rightChars="37" w:firstLine="482" w:firstLineChars="200"/>
              <w:jc w:val="left"/>
              <w:rPr>
                <w:rFonts w:ascii="Times New Roman" w:hAnsi="Times New Roman" w:eastAsia="宋体" w:cs="Times New Roman"/>
                <w:sz w:val="24"/>
                <w:szCs w:val="24"/>
              </w:rPr>
            </w:pPr>
            <w:r>
              <w:rPr>
                <w:rFonts w:ascii="Times New Roman" w:hAnsi="Times New Roman" w:eastAsia="宋体" w:cs="Times New Roman"/>
                <w:b/>
                <w:bCs/>
                <w:sz w:val="24"/>
              </w:rPr>
              <w:t>报告数据显示</w:t>
            </w:r>
            <w:r>
              <w:rPr>
                <w:rFonts w:ascii="Times New Roman" w:hAnsi="Times New Roman" w:eastAsia="宋体" w:cs="Times New Roman"/>
                <w:sz w:val="24"/>
              </w:rPr>
              <w:t>：全市11个</w:t>
            </w:r>
            <w:r>
              <w:rPr>
                <w:rFonts w:hint="eastAsia" w:ascii="Times New Roman" w:hAnsi="Times New Roman" w:eastAsia="宋体" w:cs="Times New Roman"/>
                <w:sz w:val="24"/>
                <w:lang w:eastAsia="zh-CN"/>
              </w:rPr>
              <w:t>县（市、区）</w:t>
            </w:r>
            <w:r>
              <w:rPr>
                <w:rFonts w:ascii="Times New Roman" w:hAnsi="Times New Roman" w:eastAsia="宋体" w:cs="Times New Roman"/>
                <w:sz w:val="24"/>
              </w:rPr>
              <w:t>环境空气中二氧化硫、二氧化氮、臭氧</w:t>
            </w:r>
            <w:r>
              <w:rPr>
                <w:rFonts w:hint="eastAsia" w:ascii="Times New Roman" w:hAnsi="Times New Roman" w:eastAsia="宋体" w:cs="Times New Roman"/>
                <w:sz w:val="24"/>
              </w:rPr>
              <w:t>、</w:t>
            </w:r>
            <w:r>
              <w:rPr>
                <w:rFonts w:ascii="Times New Roman" w:hAnsi="Times New Roman" w:eastAsia="宋体" w:cs="Times New Roman"/>
                <w:sz w:val="24"/>
              </w:rPr>
              <w:t>一氧化碳和</w:t>
            </w:r>
            <w:r>
              <w:rPr>
                <w:rFonts w:hint="eastAsia" w:ascii="Times New Roman" w:hAnsi="Times New Roman" w:eastAsia="宋体" w:cs="Times New Roman"/>
                <w:sz w:val="24"/>
              </w:rPr>
              <w:t>可吸入颗粒物</w:t>
            </w:r>
            <w:r>
              <w:rPr>
                <w:rFonts w:ascii="Times New Roman" w:hAnsi="Times New Roman" w:eastAsia="宋体" w:cs="Times New Roman"/>
                <w:sz w:val="24"/>
              </w:rPr>
              <w:t>年均浓</w:t>
            </w:r>
            <w:r>
              <w:rPr>
                <w:rFonts w:ascii="Times New Roman" w:hAnsi="Times New Roman" w:eastAsia="宋体" w:cs="Times New Roman"/>
                <w:sz w:val="24"/>
                <w:szCs w:val="24"/>
              </w:rPr>
              <w:t>度分别为12.9μg/m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、24.0μg/m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、121.4μg/m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w:t>
            </w:r>
            <w:r>
              <w:rPr>
                <w:rFonts w:ascii="Times New Roman" w:hAnsi="Times New Roman" w:eastAsia="宋体" w:cs="Times New Roman"/>
                <w:sz w:val="24"/>
                <w:szCs w:val="24"/>
              </w:rPr>
              <w:t>1.4μg/m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和61.7mg/m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，均优于国家环境空气二级标准；细颗粒物平均浓度为39.1μg/m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，超过国家环境空气二级标准。</w:t>
            </w:r>
          </w:p>
          <w:p w14:paraId="6E96FCEE">
            <w:pPr>
              <w:adjustRightInd w:val="0"/>
              <w:snapToGrid w:val="0"/>
              <w:spacing w:line="480" w:lineRule="exact"/>
              <w:ind w:right="78" w:rightChars="37" w:firstLine="482" w:firstLineChars="200"/>
              <w:jc w:val="left"/>
              <w:rPr>
                <w:rFonts w:ascii="Times New Roman" w:hAnsi="Times New Roman" w:eastAsia="宋体" w:cs="Times New Roman"/>
                <w:b/>
                <w:sz w:val="24"/>
              </w:rPr>
            </w:pPr>
            <w:r>
              <w:rPr>
                <w:rFonts w:ascii="Times New Roman" w:hAnsi="Times New Roman" w:eastAsia="宋体" w:cs="Times New Roman"/>
                <w:b/>
                <w:sz w:val="24"/>
              </w:rPr>
              <w:t>根据以上分析，项目所在区域环境空气质量不达标，属于不达标区。</w:t>
            </w:r>
          </w:p>
          <w:p w14:paraId="317216E5">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3 \* GB3 </w:instrText>
            </w:r>
            <w:r>
              <w:rPr>
                <w:rFonts w:ascii="Times New Roman" w:hAnsi="Times New Roman" w:eastAsia="宋体" w:cs="Times New Roman"/>
                <w:sz w:val="24"/>
              </w:rPr>
              <w:fldChar w:fldCharType="separate"/>
            </w:r>
            <w:r>
              <w:rPr>
                <w:rFonts w:hint="eastAsia" w:ascii="宋体" w:hAnsi="宋体" w:eastAsia="宋体" w:cs="宋体"/>
                <w:sz w:val="24"/>
              </w:rPr>
              <w:t>③</w:t>
            </w:r>
            <w:r>
              <w:rPr>
                <w:rFonts w:ascii="Times New Roman" w:hAnsi="Times New Roman" w:eastAsia="宋体" w:cs="Times New Roman"/>
                <w:sz w:val="24"/>
              </w:rPr>
              <w:fldChar w:fldCharType="end"/>
            </w:r>
            <w:r>
              <w:rPr>
                <w:rFonts w:hint="eastAsia" w:ascii="Times New Roman" w:hAnsi="Times New Roman" w:eastAsia="宋体" w:cs="Times New Roman"/>
                <w:sz w:val="24"/>
              </w:rPr>
              <w:t>峨边彝族自治县</w:t>
            </w:r>
            <w:r>
              <w:rPr>
                <w:rFonts w:ascii="Times New Roman" w:hAnsi="Times New Roman" w:eastAsia="宋体" w:cs="Times New Roman"/>
                <w:sz w:val="24"/>
                <w:szCs w:val="24"/>
                <w:shd w:val="clear" w:color="auto" w:fill="FFFFFF"/>
              </w:rPr>
              <w:t>空气质量限期达标规划</w:t>
            </w:r>
          </w:p>
          <w:p w14:paraId="00E52058">
            <w:pPr>
              <w:adjustRightInd w:val="0"/>
              <w:snapToGrid w:val="0"/>
              <w:spacing w:line="480" w:lineRule="exact"/>
              <w:ind w:right="78" w:rightChars="37" w:firstLine="480" w:firstLineChars="200"/>
              <w:rPr>
                <w:rFonts w:ascii="Times New Roman" w:hAnsi="Times New Roman" w:eastAsia="宋体" w:cs="Times New Roman"/>
                <w:sz w:val="24"/>
              </w:rPr>
            </w:pPr>
            <w:r>
              <w:rPr>
                <w:rFonts w:hint="eastAsia" w:ascii="Times New Roman" w:hAnsi="Times New Roman" w:eastAsia="宋体" w:cs="Times New Roman"/>
                <w:sz w:val="24"/>
              </w:rPr>
              <w:t>《峨边彝族自治县环境空气质量限期达标规划（2018年</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rPr>
              <w:t>2025年）》规划目标与阶段性目标：近期目标：到2020年，全县PM2.5年均浓度控制在45μg/m</w:t>
            </w:r>
            <w:r>
              <w:rPr>
                <w:rFonts w:hint="eastAsia" w:ascii="Times New Roman" w:hAnsi="Times New Roman" w:eastAsia="宋体" w:cs="Times New Roman"/>
                <w:sz w:val="24"/>
                <w:vertAlign w:val="superscript"/>
              </w:rPr>
              <w:t>3</w:t>
            </w:r>
            <w:r>
              <w:rPr>
                <w:rFonts w:hint="eastAsia" w:ascii="Times New Roman" w:hAnsi="Times New Roman" w:eastAsia="宋体" w:cs="Times New Roman"/>
                <w:sz w:val="24"/>
              </w:rPr>
              <w:t>以内，大气环境优良天数率比例达到85%以上。远期目标：力争到2025年，PM10控制在70μg/m</w:t>
            </w:r>
            <w:r>
              <w:rPr>
                <w:rFonts w:hint="eastAsia" w:ascii="Times New Roman" w:hAnsi="Times New Roman" w:eastAsia="宋体" w:cs="Times New Roman"/>
                <w:sz w:val="24"/>
                <w:vertAlign w:val="superscript"/>
              </w:rPr>
              <w:t>3</w:t>
            </w:r>
            <w:r>
              <w:rPr>
                <w:rFonts w:hint="eastAsia" w:ascii="Times New Roman" w:hAnsi="Times New Roman" w:eastAsia="宋体" w:cs="Times New Roman"/>
                <w:sz w:val="24"/>
              </w:rPr>
              <w:t>以内，PM2.5控制在35μg/m</w:t>
            </w:r>
            <w:r>
              <w:rPr>
                <w:rFonts w:hint="eastAsia" w:ascii="Times New Roman" w:hAnsi="Times New Roman" w:eastAsia="宋体" w:cs="Times New Roman"/>
                <w:sz w:val="24"/>
                <w:vertAlign w:val="superscript"/>
              </w:rPr>
              <w:t>3</w:t>
            </w:r>
            <w:r>
              <w:rPr>
                <w:rFonts w:hint="eastAsia" w:ascii="Times New Roman" w:hAnsi="Times New Roman" w:eastAsia="宋体" w:cs="Times New Roman"/>
                <w:sz w:val="24"/>
              </w:rPr>
              <w:t>以内，达到国家二级标准要求。阶段性目标：以基准年为基础，达标期限内实施阶段式滚动目标，分两个阶段逐步改善空气质量，第一阶段，近期2018</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rPr>
              <w:t>2020年，第二阶段，中长期2021</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rPr>
              <w:t>2025年。</w:t>
            </w:r>
          </w:p>
          <w:p w14:paraId="71167894">
            <w:pPr>
              <w:adjustRightInd w:val="0"/>
              <w:snapToGrid w:val="0"/>
              <w:spacing w:line="480" w:lineRule="exact"/>
              <w:ind w:right="78" w:rightChars="37" w:firstLine="480" w:firstLineChars="200"/>
              <w:jc w:val="left"/>
              <w:rPr>
                <w:rFonts w:ascii="Times New Roman" w:hAnsi="Times New Roman" w:eastAsia="宋体" w:cs="Times New Roman"/>
                <w:sz w:val="24"/>
              </w:rPr>
            </w:pPr>
            <w:r>
              <w:rPr>
                <w:rFonts w:hint="eastAsia" w:ascii="Times New Roman" w:hAnsi="Times New Roman" w:eastAsia="宋体" w:cs="Times New Roman"/>
                <w:sz w:val="24"/>
              </w:rPr>
              <w:t>综合考虑峨边彝族自治县经济发展特点和大气污染状况，峨边彝族自治县空气质量达标战略主要包括以下内容：一是通过调整能源结构、升级产业结构、优化空间布局、强化污染减排等手段，逐步推进大气污染源头控制；二是以矿山、建材、铁合金、化工、扬尘、机动车、餐饮、秸秆燃烧为重点污染源，推进多污染源综合控制；三是针对SO</w:t>
            </w:r>
            <w:r>
              <w:rPr>
                <w:rFonts w:hint="eastAsia" w:ascii="Times New Roman" w:hAnsi="Times New Roman" w:eastAsia="宋体" w:cs="Times New Roman"/>
                <w:sz w:val="24"/>
                <w:vertAlign w:val="subscript"/>
              </w:rPr>
              <w:t>2</w:t>
            </w:r>
            <w:r>
              <w:rPr>
                <w:rFonts w:hint="eastAsia" w:ascii="Times New Roman" w:hAnsi="Times New Roman" w:eastAsia="宋体" w:cs="Times New Roman"/>
                <w:sz w:val="24"/>
              </w:rPr>
              <w:t>、NOx、PM、VOCs等大气污染物，推进多污染物协同控制，同时把对NH</w:t>
            </w:r>
            <w:r>
              <w:rPr>
                <w:rFonts w:hint="eastAsia" w:ascii="Times New Roman" w:hAnsi="Times New Roman" w:eastAsia="宋体" w:cs="Times New Roman"/>
                <w:sz w:val="24"/>
                <w:vertAlign w:val="subscript"/>
              </w:rPr>
              <w:t>3</w:t>
            </w:r>
            <w:r>
              <w:rPr>
                <w:rFonts w:hint="eastAsia" w:ascii="Times New Roman" w:hAnsi="Times New Roman" w:eastAsia="宋体" w:cs="Times New Roman"/>
                <w:sz w:val="24"/>
              </w:rPr>
              <w:t>的排放控制纳入政策视野。在2020年、2022年、2024年对空气质量达标规划实施情况开展跟踪评价，查找不足，有针对性地提出改进措施，逐步实现城市空气质量达标。</w:t>
            </w:r>
          </w:p>
          <w:p w14:paraId="061CB0D8">
            <w:pPr>
              <w:adjustRightInd w:val="0"/>
              <w:snapToGrid w:val="0"/>
              <w:spacing w:line="480" w:lineRule="exact"/>
              <w:ind w:right="78" w:rightChars="37" w:firstLine="480" w:firstLineChars="200"/>
              <w:rPr>
                <w:rFonts w:ascii="Times New Roman" w:hAnsi="Times New Roman" w:eastAsia="宋体" w:cs="Times New Roman"/>
                <w:sz w:val="24"/>
              </w:rPr>
            </w:pPr>
            <w:r>
              <w:rPr>
                <w:rFonts w:ascii="Times New Roman" w:hAnsi="Times New Roman" w:eastAsia="宋体" w:cs="Times New Roman"/>
                <w:sz w:val="24"/>
              </w:rPr>
              <w:t>综上，项目所在区域不达标指标PM</w:t>
            </w:r>
            <w:r>
              <w:rPr>
                <w:rFonts w:ascii="Times New Roman" w:hAnsi="Times New Roman" w:eastAsia="宋体" w:cs="Times New Roman"/>
                <w:sz w:val="24"/>
                <w:vertAlign w:val="subscript"/>
              </w:rPr>
              <w:t>2.5</w:t>
            </w:r>
            <w:r>
              <w:rPr>
                <w:rFonts w:ascii="Times New Roman" w:hAnsi="Times New Roman" w:eastAsia="宋体" w:cs="Times New Roman"/>
                <w:sz w:val="24"/>
              </w:rPr>
              <w:t>预期可满足《环境空气质量标准》（GB3095-2012）及其修改单中二级标准要求。</w:t>
            </w:r>
          </w:p>
          <w:p w14:paraId="15B8FCDA">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二、地表水环境质量</w:t>
            </w:r>
          </w:p>
          <w:p w14:paraId="74C8FB61">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根据《乐山市2019年环境质量公报》数据显示：</w:t>
            </w:r>
            <w:r>
              <w:rPr>
                <w:rFonts w:hint="eastAsia" w:ascii="Times New Roman" w:hAnsi="Times New Roman" w:eastAsia="宋体" w:cs="Times New Roman"/>
                <w:sz w:val="24"/>
                <w:szCs w:val="24"/>
              </w:rPr>
              <w:t>2019年，乐山市47个监测断面中达到或优于</w:t>
            </w:r>
            <w:r>
              <w:rPr>
                <w:rFonts w:ascii="Times New Roman" w:hAnsi="Times New Roman" w:eastAsia="宋体" w:cs="Times New Roman"/>
                <w:sz w:val="24"/>
                <w:szCs w:val="24"/>
              </w:rPr>
              <w:t>Ⅲ</w:t>
            </w:r>
            <w:r>
              <w:rPr>
                <w:rFonts w:hint="eastAsia" w:ascii="Times New Roman" w:hAnsi="Times New Roman" w:eastAsia="宋体" w:cs="Times New Roman"/>
                <w:sz w:val="24"/>
                <w:szCs w:val="24"/>
              </w:rPr>
              <w:t>类水质断面3</w:t>
            </w:r>
            <w:r>
              <w:rPr>
                <w:rFonts w:ascii="Times New Roman" w:hAnsi="Times New Roman" w:eastAsia="宋体" w:cs="Times New Roman"/>
                <w:sz w:val="24"/>
                <w:szCs w:val="24"/>
              </w:rPr>
              <w:t>9</w:t>
            </w:r>
            <w:r>
              <w:rPr>
                <w:rFonts w:hint="eastAsia" w:ascii="Times New Roman" w:hAnsi="Times New Roman" w:eastAsia="宋体" w:cs="Times New Roman"/>
                <w:sz w:val="24"/>
                <w:szCs w:val="24"/>
              </w:rPr>
              <w:t>个，达标率8</w:t>
            </w:r>
            <w:r>
              <w:rPr>
                <w:rFonts w:ascii="Times New Roman" w:hAnsi="Times New Roman" w:eastAsia="宋体" w:cs="Times New Roman"/>
                <w:sz w:val="24"/>
                <w:szCs w:val="24"/>
              </w:rPr>
              <w:t>3.0</w:t>
            </w:r>
            <w:r>
              <w:rPr>
                <w:rFonts w:hint="eastAsia" w:ascii="Times New Roman" w:hAnsi="Times New Roman" w:eastAsia="宋体" w:cs="Times New Roman"/>
                <w:sz w:val="24"/>
                <w:szCs w:val="24"/>
              </w:rPr>
              <w:t>%，同比上升了4</w:t>
            </w:r>
            <w:r>
              <w:rPr>
                <w:rFonts w:ascii="Times New Roman" w:hAnsi="Times New Roman" w:eastAsia="宋体" w:cs="Times New Roman"/>
                <w:sz w:val="24"/>
                <w:szCs w:val="24"/>
              </w:rPr>
              <w:t>.3</w:t>
            </w:r>
            <w:r>
              <w:rPr>
                <w:rFonts w:hint="eastAsia" w:ascii="Times New Roman" w:hAnsi="Times New Roman" w:eastAsia="宋体" w:cs="Times New Roman"/>
                <w:sz w:val="24"/>
                <w:szCs w:val="24"/>
              </w:rPr>
              <w:t>%；Ⅱ类、Ⅲ类、Ⅳ类、Ⅴ类和劣Ⅴ类水质所占比例分别为5</w:t>
            </w:r>
            <w:r>
              <w:rPr>
                <w:rFonts w:ascii="Times New Roman" w:hAnsi="Times New Roman" w:eastAsia="宋体" w:cs="Times New Roman"/>
                <w:sz w:val="24"/>
                <w:szCs w:val="24"/>
              </w:rPr>
              <w:t>3.2</w:t>
            </w:r>
            <w:r>
              <w:rPr>
                <w:rFonts w:hint="eastAsia" w:ascii="Times New Roman" w:hAnsi="Times New Roman" w:eastAsia="宋体" w:cs="Times New Roman"/>
                <w:sz w:val="24"/>
                <w:szCs w:val="24"/>
              </w:rPr>
              <w:t>%、2</w:t>
            </w:r>
            <w:r>
              <w:rPr>
                <w:rFonts w:ascii="Times New Roman" w:hAnsi="Times New Roman" w:eastAsia="宋体" w:cs="Times New Roman"/>
                <w:sz w:val="24"/>
                <w:szCs w:val="24"/>
              </w:rPr>
              <w:t>9.8</w:t>
            </w:r>
            <w:r>
              <w:rPr>
                <w:rFonts w:hint="eastAsia" w:ascii="Times New Roman" w:hAnsi="Times New Roman" w:eastAsia="宋体" w:cs="Times New Roman"/>
                <w:sz w:val="24"/>
                <w:szCs w:val="24"/>
              </w:rPr>
              <w:t>%、4</w:t>
            </w:r>
            <w:r>
              <w:rPr>
                <w:rFonts w:ascii="Times New Roman" w:hAnsi="Times New Roman" w:eastAsia="宋体" w:cs="Times New Roman"/>
                <w:sz w:val="24"/>
                <w:szCs w:val="24"/>
              </w:rPr>
              <w:t>.3</w:t>
            </w:r>
            <w:r>
              <w:rPr>
                <w:rFonts w:hint="eastAsia" w:ascii="Times New Roman" w:hAnsi="Times New Roman" w:eastAsia="宋体" w:cs="Times New Roman"/>
                <w:sz w:val="24"/>
                <w:szCs w:val="24"/>
              </w:rPr>
              <w:t>%、6</w:t>
            </w:r>
            <w:r>
              <w:rPr>
                <w:rFonts w:ascii="Times New Roman" w:hAnsi="Times New Roman" w:eastAsia="宋体" w:cs="Times New Roman"/>
                <w:sz w:val="24"/>
                <w:szCs w:val="24"/>
              </w:rPr>
              <w:t>.4</w:t>
            </w:r>
            <w:r>
              <w:rPr>
                <w:rFonts w:hint="eastAsia" w:ascii="Times New Roman" w:hAnsi="Times New Roman" w:eastAsia="宋体" w:cs="Times New Roman"/>
                <w:sz w:val="24"/>
                <w:szCs w:val="24"/>
              </w:rPr>
              <w:t>%、6</w:t>
            </w:r>
            <w:r>
              <w:rPr>
                <w:rFonts w:ascii="Times New Roman" w:hAnsi="Times New Roman" w:eastAsia="宋体" w:cs="Times New Roman"/>
                <w:sz w:val="24"/>
                <w:szCs w:val="24"/>
              </w:rPr>
              <w:t>.4</w:t>
            </w:r>
            <w:r>
              <w:rPr>
                <w:rFonts w:hint="eastAsia" w:ascii="Times New Roman" w:hAnsi="Times New Roman" w:eastAsia="宋体" w:cs="Times New Roman"/>
                <w:sz w:val="24"/>
                <w:szCs w:val="24"/>
              </w:rPr>
              <w:t>%。地表水断面水质监测中主要污染指标为总磷。</w:t>
            </w:r>
          </w:p>
          <w:p w14:paraId="5D609D51">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乐山市1</w:t>
            </w:r>
            <w:r>
              <w:rPr>
                <w:rFonts w:ascii="Times New Roman" w:hAnsi="Times New Roman" w:eastAsia="宋体" w:cs="Times New Roman"/>
                <w:sz w:val="24"/>
                <w:szCs w:val="24"/>
              </w:rPr>
              <w:t>0</w:t>
            </w:r>
            <w:r>
              <w:rPr>
                <w:rFonts w:hint="eastAsia" w:ascii="Times New Roman" w:hAnsi="Times New Roman" w:eastAsia="宋体" w:cs="Times New Roman"/>
                <w:sz w:val="24"/>
                <w:szCs w:val="24"/>
              </w:rPr>
              <w:t>个国控、省控地表水断面中，监测断面总体达标率为9</w:t>
            </w:r>
            <w:r>
              <w:rPr>
                <w:rFonts w:ascii="Times New Roman" w:hAnsi="Times New Roman" w:eastAsia="宋体" w:cs="Times New Roman"/>
                <w:sz w:val="24"/>
                <w:szCs w:val="24"/>
              </w:rPr>
              <w:t>0</w:t>
            </w:r>
            <w:r>
              <w:rPr>
                <w:rFonts w:hint="eastAsia" w:ascii="Times New Roman" w:hAnsi="Times New Roman" w:eastAsia="宋体" w:cs="Times New Roman"/>
                <w:sz w:val="24"/>
                <w:szCs w:val="24"/>
              </w:rPr>
              <w:t>%；青衣江、大渡河、马边河、龙溪河水质优，岷江乐山段水质良好，茫溪河水质受到中度污染。</w:t>
            </w:r>
          </w:p>
          <w:p w14:paraId="5E80079D">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根据导则和项目所在地环境特征，委托</w:t>
            </w:r>
            <w:r>
              <w:rPr>
                <w:rFonts w:hint="eastAsia" w:ascii="Times New Roman" w:hAnsi="Times New Roman" w:eastAsia="宋体" w:cs="Times New Roman"/>
                <w:sz w:val="24"/>
                <w:szCs w:val="24"/>
              </w:rPr>
              <w:t>四川羽润晨环保科技有限公司</w:t>
            </w:r>
            <w:r>
              <w:rPr>
                <w:rFonts w:ascii="Times New Roman" w:hAnsi="Times New Roman" w:eastAsia="宋体" w:cs="Times New Roman"/>
                <w:sz w:val="24"/>
                <w:szCs w:val="24"/>
              </w:rPr>
              <w:t>于2020年</w:t>
            </w:r>
            <w:r>
              <w:rPr>
                <w:rFonts w:hint="eastAsia" w:ascii="Times New Roman" w:hAnsi="Times New Roman" w:eastAsia="宋体" w:cs="Times New Roman"/>
                <w:sz w:val="24"/>
                <w:szCs w:val="24"/>
                <w:lang w:eastAsia="zh-CN"/>
              </w:rPr>
              <w:t>7月6日</w:t>
            </w:r>
            <w:r>
              <w:rPr>
                <w:rFonts w:hint="eastAsia" w:ascii="Times New Roman" w:hAnsi="Times New Roman" w:eastAsia="宋体" w:cs="Times New Roman"/>
                <w:sz w:val="24"/>
                <w:szCs w:val="24"/>
              </w:rPr>
              <w:t>~</w:t>
            </w:r>
            <w:r>
              <w:rPr>
                <w:rFonts w:ascii="Times New Roman" w:hAnsi="Times New Roman" w:eastAsia="宋体" w:cs="Times New Roman"/>
                <w:sz w:val="24"/>
                <w:szCs w:val="24"/>
              </w:rPr>
              <w:t>8日在项目</w:t>
            </w:r>
            <w:r>
              <w:rPr>
                <w:rFonts w:hint="eastAsia" w:ascii="Times New Roman" w:hAnsi="Times New Roman" w:eastAsia="宋体" w:cs="Times New Roman"/>
                <w:sz w:val="24"/>
                <w:szCs w:val="24"/>
              </w:rPr>
              <w:t>上下游进行水质断面监测。</w:t>
            </w:r>
            <w:r>
              <w:rPr>
                <w:rFonts w:ascii="Times New Roman" w:hAnsi="Times New Roman" w:eastAsia="宋体" w:cs="Times New Roman"/>
                <w:sz w:val="24"/>
                <w:szCs w:val="24"/>
              </w:rPr>
              <w:t>监测统计结果见下表3-2所示。</w:t>
            </w:r>
          </w:p>
          <w:p w14:paraId="70B0EE0B">
            <w:pPr>
              <w:spacing w:line="360" w:lineRule="auto"/>
              <w:ind w:firstLine="480" w:firstLineChars="200"/>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表3</w:t>
            </w:r>
            <w:r>
              <w:rPr>
                <w:rFonts w:ascii="Times New Roman" w:hAnsi="Times New Roman" w:eastAsia="宋体" w:cs="Times New Roman"/>
                <w:sz w:val="24"/>
                <w:szCs w:val="24"/>
              </w:rPr>
              <w:t xml:space="preserve">-2 </w:t>
            </w:r>
            <w:r>
              <w:rPr>
                <w:rFonts w:hint="eastAsia" w:ascii="Times New Roman" w:hAnsi="Times New Roman" w:eastAsia="宋体" w:cs="Times New Roman"/>
                <w:sz w:val="24"/>
                <w:szCs w:val="24"/>
              </w:rPr>
              <w:t>地表水检测结果统计表</w:t>
            </w:r>
          </w:p>
          <w:tbl>
            <w:tblPr>
              <w:tblStyle w:val="26"/>
              <w:tblW w:w="5000" w:type="pct"/>
              <w:tblInd w:w="0" w:type="dxa"/>
              <w:tblLayout w:type="autofit"/>
              <w:tblCellMar>
                <w:top w:w="0" w:type="dxa"/>
                <w:left w:w="0" w:type="dxa"/>
                <w:bottom w:w="0" w:type="dxa"/>
                <w:right w:w="0" w:type="dxa"/>
              </w:tblCellMar>
            </w:tblPr>
            <w:tblGrid>
              <w:gridCol w:w="1796"/>
              <w:gridCol w:w="884"/>
              <w:gridCol w:w="1727"/>
              <w:gridCol w:w="1731"/>
              <w:gridCol w:w="1729"/>
              <w:gridCol w:w="1186"/>
            </w:tblGrid>
            <w:tr w14:paraId="0B30CCBB">
              <w:tblPrEx>
                <w:tblCellMar>
                  <w:top w:w="0" w:type="dxa"/>
                  <w:left w:w="0" w:type="dxa"/>
                  <w:bottom w:w="0" w:type="dxa"/>
                  <w:right w:w="0" w:type="dxa"/>
                </w:tblCellMar>
              </w:tblPrEx>
              <w:tc>
                <w:tcPr>
                  <w:tcW w:w="1480" w:type="pct"/>
                  <w:gridSpan w:val="2"/>
                  <w:tcBorders>
                    <w:top w:val="single" w:color="auto" w:sz="12" w:space="0"/>
                    <w:left w:val="single" w:color="auto" w:sz="12" w:space="0"/>
                    <w:bottom w:val="single" w:color="000000" w:sz="4" w:space="0"/>
                    <w:right w:val="single" w:color="000000" w:sz="4" w:space="0"/>
                  </w:tcBorders>
                  <w:shd w:val="clear" w:color="auto" w:fill="auto"/>
                </w:tcPr>
                <w:p w14:paraId="4EA91E4C">
                  <w:pPr>
                    <w:pStyle w:val="149"/>
                    <w:ind w:left="996"/>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检测点位 </w:t>
                  </w:r>
                </w:p>
              </w:tc>
              <w:tc>
                <w:tcPr>
                  <w:tcW w:w="3520" w:type="pct"/>
                  <w:gridSpan w:val="4"/>
                  <w:tcBorders>
                    <w:top w:val="single" w:color="auto" w:sz="12" w:space="0"/>
                    <w:left w:val="single" w:color="000000" w:sz="4" w:space="0"/>
                    <w:bottom w:val="single" w:color="000000" w:sz="4" w:space="0"/>
                    <w:right w:val="single" w:color="auto" w:sz="12" w:space="0"/>
                  </w:tcBorders>
                  <w:shd w:val="clear" w:color="auto" w:fill="auto"/>
                </w:tcPr>
                <w:p w14:paraId="48FC1EA7">
                  <w:pPr>
                    <w:pStyle w:val="149"/>
                    <w:ind w:left="96"/>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1#白沙河上游</w:t>
                  </w:r>
                  <w:r>
                    <w:rPr>
                      <w:rFonts w:ascii="Times New Roman" w:hAnsi="Times New Roman" w:eastAsia="宋体" w:cs="Times New Roman"/>
                      <w:spacing w:val="-53"/>
                      <w:sz w:val="21"/>
                      <w:szCs w:val="21"/>
                      <w:lang w:eastAsia="zh-CN"/>
                    </w:rPr>
                    <w:t xml:space="preserve"> </w:t>
                  </w:r>
                  <w:r>
                    <w:rPr>
                      <w:rFonts w:ascii="Times New Roman" w:hAnsi="Times New Roman" w:eastAsia="宋体" w:cs="Times New Roman"/>
                      <w:sz w:val="21"/>
                      <w:szCs w:val="21"/>
                      <w:lang w:eastAsia="zh-CN"/>
                    </w:rPr>
                    <w:t>500m</w:t>
                  </w:r>
                  <w:r>
                    <w:rPr>
                      <w:rFonts w:ascii="Times New Roman" w:hAnsi="Times New Roman" w:eastAsia="宋体" w:cs="Times New Roman"/>
                      <w:spacing w:val="-55"/>
                      <w:sz w:val="21"/>
                      <w:szCs w:val="21"/>
                      <w:lang w:eastAsia="zh-CN"/>
                    </w:rPr>
                    <w:t xml:space="preserve"> </w:t>
                  </w:r>
                  <w:r>
                    <w:rPr>
                      <w:rFonts w:ascii="Times New Roman" w:hAnsi="Times New Roman" w:eastAsia="宋体" w:cs="Times New Roman"/>
                      <w:spacing w:val="-3"/>
                      <w:sz w:val="21"/>
                      <w:szCs w:val="21"/>
                      <w:lang w:eastAsia="zh-CN"/>
                    </w:rPr>
                    <w:t>处</w:t>
                  </w:r>
                  <w:r>
                    <w:rPr>
                      <w:rFonts w:ascii="Times New Roman" w:hAnsi="Times New Roman" w:eastAsia="宋体" w:cs="Times New Roman"/>
                      <w:sz w:val="21"/>
                      <w:szCs w:val="21"/>
                      <w:lang w:eastAsia="zh-CN"/>
                    </w:rPr>
                    <w:t xml:space="preserve"> </w:t>
                  </w:r>
                </w:p>
              </w:tc>
            </w:tr>
            <w:tr w14:paraId="17D4789F">
              <w:tblPrEx>
                <w:tblCellMar>
                  <w:top w:w="0" w:type="dxa"/>
                  <w:left w:w="0" w:type="dxa"/>
                  <w:bottom w:w="0" w:type="dxa"/>
                  <w:right w:w="0" w:type="dxa"/>
                </w:tblCellMar>
              </w:tblPrEx>
              <w:tc>
                <w:tcPr>
                  <w:tcW w:w="1480" w:type="pct"/>
                  <w:gridSpan w:val="2"/>
                  <w:tcBorders>
                    <w:top w:val="single" w:color="000000" w:sz="4" w:space="0"/>
                    <w:left w:val="single" w:color="auto" w:sz="12" w:space="0"/>
                    <w:bottom w:val="single" w:color="000000" w:sz="4" w:space="0"/>
                    <w:right w:val="single" w:color="000000" w:sz="4" w:space="0"/>
                  </w:tcBorders>
                  <w:shd w:val="clear" w:color="auto" w:fill="auto"/>
                </w:tcPr>
                <w:p w14:paraId="6A2AD029">
                  <w:pPr>
                    <w:pStyle w:val="149"/>
                    <w:spacing w:before="2"/>
                    <w:ind w:left="996"/>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采样日期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0780B7DF">
                  <w:pPr>
                    <w:pStyle w:val="149"/>
                    <w:spacing w:before="2"/>
                    <w:ind w:left="117"/>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2020</w:t>
                  </w:r>
                  <w:r>
                    <w:rPr>
                      <w:rFonts w:ascii="Times New Roman" w:hAnsi="Times New Roman" w:eastAsia="宋体" w:cs="Times New Roman"/>
                      <w:spacing w:val="-54"/>
                      <w:sz w:val="21"/>
                      <w:szCs w:val="21"/>
                      <w:lang w:eastAsia="zh-CN"/>
                    </w:rPr>
                    <w:t xml:space="preserve"> </w:t>
                  </w:r>
                  <w:r>
                    <w:rPr>
                      <w:rFonts w:ascii="Times New Roman" w:hAnsi="Times New Roman" w:eastAsia="宋体" w:cs="Times New Roman"/>
                      <w:sz w:val="21"/>
                      <w:szCs w:val="21"/>
                      <w:lang w:eastAsia="zh-CN"/>
                    </w:rPr>
                    <w:t>年</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07</w:t>
                  </w:r>
                  <w:r>
                    <w:rPr>
                      <w:rFonts w:ascii="Times New Roman" w:hAnsi="Times New Roman" w:eastAsia="宋体" w:cs="Times New Roman"/>
                      <w:spacing w:val="-54"/>
                      <w:sz w:val="21"/>
                      <w:szCs w:val="21"/>
                      <w:lang w:eastAsia="zh-CN"/>
                    </w:rPr>
                    <w:t xml:space="preserve"> </w:t>
                  </w:r>
                  <w:r>
                    <w:rPr>
                      <w:rFonts w:ascii="Times New Roman" w:hAnsi="Times New Roman" w:eastAsia="宋体" w:cs="Times New Roman"/>
                      <w:sz w:val="21"/>
                      <w:szCs w:val="21"/>
                      <w:lang w:eastAsia="zh-CN"/>
                    </w:rPr>
                    <w:t>月</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06</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pacing w:val="-3"/>
                      <w:sz w:val="21"/>
                      <w:szCs w:val="21"/>
                      <w:lang w:eastAsia="zh-CN"/>
                    </w:rPr>
                    <w:t>日</w:t>
                  </w:r>
                  <w:r>
                    <w:rPr>
                      <w:rFonts w:ascii="Times New Roman" w:hAnsi="Times New Roman" w:eastAsia="宋体" w:cs="Times New Roman"/>
                      <w:sz w:val="21"/>
                      <w:szCs w:val="21"/>
                      <w:lang w:eastAsia="zh-CN"/>
                    </w:rPr>
                    <w:t xml:space="preserve"> </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701AACF7">
                  <w:pPr>
                    <w:pStyle w:val="149"/>
                    <w:spacing w:before="2"/>
                    <w:ind w:left="12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2020</w:t>
                  </w:r>
                  <w:r>
                    <w:rPr>
                      <w:rFonts w:ascii="Times New Roman" w:hAnsi="Times New Roman" w:eastAsia="宋体" w:cs="Times New Roman"/>
                      <w:spacing w:val="-54"/>
                      <w:sz w:val="21"/>
                      <w:szCs w:val="21"/>
                      <w:lang w:eastAsia="zh-CN"/>
                    </w:rPr>
                    <w:t xml:space="preserve"> </w:t>
                  </w:r>
                  <w:r>
                    <w:rPr>
                      <w:rFonts w:ascii="Times New Roman" w:hAnsi="Times New Roman" w:eastAsia="宋体" w:cs="Times New Roman"/>
                      <w:sz w:val="21"/>
                      <w:szCs w:val="21"/>
                      <w:lang w:eastAsia="zh-CN"/>
                    </w:rPr>
                    <w:t>年</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07</w:t>
                  </w:r>
                  <w:r>
                    <w:rPr>
                      <w:rFonts w:ascii="Times New Roman" w:hAnsi="Times New Roman" w:eastAsia="宋体" w:cs="Times New Roman"/>
                      <w:spacing w:val="-54"/>
                      <w:sz w:val="21"/>
                      <w:szCs w:val="21"/>
                      <w:lang w:eastAsia="zh-CN"/>
                    </w:rPr>
                    <w:t xml:space="preserve"> </w:t>
                  </w:r>
                  <w:r>
                    <w:rPr>
                      <w:rFonts w:ascii="Times New Roman" w:hAnsi="Times New Roman" w:eastAsia="宋体" w:cs="Times New Roman"/>
                      <w:sz w:val="21"/>
                      <w:szCs w:val="21"/>
                      <w:lang w:eastAsia="zh-CN"/>
                    </w:rPr>
                    <w:t>月</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07</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pacing w:val="-3"/>
                      <w:sz w:val="21"/>
                      <w:szCs w:val="21"/>
                      <w:lang w:eastAsia="zh-CN"/>
                    </w:rPr>
                    <w:t>日</w:t>
                  </w:r>
                  <w:r>
                    <w:rPr>
                      <w:rFonts w:ascii="Times New Roman" w:hAnsi="Times New Roman" w:eastAsia="宋体" w:cs="Times New Roman"/>
                      <w:sz w:val="21"/>
                      <w:szCs w:val="21"/>
                      <w:lang w:eastAsia="zh-CN"/>
                    </w:rPr>
                    <w:t xml:space="preserve"> </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4A6A8075">
                  <w:pPr>
                    <w:pStyle w:val="149"/>
                    <w:spacing w:before="2"/>
                    <w:ind w:left="12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2020</w:t>
                  </w:r>
                  <w:r>
                    <w:rPr>
                      <w:rFonts w:ascii="Times New Roman" w:hAnsi="Times New Roman" w:eastAsia="宋体" w:cs="Times New Roman"/>
                      <w:spacing w:val="-54"/>
                      <w:sz w:val="21"/>
                      <w:szCs w:val="21"/>
                      <w:lang w:eastAsia="zh-CN"/>
                    </w:rPr>
                    <w:t xml:space="preserve"> </w:t>
                  </w:r>
                  <w:r>
                    <w:rPr>
                      <w:rFonts w:ascii="Times New Roman" w:hAnsi="Times New Roman" w:eastAsia="宋体" w:cs="Times New Roman"/>
                      <w:sz w:val="21"/>
                      <w:szCs w:val="21"/>
                      <w:lang w:eastAsia="zh-CN"/>
                    </w:rPr>
                    <w:t>年</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07</w:t>
                  </w:r>
                  <w:r>
                    <w:rPr>
                      <w:rFonts w:ascii="Times New Roman" w:hAnsi="Times New Roman" w:eastAsia="宋体" w:cs="Times New Roman"/>
                      <w:spacing w:val="-54"/>
                      <w:sz w:val="21"/>
                      <w:szCs w:val="21"/>
                      <w:lang w:eastAsia="zh-CN"/>
                    </w:rPr>
                    <w:t xml:space="preserve"> </w:t>
                  </w:r>
                  <w:r>
                    <w:rPr>
                      <w:rFonts w:ascii="Times New Roman" w:hAnsi="Times New Roman" w:eastAsia="宋体" w:cs="Times New Roman"/>
                      <w:sz w:val="21"/>
                      <w:szCs w:val="21"/>
                      <w:lang w:eastAsia="zh-CN"/>
                    </w:rPr>
                    <w:t>月</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08</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pacing w:val="-4"/>
                      <w:sz w:val="21"/>
                      <w:szCs w:val="21"/>
                      <w:lang w:eastAsia="zh-CN"/>
                    </w:rPr>
                    <w:t>日</w:t>
                  </w:r>
                  <w:r>
                    <w:rPr>
                      <w:rFonts w:ascii="Times New Roman" w:hAnsi="Times New Roman" w:eastAsia="宋体" w:cs="Times New Roman"/>
                      <w:b/>
                      <w:bCs/>
                      <w:w w:val="99"/>
                      <w:sz w:val="21"/>
                      <w:szCs w:val="21"/>
                      <w:lang w:eastAsia="zh-CN"/>
                    </w:rPr>
                    <w:t xml:space="preserve"> </w:t>
                  </w:r>
                </w:p>
              </w:tc>
              <w:tc>
                <w:tcPr>
                  <w:tcW w:w="656" w:type="pct"/>
                  <w:vMerge w:val="restart"/>
                  <w:tcBorders>
                    <w:top w:val="single" w:color="000000" w:sz="4" w:space="0"/>
                    <w:left w:val="single" w:color="000000" w:sz="4" w:space="0"/>
                    <w:right w:val="single" w:color="auto" w:sz="12" w:space="0"/>
                  </w:tcBorders>
                  <w:shd w:val="clear" w:color="auto" w:fill="auto"/>
                </w:tcPr>
                <w:p w14:paraId="72CEE4BD">
                  <w:pPr>
                    <w:pStyle w:val="149"/>
                    <w:spacing w:before="4"/>
                    <w:rPr>
                      <w:rFonts w:ascii="Times New Roman" w:hAnsi="Times New Roman" w:eastAsia="宋体" w:cs="Times New Roman"/>
                      <w:b/>
                      <w:bCs/>
                      <w:sz w:val="21"/>
                      <w:szCs w:val="21"/>
                      <w:lang w:eastAsia="zh-CN"/>
                    </w:rPr>
                  </w:pPr>
                </w:p>
                <w:p w14:paraId="062A1782">
                  <w:pPr>
                    <w:pStyle w:val="149"/>
                    <w:ind w:left="251"/>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标准限值</w:t>
                  </w:r>
                </w:p>
              </w:tc>
            </w:tr>
            <w:tr w14:paraId="0B7F979C">
              <w:tblPrEx>
                <w:tblCellMar>
                  <w:top w:w="0" w:type="dxa"/>
                  <w:left w:w="0" w:type="dxa"/>
                  <w:bottom w:w="0" w:type="dxa"/>
                  <w:right w:w="0" w:type="dxa"/>
                </w:tblCellMar>
              </w:tblPrEx>
              <w:tc>
                <w:tcPr>
                  <w:tcW w:w="1480" w:type="pct"/>
                  <w:gridSpan w:val="2"/>
                  <w:tcBorders>
                    <w:top w:val="single" w:color="000000" w:sz="4" w:space="0"/>
                    <w:left w:val="single" w:color="auto" w:sz="12" w:space="0"/>
                    <w:bottom w:val="single" w:color="000000" w:sz="4" w:space="0"/>
                    <w:right w:val="single" w:color="000000" w:sz="4" w:space="0"/>
                  </w:tcBorders>
                  <w:shd w:val="clear" w:color="auto" w:fill="auto"/>
                </w:tcPr>
                <w:p w14:paraId="4D242D8C">
                  <w:pPr>
                    <w:pStyle w:val="149"/>
                    <w:ind w:left="996"/>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样品编号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7FF44021">
                  <w:pPr>
                    <w:pStyle w:val="149"/>
                    <w:spacing w:before="39"/>
                    <w:ind w:left="611"/>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DB1-1-1 </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584D1DE2">
                  <w:pPr>
                    <w:pStyle w:val="149"/>
                    <w:spacing w:before="39"/>
                    <w:ind w:left="614"/>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DB2-1-1 </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21805686">
                  <w:pPr>
                    <w:pStyle w:val="149"/>
                    <w:spacing w:before="39"/>
                    <w:ind w:left="614"/>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DB3-1-1 </w:t>
                  </w:r>
                </w:p>
              </w:tc>
              <w:tc>
                <w:tcPr>
                  <w:tcW w:w="656" w:type="pct"/>
                  <w:vMerge w:val="continue"/>
                  <w:tcBorders>
                    <w:left w:val="single" w:color="000000" w:sz="4" w:space="0"/>
                    <w:right w:val="single" w:color="auto" w:sz="12" w:space="0"/>
                  </w:tcBorders>
                  <w:shd w:val="clear" w:color="auto" w:fill="auto"/>
                </w:tcPr>
                <w:p w14:paraId="538409FA">
                  <w:pPr>
                    <w:rPr>
                      <w:rFonts w:ascii="Times New Roman" w:hAnsi="Times New Roman" w:eastAsia="宋体" w:cs="Times New Roman"/>
                      <w:szCs w:val="21"/>
                    </w:rPr>
                  </w:pPr>
                </w:p>
              </w:tc>
            </w:tr>
            <w:tr w14:paraId="2FAE2B45">
              <w:tblPrEx>
                <w:tblCellMar>
                  <w:top w:w="0" w:type="dxa"/>
                  <w:left w:w="0" w:type="dxa"/>
                  <w:bottom w:w="0" w:type="dxa"/>
                  <w:right w:w="0" w:type="dxa"/>
                </w:tblCellMar>
              </w:tblPrEx>
              <w:tc>
                <w:tcPr>
                  <w:tcW w:w="992" w:type="pct"/>
                  <w:tcBorders>
                    <w:top w:val="single" w:color="000000" w:sz="4" w:space="0"/>
                    <w:left w:val="single" w:color="auto" w:sz="12" w:space="0"/>
                    <w:bottom w:val="single" w:color="000000" w:sz="4" w:space="0"/>
                    <w:right w:val="single" w:color="000000" w:sz="4" w:space="0"/>
                  </w:tcBorders>
                  <w:shd w:val="clear" w:color="auto" w:fill="auto"/>
                </w:tcPr>
                <w:p w14:paraId="38E802B4">
                  <w:pPr>
                    <w:pStyle w:val="149"/>
                    <w:ind w:left="499"/>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检测项目 </w:t>
                  </w:r>
                </w:p>
              </w:tc>
              <w:tc>
                <w:tcPr>
                  <w:tcW w:w="488" w:type="pct"/>
                  <w:tcBorders>
                    <w:top w:val="single" w:color="000000" w:sz="4" w:space="0"/>
                    <w:left w:val="single" w:color="000000" w:sz="4" w:space="0"/>
                    <w:bottom w:val="single" w:color="000000" w:sz="4" w:space="0"/>
                    <w:right w:val="single" w:color="000000" w:sz="4" w:space="0"/>
                  </w:tcBorders>
                  <w:shd w:val="clear" w:color="auto" w:fill="auto"/>
                </w:tcPr>
                <w:p w14:paraId="37BC94B9">
                  <w:pPr>
                    <w:pStyle w:val="149"/>
                    <w:ind w:left="28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单位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58A2552C">
                  <w:pPr>
                    <w:pStyle w:val="149"/>
                    <w:ind w:left="564"/>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检测结果 </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66AA5C43">
                  <w:pPr>
                    <w:pStyle w:val="149"/>
                    <w:ind w:left="566"/>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检测结果 </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30A26A08">
                  <w:pPr>
                    <w:pStyle w:val="149"/>
                    <w:ind w:left="566"/>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检测结果 </w:t>
                  </w:r>
                </w:p>
              </w:tc>
              <w:tc>
                <w:tcPr>
                  <w:tcW w:w="656" w:type="pct"/>
                  <w:vMerge w:val="continue"/>
                  <w:tcBorders>
                    <w:left w:val="single" w:color="000000" w:sz="4" w:space="0"/>
                    <w:bottom w:val="single" w:color="000000" w:sz="4" w:space="0"/>
                    <w:right w:val="single" w:color="auto" w:sz="12" w:space="0"/>
                  </w:tcBorders>
                  <w:shd w:val="clear" w:color="auto" w:fill="auto"/>
                </w:tcPr>
                <w:p w14:paraId="61CA79C3">
                  <w:pPr>
                    <w:rPr>
                      <w:rFonts w:ascii="Times New Roman" w:hAnsi="Times New Roman" w:eastAsia="宋体" w:cs="Times New Roman"/>
                      <w:szCs w:val="21"/>
                    </w:rPr>
                  </w:pPr>
                </w:p>
              </w:tc>
            </w:tr>
            <w:tr w14:paraId="75FD6B18">
              <w:tblPrEx>
                <w:tblCellMar>
                  <w:top w:w="0" w:type="dxa"/>
                  <w:left w:w="0" w:type="dxa"/>
                  <w:bottom w:w="0" w:type="dxa"/>
                  <w:right w:w="0" w:type="dxa"/>
                </w:tblCellMar>
              </w:tblPrEx>
              <w:tc>
                <w:tcPr>
                  <w:tcW w:w="992" w:type="pct"/>
                  <w:tcBorders>
                    <w:top w:val="single" w:color="000000" w:sz="4" w:space="0"/>
                    <w:left w:val="single" w:color="auto" w:sz="12" w:space="0"/>
                    <w:bottom w:val="single" w:color="000000" w:sz="4" w:space="0"/>
                    <w:right w:val="single" w:color="000000" w:sz="4" w:space="0"/>
                  </w:tcBorders>
                  <w:shd w:val="clear" w:color="auto" w:fill="auto"/>
                </w:tcPr>
                <w:p w14:paraId="47BED274">
                  <w:pPr>
                    <w:pStyle w:val="149"/>
                    <w:ind w:left="21"/>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pH</w:t>
                  </w:r>
                  <w:r>
                    <w:rPr>
                      <w:rFonts w:ascii="Times New Roman" w:hAnsi="Times New Roman" w:eastAsia="宋体" w:cs="Times New Roman"/>
                      <w:spacing w:val="1"/>
                      <w:sz w:val="21"/>
                      <w:szCs w:val="21"/>
                      <w:lang w:eastAsia="zh-CN"/>
                    </w:rPr>
                    <w:t xml:space="preserve"> </w:t>
                  </w:r>
                  <w:r>
                    <w:rPr>
                      <w:rFonts w:ascii="Times New Roman" w:hAnsi="Times New Roman" w:eastAsia="宋体" w:cs="Times New Roman"/>
                      <w:sz w:val="21"/>
                      <w:szCs w:val="21"/>
                      <w:lang w:eastAsia="zh-CN"/>
                    </w:rPr>
                    <w:t>值</w:t>
                  </w:r>
                </w:p>
              </w:tc>
              <w:tc>
                <w:tcPr>
                  <w:tcW w:w="488" w:type="pct"/>
                  <w:tcBorders>
                    <w:top w:val="single" w:color="000000" w:sz="4" w:space="0"/>
                    <w:left w:val="single" w:color="000000" w:sz="4" w:space="0"/>
                    <w:bottom w:val="single" w:color="000000" w:sz="4" w:space="0"/>
                    <w:right w:val="single" w:color="000000" w:sz="4" w:space="0"/>
                  </w:tcBorders>
                  <w:shd w:val="clear" w:color="auto" w:fill="auto"/>
                </w:tcPr>
                <w:p w14:paraId="7E9C848D">
                  <w:pPr>
                    <w:pStyle w:val="149"/>
                    <w:ind w:left="175"/>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无量纲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55962250">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8.12</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7BAF3219">
                  <w:pPr>
                    <w:pStyle w:val="149"/>
                    <w:spacing w:before="39"/>
                    <w:ind w:left="2"/>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8.08</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0B21DD86">
                  <w:pPr>
                    <w:pStyle w:val="149"/>
                    <w:spacing w:before="39"/>
                    <w:ind w:left="2"/>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8.02</w:t>
                  </w:r>
                </w:p>
              </w:tc>
              <w:tc>
                <w:tcPr>
                  <w:tcW w:w="656" w:type="pct"/>
                  <w:tcBorders>
                    <w:top w:val="single" w:color="000000" w:sz="4" w:space="0"/>
                    <w:left w:val="single" w:color="000000" w:sz="4" w:space="0"/>
                    <w:bottom w:val="single" w:color="000000" w:sz="4" w:space="0"/>
                    <w:right w:val="single" w:color="auto" w:sz="12" w:space="0"/>
                  </w:tcBorders>
                  <w:shd w:val="clear" w:color="auto" w:fill="auto"/>
                </w:tcPr>
                <w:p w14:paraId="2D3C1BA6">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6</w:t>
                  </w:r>
                  <w:r>
                    <w:rPr>
                      <w:rFonts w:hint="eastAsia" w:ascii="Times New Roman" w:hAnsi="Times New Roman" w:eastAsia="宋体" w:cs="Times New Roman"/>
                      <w:sz w:val="21"/>
                      <w:szCs w:val="21"/>
                      <w:lang w:eastAsia="zh-CN"/>
                    </w:rPr>
                    <w:t>~</w:t>
                  </w:r>
                  <w:r>
                    <w:rPr>
                      <w:rFonts w:ascii="Times New Roman" w:hAnsi="Times New Roman" w:eastAsia="宋体" w:cs="Times New Roman"/>
                      <w:sz w:val="21"/>
                      <w:szCs w:val="21"/>
                      <w:lang w:eastAsia="zh-CN"/>
                    </w:rPr>
                    <w:t>9</w:t>
                  </w:r>
                </w:p>
              </w:tc>
            </w:tr>
            <w:tr w14:paraId="79673D2E">
              <w:tblPrEx>
                <w:tblCellMar>
                  <w:top w:w="0" w:type="dxa"/>
                  <w:left w:w="0" w:type="dxa"/>
                  <w:bottom w:w="0" w:type="dxa"/>
                  <w:right w:w="0" w:type="dxa"/>
                </w:tblCellMar>
              </w:tblPrEx>
              <w:tc>
                <w:tcPr>
                  <w:tcW w:w="992" w:type="pct"/>
                  <w:tcBorders>
                    <w:top w:val="single" w:color="000000" w:sz="4" w:space="0"/>
                    <w:left w:val="single" w:color="auto" w:sz="12" w:space="0"/>
                    <w:bottom w:val="single" w:color="000000" w:sz="4" w:space="0"/>
                    <w:right w:val="single" w:color="000000" w:sz="4" w:space="0"/>
                  </w:tcBorders>
                  <w:shd w:val="clear" w:color="auto" w:fill="auto"/>
                </w:tcPr>
                <w:p w14:paraId="160275FA">
                  <w:pPr>
                    <w:pStyle w:val="149"/>
                    <w:ind w:left="393"/>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化学需氧量 </w:t>
                  </w:r>
                </w:p>
              </w:tc>
              <w:tc>
                <w:tcPr>
                  <w:tcW w:w="488" w:type="pct"/>
                  <w:tcBorders>
                    <w:top w:val="single" w:color="000000" w:sz="4" w:space="0"/>
                    <w:left w:val="single" w:color="000000" w:sz="4" w:space="0"/>
                    <w:bottom w:val="single" w:color="000000" w:sz="4" w:space="0"/>
                    <w:right w:val="single" w:color="000000" w:sz="4" w:space="0"/>
                  </w:tcBorders>
                  <w:shd w:val="clear" w:color="auto" w:fill="auto"/>
                </w:tcPr>
                <w:p w14:paraId="7774ADD7">
                  <w:pPr>
                    <w:pStyle w:val="149"/>
                    <w:ind w:left="28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mg/L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523E0FE2">
                  <w:pPr>
                    <w:pStyle w:val="149"/>
                    <w:spacing w:before="39"/>
                    <w:ind w:right="2"/>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7</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31F437D4">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10</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010E9AFC">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8</w:t>
                  </w:r>
                </w:p>
              </w:tc>
              <w:tc>
                <w:tcPr>
                  <w:tcW w:w="656" w:type="pct"/>
                  <w:tcBorders>
                    <w:top w:val="single" w:color="000000" w:sz="4" w:space="0"/>
                    <w:left w:val="single" w:color="000000" w:sz="4" w:space="0"/>
                    <w:bottom w:val="single" w:color="000000" w:sz="4" w:space="0"/>
                    <w:right w:val="single" w:color="auto" w:sz="12" w:space="0"/>
                  </w:tcBorders>
                  <w:shd w:val="clear" w:color="auto" w:fill="auto"/>
                </w:tcPr>
                <w:p w14:paraId="285C564B">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≤20</w:t>
                  </w:r>
                </w:p>
              </w:tc>
            </w:tr>
            <w:tr w14:paraId="7B46B436">
              <w:tblPrEx>
                <w:tblCellMar>
                  <w:top w:w="0" w:type="dxa"/>
                  <w:left w:w="0" w:type="dxa"/>
                  <w:bottom w:w="0" w:type="dxa"/>
                  <w:right w:w="0" w:type="dxa"/>
                </w:tblCellMar>
              </w:tblPrEx>
              <w:tc>
                <w:tcPr>
                  <w:tcW w:w="992" w:type="pct"/>
                  <w:tcBorders>
                    <w:top w:val="single" w:color="000000" w:sz="4" w:space="0"/>
                    <w:left w:val="single" w:color="auto" w:sz="12" w:space="0"/>
                    <w:bottom w:val="single" w:color="000000" w:sz="4" w:space="0"/>
                    <w:right w:val="single" w:color="000000" w:sz="4" w:space="0"/>
                  </w:tcBorders>
                  <w:shd w:val="clear" w:color="auto" w:fill="auto"/>
                </w:tcPr>
                <w:p w14:paraId="08A3136D">
                  <w:pPr>
                    <w:pStyle w:val="149"/>
                    <w:spacing w:before="28"/>
                    <w:ind w:left="182"/>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五日生化需氧量 </w:t>
                  </w:r>
                </w:p>
              </w:tc>
              <w:tc>
                <w:tcPr>
                  <w:tcW w:w="488" w:type="pct"/>
                  <w:tcBorders>
                    <w:top w:val="single" w:color="000000" w:sz="4" w:space="0"/>
                    <w:left w:val="single" w:color="000000" w:sz="4" w:space="0"/>
                    <w:bottom w:val="single" w:color="000000" w:sz="4" w:space="0"/>
                    <w:right w:val="single" w:color="000000" w:sz="4" w:space="0"/>
                  </w:tcBorders>
                  <w:shd w:val="clear" w:color="auto" w:fill="auto"/>
                </w:tcPr>
                <w:p w14:paraId="732CE249">
                  <w:pPr>
                    <w:pStyle w:val="149"/>
                    <w:spacing w:before="28"/>
                    <w:ind w:left="28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mg/L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1BF1F25F">
                  <w:pPr>
                    <w:pStyle w:val="149"/>
                    <w:spacing w:before="75"/>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2.1</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2BEBF710">
                  <w:pPr>
                    <w:pStyle w:val="149"/>
                    <w:spacing w:before="75"/>
                    <w:ind w:left="2"/>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3.2</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1671DE68">
                  <w:pPr>
                    <w:pStyle w:val="149"/>
                    <w:spacing w:before="75"/>
                    <w:ind w:left="2"/>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2.5</w:t>
                  </w:r>
                </w:p>
              </w:tc>
              <w:tc>
                <w:tcPr>
                  <w:tcW w:w="656" w:type="pct"/>
                  <w:tcBorders>
                    <w:top w:val="single" w:color="000000" w:sz="4" w:space="0"/>
                    <w:left w:val="single" w:color="000000" w:sz="4" w:space="0"/>
                    <w:bottom w:val="single" w:color="000000" w:sz="4" w:space="0"/>
                    <w:right w:val="single" w:color="auto" w:sz="12" w:space="0"/>
                  </w:tcBorders>
                  <w:shd w:val="clear" w:color="auto" w:fill="auto"/>
                </w:tcPr>
                <w:p w14:paraId="296DFB19">
                  <w:pPr>
                    <w:pStyle w:val="149"/>
                    <w:spacing w:before="28"/>
                    <w:ind w:right="1"/>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≤4</w:t>
                  </w:r>
                </w:p>
              </w:tc>
            </w:tr>
            <w:tr w14:paraId="2A054DA9">
              <w:tblPrEx>
                <w:tblCellMar>
                  <w:top w:w="0" w:type="dxa"/>
                  <w:left w:w="0" w:type="dxa"/>
                  <w:bottom w:w="0" w:type="dxa"/>
                  <w:right w:w="0" w:type="dxa"/>
                </w:tblCellMar>
              </w:tblPrEx>
              <w:tc>
                <w:tcPr>
                  <w:tcW w:w="992" w:type="pct"/>
                  <w:tcBorders>
                    <w:top w:val="single" w:color="000000" w:sz="4" w:space="0"/>
                    <w:left w:val="single" w:color="auto" w:sz="12" w:space="0"/>
                    <w:bottom w:val="single" w:color="000000" w:sz="4" w:space="0"/>
                    <w:right w:val="single" w:color="000000" w:sz="4" w:space="0"/>
                  </w:tcBorders>
                  <w:shd w:val="clear" w:color="auto" w:fill="auto"/>
                </w:tcPr>
                <w:p w14:paraId="627C7C6B">
                  <w:pPr>
                    <w:pStyle w:val="149"/>
                    <w:ind w:left="602"/>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悬浮物 </w:t>
                  </w:r>
                </w:p>
              </w:tc>
              <w:tc>
                <w:tcPr>
                  <w:tcW w:w="488" w:type="pct"/>
                  <w:tcBorders>
                    <w:top w:val="single" w:color="000000" w:sz="4" w:space="0"/>
                    <w:left w:val="single" w:color="000000" w:sz="4" w:space="0"/>
                    <w:bottom w:val="single" w:color="000000" w:sz="4" w:space="0"/>
                    <w:right w:val="single" w:color="000000" w:sz="4" w:space="0"/>
                  </w:tcBorders>
                  <w:shd w:val="clear" w:color="auto" w:fill="auto"/>
                </w:tcPr>
                <w:p w14:paraId="5CBDF800">
                  <w:pPr>
                    <w:pStyle w:val="149"/>
                    <w:ind w:left="28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mg/L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7EDFFDC0">
                  <w:pPr>
                    <w:pStyle w:val="149"/>
                    <w:spacing w:before="39"/>
                    <w:ind w:right="2"/>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15</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7216A236">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15</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6959EE5F">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pacing w:val="-4"/>
                      <w:sz w:val="21"/>
                      <w:szCs w:val="21"/>
                      <w:lang w:eastAsia="zh-CN"/>
                    </w:rPr>
                    <w:t>11</w:t>
                  </w:r>
                </w:p>
              </w:tc>
              <w:tc>
                <w:tcPr>
                  <w:tcW w:w="656" w:type="pct"/>
                  <w:tcBorders>
                    <w:top w:val="single" w:color="000000" w:sz="4" w:space="0"/>
                    <w:left w:val="single" w:color="000000" w:sz="4" w:space="0"/>
                    <w:bottom w:val="single" w:color="000000" w:sz="4" w:space="0"/>
                    <w:right w:val="single" w:color="auto" w:sz="12" w:space="0"/>
                  </w:tcBorders>
                  <w:shd w:val="clear" w:color="auto" w:fill="auto"/>
                </w:tcPr>
                <w:p w14:paraId="3A1A9CFC">
                  <w:pPr>
                    <w:pStyle w:val="149"/>
                    <w:spacing w:before="39"/>
                    <w:ind w:right="2"/>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w:t>
                  </w:r>
                </w:p>
              </w:tc>
            </w:tr>
            <w:tr w14:paraId="344E9059">
              <w:tblPrEx>
                <w:tblCellMar>
                  <w:top w:w="0" w:type="dxa"/>
                  <w:left w:w="0" w:type="dxa"/>
                  <w:bottom w:w="0" w:type="dxa"/>
                  <w:right w:w="0" w:type="dxa"/>
                </w:tblCellMar>
              </w:tblPrEx>
              <w:tc>
                <w:tcPr>
                  <w:tcW w:w="992" w:type="pct"/>
                  <w:tcBorders>
                    <w:top w:val="single" w:color="000000" w:sz="4" w:space="0"/>
                    <w:left w:val="single" w:color="auto" w:sz="12" w:space="0"/>
                    <w:bottom w:val="single" w:color="000000" w:sz="4" w:space="0"/>
                    <w:right w:val="single" w:color="000000" w:sz="4" w:space="0"/>
                  </w:tcBorders>
                  <w:shd w:val="clear" w:color="auto" w:fill="auto"/>
                </w:tcPr>
                <w:p w14:paraId="28810544">
                  <w:pPr>
                    <w:pStyle w:val="149"/>
                    <w:ind w:left="708"/>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氨氮 </w:t>
                  </w:r>
                </w:p>
              </w:tc>
              <w:tc>
                <w:tcPr>
                  <w:tcW w:w="488" w:type="pct"/>
                  <w:tcBorders>
                    <w:top w:val="single" w:color="000000" w:sz="4" w:space="0"/>
                    <w:left w:val="single" w:color="000000" w:sz="4" w:space="0"/>
                    <w:bottom w:val="single" w:color="000000" w:sz="4" w:space="0"/>
                    <w:right w:val="single" w:color="000000" w:sz="4" w:space="0"/>
                  </w:tcBorders>
                  <w:shd w:val="clear" w:color="auto" w:fill="auto"/>
                </w:tcPr>
                <w:p w14:paraId="78B3D65E">
                  <w:pPr>
                    <w:pStyle w:val="149"/>
                    <w:ind w:left="28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mg/L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2633DE18">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0.325</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2EDC01A2">
                  <w:pPr>
                    <w:pStyle w:val="149"/>
                    <w:spacing w:before="39"/>
                    <w:ind w:left="3"/>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0.308</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49375F32">
                  <w:pPr>
                    <w:pStyle w:val="149"/>
                    <w:spacing w:before="39"/>
                    <w:ind w:left="3"/>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0.299</w:t>
                  </w:r>
                </w:p>
              </w:tc>
              <w:tc>
                <w:tcPr>
                  <w:tcW w:w="656" w:type="pct"/>
                  <w:tcBorders>
                    <w:top w:val="single" w:color="000000" w:sz="4" w:space="0"/>
                    <w:left w:val="single" w:color="000000" w:sz="4" w:space="0"/>
                    <w:bottom w:val="single" w:color="000000" w:sz="4" w:space="0"/>
                    <w:right w:val="single" w:color="auto" w:sz="12" w:space="0"/>
                  </w:tcBorders>
                  <w:shd w:val="clear" w:color="auto" w:fill="auto"/>
                </w:tcPr>
                <w:p w14:paraId="6C4BD59B">
                  <w:pPr>
                    <w:pStyle w:val="149"/>
                    <w:ind w:left="437"/>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≤1.0</w:t>
                  </w:r>
                </w:p>
              </w:tc>
            </w:tr>
            <w:tr w14:paraId="68EA36EB">
              <w:tblPrEx>
                <w:tblCellMar>
                  <w:top w:w="0" w:type="dxa"/>
                  <w:left w:w="0" w:type="dxa"/>
                  <w:bottom w:w="0" w:type="dxa"/>
                  <w:right w:w="0" w:type="dxa"/>
                </w:tblCellMar>
              </w:tblPrEx>
              <w:tc>
                <w:tcPr>
                  <w:tcW w:w="992" w:type="pct"/>
                  <w:tcBorders>
                    <w:top w:val="single" w:color="000000" w:sz="4" w:space="0"/>
                    <w:left w:val="single" w:color="auto" w:sz="12" w:space="0"/>
                    <w:bottom w:val="single" w:color="000000" w:sz="4" w:space="0"/>
                    <w:right w:val="single" w:color="000000" w:sz="4" w:space="0"/>
                  </w:tcBorders>
                  <w:shd w:val="clear" w:color="auto" w:fill="auto"/>
                </w:tcPr>
                <w:p w14:paraId="450475AE">
                  <w:pPr>
                    <w:pStyle w:val="149"/>
                    <w:ind w:left="602"/>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石油类 </w:t>
                  </w:r>
                </w:p>
              </w:tc>
              <w:tc>
                <w:tcPr>
                  <w:tcW w:w="488" w:type="pct"/>
                  <w:tcBorders>
                    <w:top w:val="single" w:color="000000" w:sz="4" w:space="0"/>
                    <w:left w:val="single" w:color="000000" w:sz="4" w:space="0"/>
                    <w:bottom w:val="single" w:color="000000" w:sz="4" w:space="0"/>
                    <w:right w:val="single" w:color="000000" w:sz="4" w:space="0"/>
                  </w:tcBorders>
                  <w:shd w:val="clear" w:color="auto" w:fill="auto"/>
                </w:tcPr>
                <w:p w14:paraId="57237BC3">
                  <w:pPr>
                    <w:pStyle w:val="149"/>
                    <w:ind w:left="28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mg/L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074FC2BB">
                  <w:pPr>
                    <w:pStyle w:val="149"/>
                    <w:ind w:left="525"/>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0.01</w:t>
                  </w:r>
                  <w:r>
                    <w:rPr>
                      <w:rFonts w:hint="eastAsia" w:ascii="Times New Roman" w:hAnsi="Times New Roman" w:eastAsia="宋体" w:cs="Times New Roman"/>
                      <w:sz w:val="21"/>
                      <w:szCs w:val="21"/>
                      <w:lang w:eastAsia="zh-CN"/>
                    </w:rPr>
                    <w:t>(</w:t>
                  </w:r>
                  <w:r>
                    <w:rPr>
                      <w:rFonts w:ascii="Times New Roman" w:hAnsi="Times New Roman" w:eastAsia="宋体" w:cs="Times New Roman"/>
                      <w:sz w:val="21"/>
                      <w:szCs w:val="21"/>
                      <w:lang w:eastAsia="zh-CN"/>
                    </w:rPr>
                    <w:t>L</w:t>
                  </w:r>
                  <w:r>
                    <w:rPr>
                      <w:rFonts w:hint="eastAsia" w:ascii="Times New Roman" w:hAnsi="Times New Roman" w:eastAsia="宋体" w:cs="Times New Roman"/>
                      <w:sz w:val="21"/>
                      <w:szCs w:val="21"/>
                      <w:lang w:eastAsia="zh-CN"/>
                    </w:rPr>
                    <w:t>)</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19EE4013">
                  <w:pPr>
                    <w:pStyle w:val="149"/>
                    <w:ind w:left="528"/>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0.01</w:t>
                  </w:r>
                  <w:r>
                    <w:rPr>
                      <w:rFonts w:hint="eastAsia" w:ascii="Times New Roman" w:hAnsi="Times New Roman" w:eastAsia="宋体" w:cs="Times New Roman"/>
                      <w:sz w:val="21"/>
                      <w:szCs w:val="21"/>
                      <w:lang w:eastAsia="zh-CN"/>
                    </w:rPr>
                    <w:t>(</w:t>
                  </w:r>
                  <w:r>
                    <w:rPr>
                      <w:rFonts w:ascii="Times New Roman" w:hAnsi="Times New Roman" w:eastAsia="宋体" w:cs="Times New Roman"/>
                      <w:sz w:val="21"/>
                      <w:szCs w:val="21"/>
                      <w:lang w:eastAsia="zh-CN"/>
                    </w:rPr>
                    <w:t>L</w:t>
                  </w:r>
                  <w:r>
                    <w:rPr>
                      <w:rFonts w:hint="eastAsia" w:ascii="Times New Roman" w:hAnsi="Times New Roman" w:eastAsia="宋体" w:cs="Times New Roman"/>
                      <w:sz w:val="21"/>
                      <w:szCs w:val="21"/>
                      <w:lang w:eastAsia="zh-CN"/>
                    </w:rPr>
                    <w:t>)</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641CDEF5">
                  <w:pPr>
                    <w:pStyle w:val="149"/>
                    <w:ind w:left="528"/>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0.01</w:t>
                  </w:r>
                  <w:r>
                    <w:rPr>
                      <w:rFonts w:hint="eastAsia" w:ascii="Times New Roman" w:hAnsi="Times New Roman" w:eastAsia="宋体" w:cs="Times New Roman"/>
                      <w:sz w:val="21"/>
                      <w:szCs w:val="21"/>
                      <w:lang w:eastAsia="zh-CN"/>
                    </w:rPr>
                    <w:t>(</w:t>
                  </w:r>
                  <w:r>
                    <w:rPr>
                      <w:rFonts w:ascii="Times New Roman" w:hAnsi="Times New Roman" w:eastAsia="宋体" w:cs="Times New Roman"/>
                      <w:sz w:val="21"/>
                      <w:szCs w:val="21"/>
                      <w:lang w:eastAsia="zh-CN"/>
                    </w:rPr>
                    <w:t>L</w:t>
                  </w:r>
                  <w:r>
                    <w:rPr>
                      <w:rFonts w:hint="eastAsia" w:ascii="Times New Roman" w:hAnsi="Times New Roman" w:eastAsia="宋体" w:cs="Times New Roman"/>
                      <w:sz w:val="21"/>
                      <w:szCs w:val="21"/>
                      <w:lang w:eastAsia="zh-CN"/>
                    </w:rPr>
                    <w:t>)</w:t>
                  </w:r>
                </w:p>
              </w:tc>
              <w:tc>
                <w:tcPr>
                  <w:tcW w:w="656" w:type="pct"/>
                  <w:tcBorders>
                    <w:top w:val="single" w:color="000000" w:sz="4" w:space="0"/>
                    <w:left w:val="single" w:color="000000" w:sz="4" w:space="0"/>
                    <w:bottom w:val="single" w:color="000000" w:sz="4" w:space="0"/>
                    <w:right w:val="single" w:color="auto" w:sz="12" w:space="0"/>
                  </w:tcBorders>
                  <w:shd w:val="clear" w:color="auto" w:fill="auto"/>
                </w:tcPr>
                <w:p w14:paraId="42A256D6">
                  <w:pPr>
                    <w:pStyle w:val="149"/>
                    <w:ind w:left="384"/>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≤0.05</w:t>
                  </w:r>
                </w:p>
              </w:tc>
            </w:tr>
            <w:tr w14:paraId="601B37AD">
              <w:tblPrEx>
                <w:tblCellMar>
                  <w:top w:w="0" w:type="dxa"/>
                  <w:left w:w="0" w:type="dxa"/>
                  <w:bottom w:w="0" w:type="dxa"/>
                  <w:right w:w="0" w:type="dxa"/>
                </w:tblCellMar>
              </w:tblPrEx>
              <w:tc>
                <w:tcPr>
                  <w:tcW w:w="1480" w:type="pct"/>
                  <w:gridSpan w:val="2"/>
                  <w:tcBorders>
                    <w:top w:val="single" w:color="000000" w:sz="4" w:space="0"/>
                    <w:left w:val="single" w:color="auto" w:sz="12" w:space="0"/>
                    <w:bottom w:val="single" w:color="000000" w:sz="4" w:space="0"/>
                    <w:right w:val="single" w:color="000000" w:sz="4" w:space="0"/>
                  </w:tcBorders>
                  <w:shd w:val="clear" w:color="auto" w:fill="auto"/>
                </w:tcPr>
                <w:p w14:paraId="7C49B3C7">
                  <w:pPr>
                    <w:pStyle w:val="149"/>
                    <w:ind w:left="996"/>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检测点位 </w:t>
                  </w:r>
                </w:p>
              </w:tc>
              <w:tc>
                <w:tcPr>
                  <w:tcW w:w="3520" w:type="pct"/>
                  <w:gridSpan w:val="4"/>
                  <w:tcBorders>
                    <w:top w:val="single" w:color="000000" w:sz="4" w:space="0"/>
                    <w:left w:val="single" w:color="000000" w:sz="4" w:space="0"/>
                    <w:bottom w:val="single" w:color="000000" w:sz="4" w:space="0"/>
                    <w:right w:val="single" w:color="auto" w:sz="12" w:space="0"/>
                  </w:tcBorders>
                  <w:shd w:val="clear" w:color="auto" w:fill="auto"/>
                </w:tcPr>
                <w:p w14:paraId="3282D467">
                  <w:pPr>
                    <w:pStyle w:val="149"/>
                    <w:ind w:right="5"/>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2#白沙河下游</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1500m</w:t>
                  </w:r>
                  <w:r>
                    <w:rPr>
                      <w:rFonts w:ascii="Times New Roman" w:hAnsi="Times New Roman" w:eastAsia="宋体" w:cs="Times New Roman"/>
                      <w:spacing w:val="-3"/>
                      <w:sz w:val="21"/>
                      <w:szCs w:val="21"/>
                      <w:lang w:eastAsia="zh-CN"/>
                    </w:rPr>
                    <w:t xml:space="preserve"> </w:t>
                  </w:r>
                  <w:r>
                    <w:rPr>
                      <w:rFonts w:ascii="Times New Roman" w:hAnsi="Times New Roman" w:eastAsia="宋体" w:cs="Times New Roman"/>
                      <w:sz w:val="21"/>
                      <w:szCs w:val="21"/>
                      <w:lang w:eastAsia="zh-CN"/>
                    </w:rPr>
                    <w:t>处</w:t>
                  </w:r>
                </w:p>
              </w:tc>
            </w:tr>
            <w:tr w14:paraId="6A6257F7">
              <w:tblPrEx>
                <w:tblCellMar>
                  <w:top w:w="0" w:type="dxa"/>
                  <w:left w:w="0" w:type="dxa"/>
                  <w:bottom w:w="0" w:type="dxa"/>
                  <w:right w:w="0" w:type="dxa"/>
                </w:tblCellMar>
              </w:tblPrEx>
              <w:tc>
                <w:tcPr>
                  <w:tcW w:w="1480" w:type="pct"/>
                  <w:gridSpan w:val="2"/>
                  <w:tcBorders>
                    <w:top w:val="single" w:color="000000" w:sz="4" w:space="0"/>
                    <w:left w:val="single" w:color="auto" w:sz="12" w:space="0"/>
                    <w:bottom w:val="single" w:color="000000" w:sz="4" w:space="0"/>
                    <w:right w:val="single" w:color="000000" w:sz="4" w:space="0"/>
                  </w:tcBorders>
                  <w:shd w:val="clear" w:color="auto" w:fill="auto"/>
                </w:tcPr>
                <w:p w14:paraId="0F33D3E6">
                  <w:pPr>
                    <w:pStyle w:val="149"/>
                    <w:ind w:left="996"/>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采样日期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5254CF2F">
                  <w:pPr>
                    <w:pStyle w:val="149"/>
                    <w:ind w:left="117"/>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2020</w:t>
                  </w:r>
                  <w:r>
                    <w:rPr>
                      <w:rFonts w:ascii="Times New Roman" w:hAnsi="Times New Roman" w:eastAsia="宋体" w:cs="Times New Roman"/>
                      <w:spacing w:val="-54"/>
                      <w:sz w:val="21"/>
                      <w:szCs w:val="21"/>
                      <w:lang w:eastAsia="zh-CN"/>
                    </w:rPr>
                    <w:t xml:space="preserve"> </w:t>
                  </w:r>
                  <w:r>
                    <w:rPr>
                      <w:rFonts w:ascii="Times New Roman" w:hAnsi="Times New Roman" w:eastAsia="宋体" w:cs="Times New Roman"/>
                      <w:sz w:val="21"/>
                      <w:szCs w:val="21"/>
                      <w:lang w:eastAsia="zh-CN"/>
                    </w:rPr>
                    <w:t>年</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07</w:t>
                  </w:r>
                  <w:r>
                    <w:rPr>
                      <w:rFonts w:ascii="Times New Roman" w:hAnsi="Times New Roman" w:eastAsia="宋体" w:cs="Times New Roman"/>
                      <w:spacing w:val="-54"/>
                      <w:sz w:val="21"/>
                      <w:szCs w:val="21"/>
                      <w:lang w:eastAsia="zh-CN"/>
                    </w:rPr>
                    <w:t xml:space="preserve"> </w:t>
                  </w:r>
                  <w:r>
                    <w:rPr>
                      <w:rFonts w:ascii="Times New Roman" w:hAnsi="Times New Roman" w:eastAsia="宋体" w:cs="Times New Roman"/>
                      <w:sz w:val="21"/>
                      <w:szCs w:val="21"/>
                      <w:lang w:eastAsia="zh-CN"/>
                    </w:rPr>
                    <w:t>月</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06</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pacing w:val="-3"/>
                      <w:sz w:val="21"/>
                      <w:szCs w:val="21"/>
                      <w:lang w:eastAsia="zh-CN"/>
                    </w:rPr>
                    <w:t>日</w:t>
                  </w:r>
                  <w:r>
                    <w:rPr>
                      <w:rFonts w:ascii="Times New Roman" w:hAnsi="Times New Roman" w:eastAsia="宋体" w:cs="Times New Roman"/>
                      <w:sz w:val="21"/>
                      <w:szCs w:val="21"/>
                      <w:lang w:eastAsia="zh-CN"/>
                    </w:rPr>
                    <w:t xml:space="preserve"> </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1A9D137F">
                  <w:pPr>
                    <w:pStyle w:val="149"/>
                    <w:ind w:left="12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2020</w:t>
                  </w:r>
                  <w:r>
                    <w:rPr>
                      <w:rFonts w:ascii="Times New Roman" w:hAnsi="Times New Roman" w:eastAsia="宋体" w:cs="Times New Roman"/>
                      <w:spacing w:val="-54"/>
                      <w:sz w:val="21"/>
                      <w:szCs w:val="21"/>
                      <w:lang w:eastAsia="zh-CN"/>
                    </w:rPr>
                    <w:t xml:space="preserve"> </w:t>
                  </w:r>
                  <w:r>
                    <w:rPr>
                      <w:rFonts w:ascii="Times New Roman" w:hAnsi="Times New Roman" w:eastAsia="宋体" w:cs="Times New Roman"/>
                      <w:sz w:val="21"/>
                      <w:szCs w:val="21"/>
                      <w:lang w:eastAsia="zh-CN"/>
                    </w:rPr>
                    <w:t>年</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07</w:t>
                  </w:r>
                  <w:r>
                    <w:rPr>
                      <w:rFonts w:ascii="Times New Roman" w:hAnsi="Times New Roman" w:eastAsia="宋体" w:cs="Times New Roman"/>
                      <w:spacing w:val="-54"/>
                      <w:sz w:val="21"/>
                      <w:szCs w:val="21"/>
                      <w:lang w:eastAsia="zh-CN"/>
                    </w:rPr>
                    <w:t xml:space="preserve"> </w:t>
                  </w:r>
                  <w:r>
                    <w:rPr>
                      <w:rFonts w:ascii="Times New Roman" w:hAnsi="Times New Roman" w:eastAsia="宋体" w:cs="Times New Roman"/>
                      <w:sz w:val="21"/>
                      <w:szCs w:val="21"/>
                      <w:lang w:eastAsia="zh-CN"/>
                    </w:rPr>
                    <w:t>月</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07</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pacing w:val="-3"/>
                      <w:sz w:val="21"/>
                      <w:szCs w:val="21"/>
                      <w:lang w:eastAsia="zh-CN"/>
                    </w:rPr>
                    <w:t>日</w:t>
                  </w:r>
                  <w:r>
                    <w:rPr>
                      <w:rFonts w:ascii="Times New Roman" w:hAnsi="Times New Roman" w:eastAsia="宋体" w:cs="Times New Roman"/>
                      <w:sz w:val="21"/>
                      <w:szCs w:val="21"/>
                      <w:lang w:eastAsia="zh-CN"/>
                    </w:rPr>
                    <w:t xml:space="preserve"> </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1701A550">
                  <w:pPr>
                    <w:pStyle w:val="149"/>
                    <w:ind w:left="12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2020</w:t>
                  </w:r>
                  <w:r>
                    <w:rPr>
                      <w:rFonts w:ascii="Times New Roman" w:hAnsi="Times New Roman" w:eastAsia="宋体" w:cs="Times New Roman"/>
                      <w:spacing w:val="-54"/>
                      <w:sz w:val="21"/>
                      <w:szCs w:val="21"/>
                      <w:lang w:eastAsia="zh-CN"/>
                    </w:rPr>
                    <w:t xml:space="preserve"> </w:t>
                  </w:r>
                  <w:r>
                    <w:rPr>
                      <w:rFonts w:ascii="Times New Roman" w:hAnsi="Times New Roman" w:eastAsia="宋体" w:cs="Times New Roman"/>
                      <w:sz w:val="21"/>
                      <w:szCs w:val="21"/>
                      <w:lang w:eastAsia="zh-CN"/>
                    </w:rPr>
                    <w:t>年</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07</w:t>
                  </w:r>
                  <w:r>
                    <w:rPr>
                      <w:rFonts w:ascii="Times New Roman" w:hAnsi="Times New Roman" w:eastAsia="宋体" w:cs="Times New Roman"/>
                      <w:spacing w:val="-54"/>
                      <w:sz w:val="21"/>
                      <w:szCs w:val="21"/>
                      <w:lang w:eastAsia="zh-CN"/>
                    </w:rPr>
                    <w:t xml:space="preserve"> </w:t>
                  </w:r>
                  <w:r>
                    <w:rPr>
                      <w:rFonts w:ascii="Times New Roman" w:hAnsi="Times New Roman" w:eastAsia="宋体" w:cs="Times New Roman"/>
                      <w:sz w:val="21"/>
                      <w:szCs w:val="21"/>
                      <w:lang w:eastAsia="zh-CN"/>
                    </w:rPr>
                    <w:t>月</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08</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pacing w:val="-4"/>
                      <w:sz w:val="21"/>
                      <w:szCs w:val="21"/>
                      <w:lang w:eastAsia="zh-CN"/>
                    </w:rPr>
                    <w:t>日</w:t>
                  </w:r>
                  <w:r>
                    <w:rPr>
                      <w:rFonts w:ascii="Times New Roman" w:hAnsi="Times New Roman" w:eastAsia="宋体" w:cs="Times New Roman"/>
                      <w:b/>
                      <w:bCs/>
                      <w:w w:val="99"/>
                      <w:sz w:val="21"/>
                      <w:szCs w:val="21"/>
                      <w:lang w:eastAsia="zh-CN"/>
                    </w:rPr>
                    <w:t xml:space="preserve"> </w:t>
                  </w:r>
                </w:p>
              </w:tc>
              <w:tc>
                <w:tcPr>
                  <w:tcW w:w="656" w:type="pct"/>
                  <w:vMerge w:val="restart"/>
                  <w:tcBorders>
                    <w:top w:val="single" w:color="000000" w:sz="4" w:space="0"/>
                    <w:left w:val="single" w:color="000000" w:sz="4" w:space="0"/>
                    <w:right w:val="single" w:color="auto" w:sz="12" w:space="0"/>
                  </w:tcBorders>
                  <w:shd w:val="clear" w:color="auto" w:fill="auto"/>
                </w:tcPr>
                <w:p w14:paraId="352FAE0D">
                  <w:pPr>
                    <w:pStyle w:val="149"/>
                    <w:spacing w:before="7"/>
                    <w:rPr>
                      <w:rFonts w:ascii="Times New Roman" w:hAnsi="Times New Roman" w:eastAsia="宋体" w:cs="Times New Roman"/>
                      <w:b/>
                      <w:bCs/>
                      <w:sz w:val="21"/>
                      <w:szCs w:val="21"/>
                      <w:lang w:eastAsia="zh-CN"/>
                    </w:rPr>
                  </w:pPr>
                </w:p>
                <w:p w14:paraId="01350736">
                  <w:pPr>
                    <w:pStyle w:val="149"/>
                    <w:ind w:left="251"/>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标准限值</w:t>
                  </w:r>
                </w:p>
              </w:tc>
            </w:tr>
            <w:tr w14:paraId="278D3FB1">
              <w:tblPrEx>
                <w:tblCellMar>
                  <w:top w:w="0" w:type="dxa"/>
                  <w:left w:w="0" w:type="dxa"/>
                  <w:bottom w:w="0" w:type="dxa"/>
                  <w:right w:w="0" w:type="dxa"/>
                </w:tblCellMar>
              </w:tblPrEx>
              <w:tc>
                <w:tcPr>
                  <w:tcW w:w="1480" w:type="pct"/>
                  <w:gridSpan w:val="2"/>
                  <w:tcBorders>
                    <w:top w:val="single" w:color="000000" w:sz="4" w:space="0"/>
                    <w:left w:val="single" w:color="auto" w:sz="12" w:space="0"/>
                    <w:bottom w:val="single" w:color="000000" w:sz="4" w:space="0"/>
                    <w:right w:val="single" w:color="000000" w:sz="4" w:space="0"/>
                  </w:tcBorders>
                  <w:shd w:val="clear" w:color="auto" w:fill="auto"/>
                </w:tcPr>
                <w:p w14:paraId="59D58528">
                  <w:pPr>
                    <w:pStyle w:val="149"/>
                    <w:ind w:left="996"/>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样品编号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6F624072">
                  <w:pPr>
                    <w:pStyle w:val="149"/>
                    <w:spacing w:before="39"/>
                    <w:ind w:left="611"/>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DB1-2-1 </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274F4B5A">
                  <w:pPr>
                    <w:pStyle w:val="149"/>
                    <w:spacing w:before="39"/>
                    <w:ind w:left="614"/>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DB2-2-1 </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280A91F1">
                  <w:pPr>
                    <w:pStyle w:val="149"/>
                    <w:spacing w:before="39"/>
                    <w:ind w:left="613"/>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DB3-2-1 </w:t>
                  </w:r>
                </w:p>
              </w:tc>
              <w:tc>
                <w:tcPr>
                  <w:tcW w:w="656" w:type="pct"/>
                  <w:vMerge w:val="continue"/>
                  <w:tcBorders>
                    <w:left w:val="single" w:color="000000" w:sz="4" w:space="0"/>
                    <w:right w:val="single" w:color="auto" w:sz="12" w:space="0"/>
                  </w:tcBorders>
                  <w:shd w:val="clear" w:color="auto" w:fill="auto"/>
                </w:tcPr>
                <w:p w14:paraId="388D80A6">
                  <w:pPr>
                    <w:rPr>
                      <w:rFonts w:ascii="Times New Roman" w:hAnsi="Times New Roman" w:eastAsia="宋体" w:cs="Times New Roman"/>
                      <w:szCs w:val="21"/>
                    </w:rPr>
                  </w:pPr>
                </w:p>
              </w:tc>
            </w:tr>
            <w:tr w14:paraId="66231110">
              <w:tblPrEx>
                <w:tblCellMar>
                  <w:top w:w="0" w:type="dxa"/>
                  <w:left w:w="0" w:type="dxa"/>
                  <w:bottom w:w="0" w:type="dxa"/>
                  <w:right w:w="0" w:type="dxa"/>
                </w:tblCellMar>
              </w:tblPrEx>
              <w:tc>
                <w:tcPr>
                  <w:tcW w:w="992" w:type="pct"/>
                  <w:tcBorders>
                    <w:top w:val="single" w:color="000000" w:sz="4" w:space="0"/>
                    <w:left w:val="single" w:color="auto" w:sz="12" w:space="0"/>
                    <w:bottom w:val="single" w:color="000000" w:sz="4" w:space="0"/>
                    <w:right w:val="single" w:color="000000" w:sz="4" w:space="0"/>
                  </w:tcBorders>
                  <w:shd w:val="clear" w:color="auto" w:fill="auto"/>
                </w:tcPr>
                <w:p w14:paraId="70D1258A">
                  <w:pPr>
                    <w:pStyle w:val="149"/>
                    <w:ind w:left="499"/>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检测项目 </w:t>
                  </w:r>
                </w:p>
              </w:tc>
              <w:tc>
                <w:tcPr>
                  <w:tcW w:w="488" w:type="pct"/>
                  <w:tcBorders>
                    <w:top w:val="single" w:color="000000" w:sz="4" w:space="0"/>
                    <w:left w:val="single" w:color="000000" w:sz="4" w:space="0"/>
                    <w:bottom w:val="single" w:color="000000" w:sz="4" w:space="0"/>
                    <w:right w:val="single" w:color="000000" w:sz="4" w:space="0"/>
                  </w:tcBorders>
                  <w:shd w:val="clear" w:color="auto" w:fill="auto"/>
                </w:tcPr>
                <w:p w14:paraId="229A20D6">
                  <w:pPr>
                    <w:pStyle w:val="149"/>
                    <w:ind w:left="28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单位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0DEA7568">
                  <w:pPr>
                    <w:pStyle w:val="149"/>
                    <w:ind w:left="564"/>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检测结果 </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76A6CB14">
                  <w:pPr>
                    <w:pStyle w:val="149"/>
                    <w:ind w:left="566"/>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检测结果 </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77C9B639">
                  <w:pPr>
                    <w:pStyle w:val="149"/>
                    <w:ind w:left="566"/>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检测结果 </w:t>
                  </w:r>
                </w:p>
              </w:tc>
              <w:tc>
                <w:tcPr>
                  <w:tcW w:w="656" w:type="pct"/>
                  <w:vMerge w:val="continue"/>
                  <w:tcBorders>
                    <w:left w:val="single" w:color="000000" w:sz="4" w:space="0"/>
                    <w:bottom w:val="single" w:color="000000" w:sz="4" w:space="0"/>
                    <w:right w:val="single" w:color="auto" w:sz="12" w:space="0"/>
                  </w:tcBorders>
                  <w:shd w:val="clear" w:color="auto" w:fill="auto"/>
                </w:tcPr>
                <w:p w14:paraId="1060A192">
                  <w:pPr>
                    <w:rPr>
                      <w:rFonts w:ascii="Times New Roman" w:hAnsi="Times New Roman" w:eastAsia="宋体" w:cs="Times New Roman"/>
                      <w:szCs w:val="21"/>
                    </w:rPr>
                  </w:pPr>
                </w:p>
              </w:tc>
            </w:tr>
            <w:tr w14:paraId="3772EC1A">
              <w:tblPrEx>
                <w:tblCellMar>
                  <w:top w:w="0" w:type="dxa"/>
                  <w:left w:w="0" w:type="dxa"/>
                  <w:bottom w:w="0" w:type="dxa"/>
                  <w:right w:w="0" w:type="dxa"/>
                </w:tblCellMar>
              </w:tblPrEx>
              <w:tc>
                <w:tcPr>
                  <w:tcW w:w="992" w:type="pct"/>
                  <w:tcBorders>
                    <w:top w:val="single" w:color="000000" w:sz="4" w:space="0"/>
                    <w:left w:val="single" w:color="auto" w:sz="12" w:space="0"/>
                    <w:bottom w:val="single" w:color="000000" w:sz="4" w:space="0"/>
                    <w:right w:val="single" w:color="000000" w:sz="4" w:space="0"/>
                  </w:tcBorders>
                  <w:shd w:val="clear" w:color="auto" w:fill="auto"/>
                </w:tcPr>
                <w:p w14:paraId="6A528766">
                  <w:pPr>
                    <w:pStyle w:val="149"/>
                    <w:ind w:left="21"/>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pH</w:t>
                  </w:r>
                  <w:r>
                    <w:rPr>
                      <w:rFonts w:ascii="Times New Roman" w:hAnsi="Times New Roman" w:eastAsia="宋体" w:cs="Times New Roman"/>
                      <w:spacing w:val="1"/>
                      <w:sz w:val="21"/>
                      <w:szCs w:val="21"/>
                      <w:lang w:eastAsia="zh-CN"/>
                    </w:rPr>
                    <w:t xml:space="preserve"> </w:t>
                  </w:r>
                  <w:r>
                    <w:rPr>
                      <w:rFonts w:ascii="Times New Roman" w:hAnsi="Times New Roman" w:eastAsia="宋体" w:cs="Times New Roman"/>
                      <w:sz w:val="21"/>
                      <w:szCs w:val="21"/>
                      <w:lang w:eastAsia="zh-CN"/>
                    </w:rPr>
                    <w:t>值</w:t>
                  </w:r>
                </w:p>
              </w:tc>
              <w:tc>
                <w:tcPr>
                  <w:tcW w:w="488" w:type="pct"/>
                  <w:tcBorders>
                    <w:top w:val="single" w:color="000000" w:sz="4" w:space="0"/>
                    <w:left w:val="single" w:color="000000" w:sz="4" w:space="0"/>
                    <w:bottom w:val="single" w:color="000000" w:sz="4" w:space="0"/>
                    <w:right w:val="single" w:color="000000" w:sz="4" w:space="0"/>
                  </w:tcBorders>
                  <w:shd w:val="clear" w:color="auto" w:fill="auto"/>
                </w:tcPr>
                <w:p w14:paraId="7B21462B">
                  <w:pPr>
                    <w:pStyle w:val="149"/>
                    <w:ind w:left="175"/>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无量纲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468DD1F6">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8.14</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49BCAB66">
                  <w:pPr>
                    <w:pStyle w:val="149"/>
                    <w:spacing w:before="39"/>
                    <w:ind w:left="2"/>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8.08</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66084A82">
                  <w:pPr>
                    <w:pStyle w:val="149"/>
                    <w:spacing w:before="39"/>
                    <w:ind w:left="2"/>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8.05</w:t>
                  </w:r>
                </w:p>
              </w:tc>
              <w:tc>
                <w:tcPr>
                  <w:tcW w:w="656" w:type="pct"/>
                  <w:tcBorders>
                    <w:top w:val="single" w:color="000000" w:sz="4" w:space="0"/>
                    <w:left w:val="single" w:color="000000" w:sz="4" w:space="0"/>
                    <w:bottom w:val="single" w:color="000000" w:sz="4" w:space="0"/>
                    <w:right w:val="single" w:color="auto" w:sz="12" w:space="0"/>
                  </w:tcBorders>
                  <w:shd w:val="clear" w:color="auto" w:fill="auto"/>
                </w:tcPr>
                <w:p w14:paraId="671F50FD">
                  <w:pPr>
                    <w:pStyle w:val="149"/>
                    <w:ind w:right="1"/>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6</w:t>
                  </w:r>
                  <w:r>
                    <w:rPr>
                      <w:rFonts w:hint="eastAsia" w:ascii="Times New Roman" w:hAnsi="Times New Roman" w:eastAsia="宋体" w:cs="Times New Roman"/>
                      <w:sz w:val="21"/>
                      <w:szCs w:val="21"/>
                      <w:lang w:eastAsia="zh-CN"/>
                    </w:rPr>
                    <w:t>~</w:t>
                  </w:r>
                  <w:r>
                    <w:rPr>
                      <w:rFonts w:ascii="Times New Roman" w:hAnsi="Times New Roman" w:eastAsia="宋体" w:cs="Times New Roman"/>
                      <w:sz w:val="21"/>
                      <w:szCs w:val="21"/>
                      <w:lang w:eastAsia="zh-CN"/>
                    </w:rPr>
                    <w:t>9</w:t>
                  </w:r>
                </w:p>
              </w:tc>
            </w:tr>
            <w:tr w14:paraId="409A542A">
              <w:tblPrEx>
                <w:tblCellMar>
                  <w:top w:w="0" w:type="dxa"/>
                  <w:left w:w="0" w:type="dxa"/>
                  <w:bottom w:w="0" w:type="dxa"/>
                  <w:right w:w="0" w:type="dxa"/>
                </w:tblCellMar>
              </w:tblPrEx>
              <w:tc>
                <w:tcPr>
                  <w:tcW w:w="992" w:type="pct"/>
                  <w:tcBorders>
                    <w:top w:val="single" w:color="000000" w:sz="4" w:space="0"/>
                    <w:left w:val="single" w:color="auto" w:sz="12" w:space="0"/>
                    <w:bottom w:val="single" w:color="000000" w:sz="4" w:space="0"/>
                    <w:right w:val="single" w:color="000000" w:sz="4" w:space="0"/>
                  </w:tcBorders>
                  <w:shd w:val="clear" w:color="auto" w:fill="auto"/>
                </w:tcPr>
                <w:p w14:paraId="4ED87464">
                  <w:pPr>
                    <w:pStyle w:val="149"/>
                    <w:ind w:left="393"/>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化学需氧量 </w:t>
                  </w:r>
                </w:p>
              </w:tc>
              <w:tc>
                <w:tcPr>
                  <w:tcW w:w="488" w:type="pct"/>
                  <w:tcBorders>
                    <w:top w:val="single" w:color="000000" w:sz="4" w:space="0"/>
                    <w:left w:val="single" w:color="000000" w:sz="4" w:space="0"/>
                    <w:bottom w:val="single" w:color="000000" w:sz="4" w:space="0"/>
                    <w:right w:val="single" w:color="000000" w:sz="4" w:space="0"/>
                  </w:tcBorders>
                  <w:shd w:val="clear" w:color="auto" w:fill="auto"/>
                </w:tcPr>
                <w:p w14:paraId="60F5FD16">
                  <w:pPr>
                    <w:pStyle w:val="149"/>
                    <w:ind w:left="28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mg/L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57FB3040">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pacing w:val="-4"/>
                      <w:sz w:val="21"/>
                      <w:szCs w:val="21"/>
                      <w:lang w:eastAsia="zh-CN"/>
                    </w:rPr>
                    <w:t>11</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5A76D95F">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10</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1C7DEE5A">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9</w:t>
                  </w:r>
                </w:p>
              </w:tc>
              <w:tc>
                <w:tcPr>
                  <w:tcW w:w="656" w:type="pct"/>
                  <w:tcBorders>
                    <w:top w:val="single" w:color="000000" w:sz="4" w:space="0"/>
                    <w:left w:val="single" w:color="000000" w:sz="4" w:space="0"/>
                    <w:bottom w:val="single" w:color="000000" w:sz="4" w:space="0"/>
                    <w:right w:val="single" w:color="auto" w:sz="12" w:space="0"/>
                  </w:tcBorders>
                  <w:shd w:val="clear" w:color="auto" w:fill="auto"/>
                </w:tcPr>
                <w:p w14:paraId="262DA832">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≤20</w:t>
                  </w:r>
                </w:p>
              </w:tc>
            </w:tr>
            <w:tr w14:paraId="26B159E1">
              <w:tblPrEx>
                <w:tblCellMar>
                  <w:top w:w="0" w:type="dxa"/>
                  <w:left w:w="0" w:type="dxa"/>
                  <w:bottom w:w="0" w:type="dxa"/>
                  <w:right w:w="0" w:type="dxa"/>
                </w:tblCellMar>
              </w:tblPrEx>
              <w:tc>
                <w:tcPr>
                  <w:tcW w:w="992" w:type="pct"/>
                  <w:tcBorders>
                    <w:top w:val="single" w:color="000000" w:sz="4" w:space="0"/>
                    <w:left w:val="single" w:color="auto" w:sz="12" w:space="0"/>
                    <w:bottom w:val="single" w:color="000000" w:sz="4" w:space="0"/>
                    <w:right w:val="single" w:color="000000" w:sz="4" w:space="0"/>
                  </w:tcBorders>
                  <w:shd w:val="clear" w:color="auto" w:fill="auto"/>
                </w:tcPr>
                <w:p w14:paraId="7B9BAC77">
                  <w:pPr>
                    <w:pStyle w:val="149"/>
                    <w:ind w:left="182"/>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五日生化需氧量 </w:t>
                  </w:r>
                </w:p>
              </w:tc>
              <w:tc>
                <w:tcPr>
                  <w:tcW w:w="488" w:type="pct"/>
                  <w:tcBorders>
                    <w:top w:val="single" w:color="000000" w:sz="4" w:space="0"/>
                    <w:left w:val="single" w:color="000000" w:sz="4" w:space="0"/>
                    <w:bottom w:val="single" w:color="000000" w:sz="4" w:space="0"/>
                    <w:right w:val="single" w:color="000000" w:sz="4" w:space="0"/>
                  </w:tcBorders>
                  <w:shd w:val="clear" w:color="auto" w:fill="auto"/>
                </w:tcPr>
                <w:p w14:paraId="1E344FF0">
                  <w:pPr>
                    <w:pStyle w:val="149"/>
                    <w:ind w:left="28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mg/L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57EB63A8">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3.5</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7C5B0A15">
                  <w:pPr>
                    <w:pStyle w:val="149"/>
                    <w:spacing w:before="39"/>
                    <w:ind w:left="2"/>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3.1</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4B9EB09A">
                  <w:pPr>
                    <w:pStyle w:val="149"/>
                    <w:spacing w:before="39"/>
                    <w:ind w:left="2"/>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2.9</w:t>
                  </w:r>
                </w:p>
              </w:tc>
              <w:tc>
                <w:tcPr>
                  <w:tcW w:w="656" w:type="pct"/>
                  <w:tcBorders>
                    <w:top w:val="single" w:color="000000" w:sz="4" w:space="0"/>
                    <w:left w:val="single" w:color="000000" w:sz="4" w:space="0"/>
                    <w:bottom w:val="single" w:color="000000" w:sz="4" w:space="0"/>
                    <w:right w:val="single" w:color="auto" w:sz="12" w:space="0"/>
                  </w:tcBorders>
                  <w:shd w:val="clear" w:color="auto" w:fill="auto"/>
                </w:tcPr>
                <w:p w14:paraId="21E9F038">
                  <w:pPr>
                    <w:pStyle w:val="149"/>
                    <w:ind w:right="1"/>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≤4</w:t>
                  </w:r>
                </w:p>
              </w:tc>
            </w:tr>
            <w:tr w14:paraId="7DA858D6">
              <w:tblPrEx>
                <w:tblCellMar>
                  <w:top w:w="0" w:type="dxa"/>
                  <w:left w:w="0" w:type="dxa"/>
                  <w:bottom w:w="0" w:type="dxa"/>
                  <w:right w:w="0" w:type="dxa"/>
                </w:tblCellMar>
              </w:tblPrEx>
              <w:tc>
                <w:tcPr>
                  <w:tcW w:w="992" w:type="pct"/>
                  <w:tcBorders>
                    <w:top w:val="single" w:color="000000" w:sz="4" w:space="0"/>
                    <w:left w:val="single" w:color="auto" w:sz="12" w:space="0"/>
                    <w:bottom w:val="single" w:color="000000" w:sz="4" w:space="0"/>
                    <w:right w:val="single" w:color="000000" w:sz="4" w:space="0"/>
                  </w:tcBorders>
                  <w:shd w:val="clear" w:color="auto" w:fill="auto"/>
                </w:tcPr>
                <w:p w14:paraId="7CD1D5CA">
                  <w:pPr>
                    <w:pStyle w:val="149"/>
                    <w:ind w:left="602"/>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悬浮物 </w:t>
                  </w:r>
                </w:p>
              </w:tc>
              <w:tc>
                <w:tcPr>
                  <w:tcW w:w="488" w:type="pct"/>
                  <w:tcBorders>
                    <w:top w:val="single" w:color="000000" w:sz="4" w:space="0"/>
                    <w:left w:val="single" w:color="000000" w:sz="4" w:space="0"/>
                    <w:bottom w:val="single" w:color="000000" w:sz="4" w:space="0"/>
                    <w:right w:val="single" w:color="000000" w:sz="4" w:space="0"/>
                  </w:tcBorders>
                  <w:shd w:val="clear" w:color="auto" w:fill="auto"/>
                </w:tcPr>
                <w:p w14:paraId="1903AA69">
                  <w:pPr>
                    <w:pStyle w:val="149"/>
                    <w:ind w:left="28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mg/L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3CAD33B8">
                  <w:pPr>
                    <w:pStyle w:val="149"/>
                    <w:spacing w:before="39"/>
                    <w:ind w:right="2"/>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13</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5BA5EED0">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12</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07C77AA8">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15</w:t>
                  </w:r>
                </w:p>
              </w:tc>
              <w:tc>
                <w:tcPr>
                  <w:tcW w:w="656" w:type="pct"/>
                  <w:tcBorders>
                    <w:top w:val="single" w:color="000000" w:sz="4" w:space="0"/>
                    <w:left w:val="single" w:color="000000" w:sz="4" w:space="0"/>
                    <w:bottom w:val="single" w:color="000000" w:sz="4" w:space="0"/>
                    <w:right w:val="single" w:color="auto" w:sz="12" w:space="0"/>
                  </w:tcBorders>
                  <w:shd w:val="clear" w:color="auto" w:fill="auto"/>
                </w:tcPr>
                <w:p w14:paraId="0AB93163">
                  <w:pPr>
                    <w:pStyle w:val="149"/>
                    <w:spacing w:before="39"/>
                    <w:ind w:right="2"/>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w:t>
                  </w:r>
                </w:p>
              </w:tc>
            </w:tr>
            <w:tr w14:paraId="5FAE4707">
              <w:tblPrEx>
                <w:tblCellMar>
                  <w:top w:w="0" w:type="dxa"/>
                  <w:left w:w="0" w:type="dxa"/>
                  <w:bottom w:w="0" w:type="dxa"/>
                  <w:right w:w="0" w:type="dxa"/>
                </w:tblCellMar>
              </w:tblPrEx>
              <w:tc>
                <w:tcPr>
                  <w:tcW w:w="992" w:type="pct"/>
                  <w:tcBorders>
                    <w:top w:val="single" w:color="000000" w:sz="4" w:space="0"/>
                    <w:left w:val="single" w:color="auto" w:sz="12" w:space="0"/>
                    <w:bottom w:val="single" w:color="000000" w:sz="4" w:space="0"/>
                    <w:right w:val="single" w:color="000000" w:sz="4" w:space="0"/>
                  </w:tcBorders>
                  <w:shd w:val="clear" w:color="auto" w:fill="auto"/>
                </w:tcPr>
                <w:p w14:paraId="3E64FA96">
                  <w:pPr>
                    <w:pStyle w:val="149"/>
                    <w:ind w:left="708"/>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氨氮 </w:t>
                  </w:r>
                </w:p>
              </w:tc>
              <w:tc>
                <w:tcPr>
                  <w:tcW w:w="488" w:type="pct"/>
                  <w:tcBorders>
                    <w:top w:val="single" w:color="000000" w:sz="4" w:space="0"/>
                    <w:left w:val="single" w:color="000000" w:sz="4" w:space="0"/>
                    <w:bottom w:val="single" w:color="000000" w:sz="4" w:space="0"/>
                    <w:right w:val="single" w:color="000000" w:sz="4" w:space="0"/>
                  </w:tcBorders>
                  <w:shd w:val="clear" w:color="auto" w:fill="auto"/>
                </w:tcPr>
                <w:p w14:paraId="42EE153F">
                  <w:pPr>
                    <w:pStyle w:val="149"/>
                    <w:ind w:left="28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mg/L </w:t>
                  </w:r>
                </w:p>
              </w:tc>
              <w:tc>
                <w:tcPr>
                  <w:tcW w:w="954" w:type="pct"/>
                  <w:tcBorders>
                    <w:top w:val="single" w:color="000000" w:sz="4" w:space="0"/>
                    <w:left w:val="single" w:color="000000" w:sz="4" w:space="0"/>
                    <w:bottom w:val="single" w:color="000000" w:sz="4" w:space="0"/>
                    <w:right w:val="single" w:color="000000" w:sz="4" w:space="0"/>
                  </w:tcBorders>
                  <w:shd w:val="clear" w:color="auto" w:fill="auto"/>
                </w:tcPr>
                <w:p w14:paraId="42B1FA0A">
                  <w:pPr>
                    <w:pStyle w:val="149"/>
                    <w:spacing w:before="3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0.336</w:t>
                  </w:r>
                </w:p>
              </w:tc>
              <w:tc>
                <w:tcPr>
                  <w:tcW w:w="956" w:type="pct"/>
                  <w:tcBorders>
                    <w:top w:val="single" w:color="000000" w:sz="4" w:space="0"/>
                    <w:left w:val="single" w:color="000000" w:sz="4" w:space="0"/>
                    <w:bottom w:val="single" w:color="000000" w:sz="4" w:space="0"/>
                    <w:right w:val="single" w:color="000000" w:sz="4" w:space="0"/>
                  </w:tcBorders>
                  <w:shd w:val="clear" w:color="auto" w:fill="auto"/>
                </w:tcPr>
                <w:p w14:paraId="40D2178B">
                  <w:pPr>
                    <w:pStyle w:val="149"/>
                    <w:spacing w:before="39"/>
                    <w:ind w:left="3"/>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0.356</w:t>
                  </w:r>
                </w:p>
              </w:tc>
              <w:tc>
                <w:tcPr>
                  <w:tcW w:w="955" w:type="pct"/>
                  <w:tcBorders>
                    <w:top w:val="single" w:color="000000" w:sz="4" w:space="0"/>
                    <w:left w:val="single" w:color="000000" w:sz="4" w:space="0"/>
                    <w:bottom w:val="single" w:color="000000" w:sz="4" w:space="0"/>
                    <w:right w:val="single" w:color="000000" w:sz="4" w:space="0"/>
                  </w:tcBorders>
                  <w:shd w:val="clear" w:color="auto" w:fill="auto"/>
                </w:tcPr>
                <w:p w14:paraId="56DDF507">
                  <w:pPr>
                    <w:pStyle w:val="149"/>
                    <w:spacing w:before="39"/>
                    <w:ind w:left="3"/>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0.361</w:t>
                  </w:r>
                </w:p>
              </w:tc>
              <w:tc>
                <w:tcPr>
                  <w:tcW w:w="656" w:type="pct"/>
                  <w:tcBorders>
                    <w:top w:val="single" w:color="000000" w:sz="4" w:space="0"/>
                    <w:left w:val="single" w:color="000000" w:sz="4" w:space="0"/>
                    <w:bottom w:val="single" w:color="000000" w:sz="4" w:space="0"/>
                    <w:right w:val="single" w:color="auto" w:sz="12" w:space="0"/>
                  </w:tcBorders>
                  <w:shd w:val="clear" w:color="auto" w:fill="auto"/>
                </w:tcPr>
                <w:p w14:paraId="1C0DFCF7">
                  <w:pPr>
                    <w:pStyle w:val="149"/>
                    <w:ind w:left="437"/>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≤1.0</w:t>
                  </w:r>
                </w:p>
              </w:tc>
            </w:tr>
            <w:tr w14:paraId="05987ED6">
              <w:tblPrEx>
                <w:tblCellMar>
                  <w:top w:w="0" w:type="dxa"/>
                  <w:left w:w="0" w:type="dxa"/>
                  <w:bottom w:w="0" w:type="dxa"/>
                  <w:right w:w="0" w:type="dxa"/>
                </w:tblCellMar>
              </w:tblPrEx>
              <w:tc>
                <w:tcPr>
                  <w:tcW w:w="992" w:type="pct"/>
                  <w:tcBorders>
                    <w:top w:val="single" w:color="000000" w:sz="4" w:space="0"/>
                    <w:left w:val="single" w:color="auto" w:sz="12" w:space="0"/>
                    <w:bottom w:val="single" w:color="auto" w:sz="12" w:space="0"/>
                    <w:right w:val="single" w:color="000000" w:sz="4" w:space="0"/>
                  </w:tcBorders>
                  <w:shd w:val="clear" w:color="auto" w:fill="auto"/>
                </w:tcPr>
                <w:p w14:paraId="3BE7B355">
                  <w:pPr>
                    <w:pStyle w:val="149"/>
                    <w:ind w:left="602"/>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石油类 </w:t>
                  </w:r>
                </w:p>
              </w:tc>
              <w:tc>
                <w:tcPr>
                  <w:tcW w:w="488" w:type="pct"/>
                  <w:tcBorders>
                    <w:top w:val="single" w:color="000000" w:sz="4" w:space="0"/>
                    <w:left w:val="single" w:color="000000" w:sz="4" w:space="0"/>
                    <w:bottom w:val="single" w:color="auto" w:sz="12" w:space="0"/>
                    <w:right w:val="single" w:color="000000" w:sz="4" w:space="0"/>
                  </w:tcBorders>
                  <w:shd w:val="clear" w:color="auto" w:fill="auto"/>
                </w:tcPr>
                <w:p w14:paraId="42D78AE9">
                  <w:pPr>
                    <w:pStyle w:val="149"/>
                    <w:ind w:left="280"/>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mg/L </w:t>
                  </w:r>
                </w:p>
              </w:tc>
              <w:tc>
                <w:tcPr>
                  <w:tcW w:w="954" w:type="pct"/>
                  <w:tcBorders>
                    <w:top w:val="single" w:color="000000" w:sz="4" w:space="0"/>
                    <w:left w:val="single" w:color="000000" w:sz="4" w:space="0"/>
                    <w:bottom w:val="single" w:color="auto" w:sz="12" w:space="0"/>
                    <w:right w:val="single" w:color="000000" w:sz="4" w:space="0"/>
                  </w:tcBorders>
                  <w:shd w:val="clear" w:color="auto" w:fill="auto"/>
                </w:tcPr>
                <w:p w14:paraId="61F8EDFA">
                  <w:pPr>
                    <w:pStyle w:val="149"/>
                    <w:ind w:left="525"/>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0.01</w:t>
                  </w:r>
                  <w:r>
                    <w:rPr>
                      <w:rFonts w:hint="eastAsia" w:ascii="Times New Roman" w:hAnsi="Times New Roman" w:eastAsia="宋体" w:cs="Times New Roman"/>
                      <w:sz w:val="21"/>
                      <w:szCs w:val="21"/>
                      <w:lang w:eastAsia="zh-CN"/>
                    </w:rPr>
                    <w:t>(</w:t>
                  </w:r>
                  <w:r>
                    <w:rPr>
                      <w:rFonts w:ascii="Times New Roman" w:hAnsi="Times New Roman" w:eastAsia="宋体" w:cs="Times New Roman"/>
                      <w:sz w:val="21"/>
                      <w:szCs w:val="21"/>
                      <w:lang w:eastAsia="zh-CN"/>
                    </w:rPr>
                    <w:t>L</w:t>
                  </w:r>
                  <w:r>
                    <w:rPr>
                      <w:rFonts w:hint="eastAsia" w:ascii="Times New Roman" w:hAnsi="Times New Roman" w:eastAsia="宋体" w:cs="Times New Roman"/>
                      <w:sz w:val="21"/>
                      <w:szCs w:val="21"/>
                      <w:lang w:eastAsia="zh-CN"/>
                    </w:rPr>
                    <w:t>)</w:t>
                  </w:r>
                </w:p>
              </w:tc>
              <w:tc>
                <w:tcPr>
                  <w:tcW w:w="956" w:type="pct"/>
                  <w:tcBorders>
                    <w:top w:val="single" w:color="000000" w:sz="4" w:space="0"/>
                    <w:left w:val="single" w:color="000000" w:sz="4" w:space="0"/>
                    <w:bottom w:val="single" w:color="auto" w:sz="12" w:space="0"/>
                    <w:right w:val="single" w:color="000000" w:sz="4" w:space="0"/>
                  </w:tcBorders>
                  <w:shd w:val="clear" w:color="auto" w:fill="auto"/>
                </w:tcPr>
                <w:p w14:paraId="25CE67CA">
                  <w:pPr>
                    <w:pStyle w:val="149"/>
                    <w:ind w:left="528"/>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0.01</w:t>
                  </w:r>
                  <w:r>
                    <w:rPr>
                      <w:rFonts w:hint="eastAsia" w:ascii="Times New Roman" w:hAnsi="Times New Roman" w:eastAsia="宋体" w:cs="Times New Roman"/>
                      <w:sz w:val="21"/>
                      <w:szCs w:val="21"/>
                      <w:lang w:eastAsia="zh-CN"/>
                    </w:rPr>
                    <w:t>(</w:t>
                  </w:r>
                  <w:r>
                    <w:rPr>
                      <w:rFonts w:ascii="Times New Roman" w:hAnsi="Times New Roman" w:eastAsia="宋体" w:cs="Times New Roman"/>
                      <w:sz w:val="21"/>
                      <w:szCs w:val="21"/>
                      <w:lang w:eastAsia="zh-CN"/>
                    </w:rPr>
                    <w:t>L</w:t>
                  </w:r>
                  <w:r>
                    <w:rPr>
                      <w:rFonts w:hint="eastAsia" w:ascii="Times New Roman" w:hAnsi="Times New Roman" w:eastAsia="宋体" w:cs="Times New Roman"/>
                      <w:sz w:val="21"/>
                      <w:szCs w:val="21"/>
                      <w:lang w:eastAsia="zh-CN"/>
                    </w:rPr>
                    <w:t>)</w:t>
                  </w:r>
                </w:p>
              </w:tc>
              <w:tc>
                <w:tcPr>
                  <w:tcW w:w="955" w:type="pct"/>
                  <w:tcBorders>
                    <w:top w:val="single" w:color="000000" w:sz="4" w:space="0"/>
                    <w:left w:val="single" w:color="000000" w:sz="4" w:space="0"/>
                    <w:bottom w:val="single" w:color="auto" w:sz="12" w:space="0"/>
                    <w:right w:val="single" w:color="000000" w:sz="4" w:space="0"/>
                  </w:tcBorders>
                  <w:shd w:val="clear" w:color="auto" w:fill="auto"/>
                </w:tcPr>
                <w:p w14:paraId="7A706D4C">
                  <w:pPr>
                    <w:pStyle w:val="149"/>
                    <w:ind w:left="528"/>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0.01</w:t>
                  </w:r>
                  <w:r>
                    <w:rPr>
                      <w:rFonts w:hint="eastAsia" w:ascii="Times New Roman" w:hAnsi="Times New Roman" w:eastAsia="宋体" w:cs="Times New Roman"/>
                      <w:sz w:val="21"/>
                      <w:szCs w:val="21"/>
                      <w:lang w:eastAsia="zh-CN"/>
                    </w:rPr>
                    <w:t>(</w:t>
                  </w:r>
                  <w:r>
                    <w:rPr>
                      <w:rFonts w:ascii="Times New Roman" w:hAnsi="Times New Roman" w:eastAsia="宋体" w:cs="Times New Roman"/>
                      <w:sz w:val="21"/>
                      <w:szCs w:val="21"/>
                      <w:lang w:eastAsia="zh-CN"/>
                    </w:rPr>
                    <w:t>L</w:t>
                  </w:r>
                  <w:r>
                    <w:rPr>
                      <w:rFonts w:hint="eastAsia" w:ascii="Times New Roman" w:hAnsi="Times New Roman" w:eastAsia="宋体" w:cs="Times New Roman"/>
                      <w:sz w:val="21"/>
                      <w:szCs w:val="21"/>
                      <w:lang w:eastAsia="zh-CN"/>
                    </w:rPr>
                    <w:t>)</w:t>
                  </w:r>
                </w:p>
              </w:tc>
              <w:tc>
                <w:tcPr>
                  <w:tcW w:w="656" w:type="pct"/>
                  <w:tcBorders>
                    <w:top w:val="single" w:color="000000" w:sz="4" w:space="0"/>
                    <w:left w:val="single" w:color="000000" w:sz="4" w:space="0"/>
                    <w:bottom w:val="single" w:color="auto" w:sz="12" w:space="0"/>
                    <w:right w:val="single" w:color="auto" w:sz="12" w:space="0"/>
                  </w:tcBorders>
                  <w:shd w:val="clear" w:color="auto" w:fill="auto"/>
                </w:tcPr>
                <w:p w14:paraId="461DF04C">
                  <w:pPr>
                    <w:pStyle w:val="149"/>
                    <w:ind w:left="384"/>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≤0.05</w:t>
                  </w:r>
                </w:p>
              </w:tc>
            </w:tr>
          </w:tbl>
          <w:p w14:paraId="46468872">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本次检测结果表明，该项目地表水1#、2#点位的pH值、化学需氧量、五日生化需氧量、氨氮、石油类均符合《地表水质量标准》GB 3838-2008表1中Ⅲ类标准限值；该项目地表水1#、2#点位的悬浮物《地表水质量标准》GB 3838-2008表1中Ⅲ类无标准限值，故此次不</w:t>
            </w:r>
            <w:r>
              <w:rPr>
                <w:rFonts w:hint="eastAsia" w:ascii="Times New Roman" w:hAnsi="Times New Roman" w:eastAsia="宋体" w:cs="Times New Roman"/>
                <w:sz w:val="24"/>
                <w:szCs w:val="24"/>
                <w:lang w:eastAsia="zh-CN"/>
              </w:rPr>
              <w:t>作</w:t>
            </w:r>
            <w:r>
              <w:rPr>
                <w:rFonts w:hint="eastAsia" w:ascii="Times New Roman" w:hAnsi="Times New Roman" w:eastAsia="宋体" w:cs="Times New Roman"/>
                <w:sz w:val="24"/>
                <w:szCs w:val="24"/>
              </w:rPr>
              <w:t>评价。由此</w:t>
            </w:r>
            <w:r>
              <w:rPr>
                <w:rFonts w:ascii="Times New Roman" w:hAnsi="Times New Roman" w:eastAsia="宋体" w:cs="Times New Roman"/>
                <w:sz w:val="24"/>
                <w:szCs w:val="24"/>
              </w:rPr>
              <w:t>可知：项目地表水</w:t>
            </w:r>
            <w:r>
              <w:rPr>
                <w:rFonts w:hint="eastAsia" w:ascii="Times New Roman" w:hAnsi="Times New Roman" w:eastAsia="宋体" w:cs="Times New Roman"/>
                <w:sz w:val="24"/>
                <w:szCs w:val="24"/>
              </w:rPr>
              <w:t>白沙河</w:t>
            </w:r>
            <w:r>
              <w:rPr>
                <w:rFonts w:ascii="Times New Roman" w:hAnsi="Times New Roman" w:eastAsia="宋体" w:cs="Times New Roman"/>
                <w:sz w:val="24"/>
                <w:szCs w:val="24"/>
              </w:rPr>
              <w:t>水质</w:t>
            </w:r>
            <w:r>
              <w:rPr>
                <w:rFonts w:hint="eastAsia" w:ascii="Times New Roman" w:hAnsi="Times New Roman" w:eastAsia="宋体" w:cs="Times New Roman"/>
                <w:sz w:val="24"/>
                <w:szCs w:val="24"/>
                <w:lang w:eastAsia="zh-CN"/>
              </w:rPr>
              <w:t>满足</w:t>
            </w:r>
            <w:r>
              <w:rPr>
                <w:rFonts w:ascii="Times New Roman" w:hAnsi="Times New Roman" w:eastAsia="宋体" w:cs="Times New Roman"/>
                <w:sz w:val="24"/>
                <w:szCs w:val="24"/>
              </w:rPr>
              <w:t>《地表水环境质量标准》（GB3838-2002）</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 3 \* ROMAN </w:instrText>
            </w:r>
            <w:r>
              <w:rPr>
                <w:rFonts w:ascii="Times New Roman" w:hAnsi="Times New Roman" w:eastAsia="宋体" w:cs="Times New Roman"/>
                <w:szCs w:val="21"/>
              </w:rPr>
              <w:fldChar w:fldCharType="separate"/>
            </w:r>
            <w:r>
              <w:rPr>
                <w:rFonts w:hint="eastAsia" w:ascii="Times New Roman" w:hAnsi="Times New Roman" w:eastAsia="宋体" w:cs="Times New Roman"/>
                <w:szCs w:val="21"/>
                <w:lang w:eastAsia="zh-CN"/>
              </w:rPr>
              <w:t>Ⅲ</w:t>
            </w:r>
            <w:r>
              <w:rPr>
                <w:rFonts w:ascii="Times New Roman" w:hAnsi="Times New Roman" w:eastAsia="宋体" w:cs="Times New Roman"/>
                <w:szCs w:val="21"/>
              </w:rPr>
              <w:fldChar w:fldCharType="end"/>
            </w:r>
            <w:r>
              <w:rPr>
                <w:rFonts w:ascii="Times New Roman" w:hAnsi="Times New Roman" w:eastAsia="宋体" w:cs="Times New Roman"/>
                <w:sz w:val="24"/>
                <w:szCs w:val="24"/>
              </w:rPr>
              <w:t>类水质要求，水质良好。项目所在区域地表水环境质量较好。</w:t>
            </w:r>
          </w:p>
          <w:p w14:paraId="1AED59CE">
            <w:pPr>
              <w:spacing w:before="120" w:after="120" w:line="360" w:lineRule="auto"/>
              <w:rPr>
                <w:rFonts w:ascii="Times New Roman" w:hAnsi="Times New Roman" w:eastAsia="宋体" w:cs="Times New Roman"/>
                <w:sz w:val="24"/>
                <w:szCs w:val="24"/>
              </w:rPr>
            </w:pPr>
            <w:r>
              <w:rPr>
                <w:rFonts w:ascii="Times New Roman" w:hAnsi="Times New Roman" w:eastAsia="宋体" w:cs="Times New Roman"/>
                <w:b/>
                <w:sz w:val="24"/>
                <w:szCs w:val="24"/>
              </w:rPr>
              <w:t>三、声环境质量</w:t>
            </w:r>
          </w:p>
          <w:p w14:paraId="1E9AE5E4">
            <w:pPr>
              <w:spacing w:line="360" w:lineRule="auto"/>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根据导则和项目所在地环境特征，委托</w:t>
            </w:r>
            <w:r>
              <w:rPr>
                <w:rFonts w:hint="eastAsia" w:ascii="Times New Roman" w:hAnsi="Times New Roman" w:eastAsia="宋体" w:cs="Times New Roman"/>
                <w:sz w:val="24"/>
                <w:szCs w:val="24"/>
              </w:rPr>
              <w:t>四川羽润晨环保科技有限公司</w:t>
            </w:r>
            <w:r>
              <w:rPr>
                <w:rFonts w:ascii="Times New Roman" w:hAnsi="Times New Roman" w:eastAsia="宋体" w:cs="Times New Roman"/>
                <w:sz w:val="24"/>
                <w:szCs w:val="24"/>
              </w:rPr>
              <w:t>于2020年</w:t>
            </w:r>
            <w:r>
              <w:rPr>
                <w:rFonts w:hint="eastAsia" w:ascii="Times New Roman" w:hAnsi="Times New Roman" w:eastAsia="宋体" w:cs="Times New Roman"/>
                <w:sz w:val="24"/>
                <w:szCs w:val="24"/>
                <w:lang w:eastAsia="zh-CN"/>
              </w:rPr>
              <w:t>7月6日</w:t>
            </w:r>
            <w:r>
              <w:rPr>
                <w:rFonts w:hint="eastAsia" w:ascii="Times New Roman" w:hAnsi="Times New Roman" w:eastAsia="宋体" w:cs="Times New Roman"/>
                <w:sz w:val="24"/>
                <w:szCs w:val="24"/>
              </w:rPr>
              <w:t>、</w:t>
            </w:r>
            <w:r>
              <w:rPr>
                <w:rFonts w:ascii="Times New Roman" w:hAnsi="Times New Roman" w:eastAsia="宋体" w:cs="Times New Roman"/>
                <w:sz w:val="24"/>
                <w:szCs w:val="24"/>
              </w:rPr>
              <w:t>7日在项目厂界四周设置了4个噪声监测点位，监测统计结果见下表3-3所示。</w:t>
            </w:r>
          </w:p>
          <w:p w14:paraId="37721C31">
            <w:pPr>
              <w:pStyle w:val="61"/>
              <w:widowControl w:val="0"/>
              <w:spacing w:line="240" w:lineRule="auto"/>
              <w:ind w:firstLine="0" w:firstLineChars="0"/>
              <w:jc w:val="center"/>
              <w:rPr>
                <w:rFonts w:ascii="Times New Roman" w:hAnsi="Times New Roman" w:eastAsia="宋体" w:cs="Times New Roman"/>
              </w:rPr>
            </w:pPr>
            <w:r>
              <w:rPr>
                <w:rFonts w:ascii="Times New Roman" w:hAnsi="Times New Roman" w:eastAsia="宋体" w:cs="Times New Roman"/>
              </w:rPr>
              <w:t>表3-3声环境质量评价结果统计表</w:t>
            </w:r>
          </w:p>
          <w:tbl>
            <w:tblPr>
              <w:tblStyle w:val="26"/>
              <w:tblW w:w="0" w:type="auto"/>
              <w:jc w:val="center"/>
              <w:tblLayout w:type="autofit"/>
              <w:tblCellMar>
                <w:top w:w="0" w:type="dxa"/>
                <w:left w:w="0" w:type="dxa"/>
                <w:bottom w:w="0" w:type="dxa"/>
                <w:right w:w="0" w:type="dxa"/>
              </w:tblCellMar>
            </w:tblPr>
            <w:tblGrid>
              <w:gridCol w:w="1953"/>
              <w:gridCol w:w="1982"/>
              <w:gridCol w:w="689"/>
              <w:gridCol w:w="688"/>
              <w:gridCol w:w="1982"/>
              <w:gridCol w:w="689"/>
              <w:gridCol w:w="688"/>
            </w:tblGrid>
            <w:tr w14:paraId="03EC5B01">
              <w:trPr>
                <w:jc w:val="center"/>
              </w:trPr>
              <w:tc>
                <w:tcPr>
                  <w:tcW w:w="0" w:type="auto"/>
                  <w:tcBorders>
                    <w:top w:val="single" w:color="auto" w:sz="4" w:space="0"/>
                    <w:left w:val="single" w:color="auto" w:sz="4" w:space="0"/>
                    <w:bottom w:val="single" w:color="000000" w:sz="4" w:space="0"/>
                    <w:right w:val="single" w:color="000000" w:sz="4" w:space="0"/>
                  </w:tcBorders>
                  <w:shd w:val="clear" w:color="auto" w:fill="auto"/>
                  <w:vAlign w:val="center"/>
                </w:tcPr>
                <w:p w14:paraId="2FB05EC4">
                  <w:pPr>
                    <w:pStyle w:val="149"/>
                    <w:jc w:val="center"/>
                    <w:rPr>
                      <w:rFonts w:ascii="Times New Roman" w:hAnsi="Times New Roman" w:eastAsia="宋体" w:cs="Times New Roman"/>
                      <w:sz w:val="21"/>
                      <w:szCs w:val="21"/>
                    </w:rPr>
                  </w:pPr>
                  <w:r>
                    <w:rPr>
                      <w:rFonts w:ascii="Times New Roman" w:hAnsi="Times New Roman" w:eastAsia="宋体" w:cs="Times New Roman"/>
                      <w:sz w:val="21"/>
                      <w:szCs w:val="21"/>
                    </w:rPr>
                    <w:t>项目地址</w:t>
                  </w:r>
                </w:p>
              </w:tc>
              <w:tc>
                <w:tcPr>
                  <w:tcW w:w="0" w:type="auto"/>
                  <w:gridSpan w:val="6"/>
                  <w:tcBorders>
                    <w:top w:val="single" w:color="auto" w:sz="4" w:space="0"/>
                    <w:left w:val="single" w:color="000000" w:sz="4" w:space="0"/>
                    <w:bottom w:val="single" w:color="000000" w:sz="4" w:space="0"/>
                    <w:right w:val="single" w:color="auto" w:sz="4" w:space="0"/>
                  </w:tcBorders>
                  <w:shd w:val="clear" w:color="auto" w:fill="auto"/>
                  <w:vAlign w:val="center"/>
                </w:tcPr>
                <w:p w14:paraId="1C304C50">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乐山市峨边彝族自治县新林镇卷木村</w:t>
                  </w:r>
                  <w:r>
                    <w:rPr>
                      <w:rFonts w:ascii="Times New Roman" w:hAnsi="Times New Roman" w:eastAsia="宋体" w:cs="Times New Roman"/>
                      <w:spacing w:val="-53"/>
                      <w:sz w:val="21"/>
                      <w:szCs w:val="21"/>
                      <w:lang w:eastAsia="zh-CN"/>
                    </w:rPr>
                    <w:t xml:space="preserve"> </w:t>
                  </w:r>
                  <w:r>
                    <w:rPr>
                      <w:rFonts w:ascii="Times New Roman" w:hAnsi="Times New Roman" w:eastAsia="宋体" w:cs="Times New Roman"/>
                      <w:sz w:val="21"/>
                      <w:szCs w:val="21"/>
                      <w:lang w:eastAsia="zh-CN"/>
                    </w:rPr>
                    <w:t>7</w:t>
                  </w:r>
                  <w:r>
                    <w:rPr>
                      <w:rFonts w:ascii="Times New Roman" w:hAnsi="Times New Roman" w:eastAsia="宋体" w:cs="Times New Roman"/>
                      <w:spacing w:val="-53"/>
                      <w:sz w:val="21"/>
                      <w:szCs w:val="21"/>
                      <w:lang w:eastAsia="zh-CN"/>
                    </w:rPr>
                    <w:t xml:space="preserve"> </w:t>
                  </w:r>
                  <w:r>
                    <w:rPr>
                      <w:rFonts w:ascii="Times New Roman" w:hAnsi="Times New Roman" w:eastAsia="宋体" w:cs="Times New Roman"/>
                      <w:spacing w:val="-3"/>
                      <w:sz w:val="21"/>
                      <w:szCs w:val="21"/>
                      <w:lang w:eastAsia="zh-CN"/>
                    </w:rPr>
                    <w:t>组</w:t>
                  </w:r>
                </w:p>
              </w:tc>
            </w:tr>
            <w:tr w14:paraId="0FDD016F">
              <w:tblPrEx>
                <w:tblCellMar>
                  <w:top w:w="0" w:type="dxa"/>
                  <w:left w:w="0" w:type="dxa"/>
                  <w:bottom w:w="0" w:type="dxa"/>
                  <w:right w:w="0" w:type="dxa"/>
                </w:tblCellMar>
              </w:tblPrEx>
              <w:trPr>
                <w:jc w:val="center"/>
              </w:trPr>
              <w:tc>
                <w:tcPr>
                  <w:tcW w:w="0" w:type="auto"/>
                  <w:tcBorders>
                    <w:top w:val="single" w:color="000000" w:sz="4" w:space="0"/>
                    <w:left w:val="single" w:color="auto" w:sz="4" w:space="0"/>
                    <w:bottom w:val="single" w:color="000000" w:sz="4" w:space="0"/>
                    <w:right w:val="single" w:color="000000" w:sz="4" w:space="0"/>
                  </w:tcBorders>
                  <w:shd w:val="clear" w:color="auto" w:fill="auto"/>
                  <w:vAlign w:val="center"/>
                </w:tcPr>
                <w:p w14:paraId="1D6BE2D9">
                  <w:pPr>
                    <w:pStyle w:val="149"/>
                    <w:jc w:val="center"/>
                    <w:rPr>
                      <w:rFonts w:ascii="Times New Roman" w:hAnsi="Times New Roman" w:eastAsia="宋体" w:cs="Times New Roman"/>
                      <w:sz w:val="21"/>
                      <w:szCs w:val="21"/>
                    </w:rPr>
                  </w:pPr>
                  <w:r>
                    <w:rPr>
                      <w:rFonts w:ascii="Times New Roman" w:hAnsi="Times New Roman" w:eastAsia="宋体" w:cs="Times New Roman"/>
                      <w:sz w:val="21"/>
                      <w:szCs w:val="21"/>
                    </w:rPr>
                    <w:t>主要噪声源</w:t>
                  </w:r>
                </w:p>
              </w:tc>
              <w:tc>
                <w:tcPr>
                  <w:tcW w:w="0" w:type="auto"/>
                  <w:gridSpan w:val="6"/>
                  <w:tcBorders>
                    <w:top w:val="single" w:color="000000" w:sz="4" w:space="0"/>
                    <w:left w:val="single" w:color="000000" w:sz="4" w:space="0"/>
                    <w:bottom w:val="single" w:color="000000" w:sz="4" w:space="0"/>
                    <w:right w:val="single" w:color="auto" w:sz="4" w:space="0"/>
                  </w:tcBorders>
                  <w:shd w:val="clear" w:color="auto" w:fill="auto"/>
                  <w:vAlign w:val="center"/>
                </w:tcPr>
                <w:p w14:paraId="4EEA5C1F">
                  <w:pPr>
                    <w:pStyle w:val="149"/>
                    <w:jc w:val="center"/>
                    <w:rPr>
                      <w:rFonts w:ascii="Times New Roman" w:hAnsi="Times New Roman" w:eastAsia="宋体" w:cs="Times New Roman"/>
                      <w:sz w:val="21"/>
                      <w:szCs w:val="21"/>
                    </w:rPr>
                  </w:pPr>
                  <w:r>
                    <w:rPr>
                      <w:rFonts w:ascii="Times New Roman" w:hAnsi="Times New Roman" w:eastAsia="宋体" w:cs="Times New Roman"/>
                      <w:sz w:val="21"/>
                      <w:szCs w:val="21"/>
                    </w:rPr>
                    <w:t>社会生活</w:t>
                  </w:r>
                </w:p>
              </w:tc>
            </w:tr>
            <w:tr w14:paraId="0DC268E3">
              <w:tblPrEx>
                <w:tblCellMar>
                  <w:top w:w="0" w:type="dxa"/>
                  <w:left w:w="0" w:type="dxa"/>
                  <w:bottom w:w="0" w:type="dxa"/>
                  <w:right w:w="0" w:type="dxa"/>
                </w:tblCellMar>
              </w:tblPrEx>
              <w:trPr>
                <w:jc w:val="center"/>
              </w:trPr>
              <w:tc>
                <w:tcPr>
                  <w:tcW w:w="0" w:type="auto"/>
                  <w:tcBorders>
                    <w:top w:val="single" w:color="000000" w:sz="4" w:space="0"/>
                    <w:left w:val="single" w:color="auto" w:sz="4" w:space="0"/>
                    <w:bottom w:val="single" w:color="000000" w:sz="4" w:space="0"/>
                    <w:right w:val="single" w:color="000000" w:sz="4" w:space="0"/>
                  </w:tcBorders>
                  <w:shd w:val="clear" w:color="auto" w:fill="auto"/>
                  <w:vAlign w:val="center"/>
                </w:tcPr>
                <w:p w14:paraId="2C8CAF94">
                  <w:pPr>
                    <w:pStyle w:val="149"/>
                    <w:jc w:val="center"/>
                    <w:rPr>
                      <w:rFonts w:ascii="Times New Roman" w:hAnsi="Times New Roman" w:eastAsia="宋体" w:cs="Times New Roman"/>
                      <w:sz w:val="21"/>
                      <w:szCs w:val="21"/>
                    </w:rPr>
                  </w:pPr>
                  <w:r>
                    <w:rPr>
                      <w:rFonts w:ascii="Times New Roman" w:hAnsi="Times New Roman" w:eastAsia="宋体" w:cs="Times New Roman"/>
                      <w:sz w:val="21"/>
                      <w:szCs w:val="21"/>
                    </w:rPr>
                    <w:t>检测日期</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3899B5">
                  <w:pPr>
                    <w:pStyle w:val="149"/>
                    <w:jc w:val="center"/>
                    <w:rPr>
                      <w:rFonts w:ascii="Times New Roman" w:hAnsi="Times New Roman" w:eastAsia="宋体" w:cs="Times New Roman"/>
                      <w:sz w:val="21"/>
                      <w:szCs w:val="21"/>
                    </w:rPr>
                  </w:pPr>
                  <w:r>
                    <w:rPr>
                      <w:rFonts w:ascii="Times New Roman" w:hAnsi="Times New Roman" w:eastAsia="宋体" w:cs="Times New Roman"/>
                      <w:sz w:val="21"/>
                      <w:szCs w:val="21"/>
                    </w:rPr>
                    <w:t>2020</w:t>
                  </w:r>
                  <w:r>
                    <w:rPr>
                      <w:rFonts w:ascii="Times New Roman" w:hAnsi="Times New Roman" w:eastAsia="宋体" w:cs="Times New Roman"/>
                      <w:spacing w:val="-55"/>
                      <w:sz w:val="21"/>
                      <w:szCs w:val="21"/>
                    </w:rPr>
                    <w:t xml:space="preserve"> </w:t>
                  </w:r>
                  <w:r>
                    <w:rPr>
                      <w:rFonts w:ascii="Times New Roman" w:hAnsi="Times New Roman" w:eastAsia="宋体" w:cs="Times New Roman"/>
                      <w:sz w:val="21"/>
                      <w:szCs w:val="21"/>
                    </w:rPr>
                    <w:t>年</w:t>
                  </w:r>
                  <w:r>
                    <w:rPr>
                      <w:rFonts w:ascii="Times New Roman" w:hAnsi="Times New Roman" w:eastAsia="宋体" w:cs="Times New Roman"/>
                      <w:spacing w:val="-53"/>
                      <w:sz w:val="21"/>
                      <w:szCs w:val="21"/>
                    </w:rPr>
                    <w:t xml:space="preserve"> </w:t>
                  </w:r>
                  <w:r>
                    <w:rPr>
                      <w:rFonts w:ascii="Times New Roman" w:hAnsi="Times New Roman" w:eastAsia="宋体" w:cs="Times New Roman"/>
                      <w:sz w:val="21"/>
                      <w:szCs w:val="21"/>
                    </w:rPr>
                    <w:t>07</w:t>
                  </w:r>
                  <w:r>
                    <w:rPr>
                      <w:rFonts w:ascii="Times New Roman" w:hAnsi="Times New Roman" w:eastAsia="宋体" w:cs="Times New Roman"/>
                      <w:spacing w:val="-55"/>
                      <w:sz w:val="21"/>
                      <w:szCs w:val="21"/>
                    </w:rPr>
                    <w:t xml:space="preserve"> </w:t>
                  </w:r>
                  <w:r>
                    <w:rPr>
                      <w:rFonts w:ascii="Times New Roman" w:hAnsi="Times New Roman" w:eastAsia="宋体" w:cs="Times New Roman"/>
                      <w:sz w:val="21"/>
                      <w:szCs w:val="21"/>
                    </w:rPr>
                    <w:t>月</w:t>
                  </w:r>
                  <w:r>
                    <w:rPr>
                      <w:rFonts w:ascii="Times New Roman" w:hAnsi="Times New Roman" w:eastAsia="宋体" w:cs="Times New Roman"/>
                      <w:spacing w:val="-53"/>
                      <w:sz w:val="21"/>
                      <w:szCs w:val="21"/>
                    </w:rPr>
                    <w:t xml:space="preserve"> </w:t>
                  </w:r>
                  <w:r>
                    <w:rPr>
                      <w:rFonts w:ascii="Times New Roman" w:hAnsi="Times New Roman" w:eastAsia="宋体" w:cs="Times New Roman"/>
                      <w:sz w:val="21"/>
                      <w:szCs w:val="21"/>
                    </w:rPr>
                    <w:t>06</w:t>
                  </w:r>
                  <w:r>
                    <w:rPr>
                      <w:rFonts w:ascii="Times New Roman" w:hAnsi="Times New Roman" w:eastAsia="宋体" w:cs="Times New Roman"/>
                      <w:spacing w:val="-53"/>
                      <w:sz w:val="21"/>
                      <w:szCs w:val="21"/>
                    </w:rPr>
                    <w:t xml:space="preserve"> </w:t>
                  </w:r>
                  <w:r>
                    <w:rPr>
                      <w:rFonts w:ascii="Times New Roman" w:hAnsi="Times New Roman" w:eastAsia="宋体" w:cs="Times New Roman"/>
                      <w:sz w:val="21"/>
                      <w:szCs w:val="21"/>
                    </w:rPr>
                    <w:t>日～2020</w:t>
                  </w:r>
                  <w:r>
                    <w:rPr>
                      <w:rFonts w:ascii="Times New Roman" w:hAnsi="Times New Roman" w:eastAsia="宋体" w:cs="Times New Roman"/>
                      <w:spacing w:val="-55"/>
                      <w:sz w:val="21"/>
                      <w:szCs w:val="21"/>
                    </w:rPr>
                    <w:t xml:space="preserve"> </w:t>
                  </w:r>
                  <w:r>
                    <w:rPr>
                      <w:rFonts w:ascii="Times New Roman" w:hAnsi="Times New Roman" w:eastAsia="宋体" w:cs="Times New Roman"/>
                      <w:sz w:val="21"/>
                      <w:szCs w:val="21"/>
                    </w:rPr>
                    <w:t>年</w:t>
                  </w:r>
                  <w:r>
                    <w:rPr>
                      <w:rFonts w:ascii="Times New Roman" w:hAnsi="Times New Roman" w:eastAsia="宋体" w:cs="Times New Roman"/>
                      <w:spacing w:val="-53"/>
                      <w:sz w:val="21"/>
                      <w:szCs w:val="21"/>
                    </w:rPr>
                    <w:t xml:space="preserve"> </w:t>
                  </w:r>
                  <w:r>
                    <w:rPr>
                      <w:rFonts w:ascii="Times New Roman" w:hAnsi="Times New Roman" w:eastAsia="宋体" w:cs="Times New Roman"/>
                      <w:sz w:val="21"/>
                      <w:szCs w:val="21"/>
                    </w:rPr>
                    <w:t>07</w:t>
                  </w:r>
                  <w:r>
                    <w:rPr>
                      <w:rFonts w:ascii="Times New Roman" w:hAnsi="Times New Roman" w:eastAsia="宋体" w:cs="Times New Roman"/>
                      <w:spacing w:val="-55"/>
                      <w:sz w:val="21"/>
                      <w:szCs w:val="21"/>
                    </w:rPr>
                    <w:t xml:space="preserve"> </w:t>
                  </w:r>
                  <w:r>
                    <w:rPr>
                      <w:rFonts w:ascii="Times New Roman" w:hAnsi="Times New Roman" w:eastAsia="宋体" w:cs="Times New Roman"/>
                      <w:sz w:val="21"/>
                      <w:szCs w:val="21"/>
                    </w:rPr>
                    <w:t>月</w:t>
                  </w:r>
                  <w:r>
                    <w:rPr>
                      <w:rFonts w:ascii="Times New Roman" w:hAnsi="Times New Roman" w:eastAsia="宋体" w:cs="Times New Roman"/>
                      <w:spacing w:val="-53"/>
                      <w:sz w:val="21"/>
                      <w:szCs w:val="21"/>
                    </w:rPr>
                    <w:t xml:space="preserve"> </w:t>
                  </w:r>
                  <w:r>
                    <w:rPr>
                      <w:rFonts w:ascii="Times New Roman" w:hAnsi="Times New Roman" w:eastAsia="宋体" w:cs="Times New Roman"/>
                      <w:sz w:val="21"/>
                      <w:szCs w:val="21"/>
                    </w:rPr>
                    <w:t>07</w:t>
                  </w:r>
                  <w:r>
                    <w:rPr>
                      <w:rFonts w:ascii="Times New Roman" w:hAnsi="Times New Roman" w:eastAsia="宋体" w:cs="Times New Roman"/>
                      <w:spacing w:val="-55"/>
                      <w:sz w:val="21"/>
                      <w:szCs w:val="21"/>
                    </w:rPr>
                    <w:t xml:space="preserve"> </w:t>
                  </w:r>
                  <w:r>
                    <w:rPr>
                      <w:rFonts w:ascii="Times New Roman" w:hAnsi="Times New Roman" w:eastAsia="宋体" w:cs="Times New Roman"/>
                      <w:spacing w:val="-3"/>
                      <w:sz w:val="21"/>
                      <w:szCs w:val="21"/>
                    </w:rPr>
                    <w:t>日</w:t>
                  </w:r>
                </w:p>
              </w:tc>
              <w:tc>
                <w:tcPr>
                  <w:tcW w:w="0" w:type="auto"/>
                  <w:gridSpan w:val="3"/>
                  <w:tcBorders>
                    <w:top w:val="single" w:color="000000" w:sz="4" w:space="0"/>
                    <w:left w:val="single" w:color="000000" w:sz="4" w:space="0"/>
                    <w:bottom w:val="single" w:color="000000" w:sz="4" w:space="0"/>
                    <w:right w:val="single" w:color="auto" w:sz="4" w:space="0"/>
                  </w:tcBorders>
                  <w:shd w:val="clear" w:color="auto" w:fill="auto"/>
                  <w:vAlign w:val="center"/>
                </w:tcPr>
                <w:p w14:paraId="126D7F89">
                  <w:pPr>
                    <w:pStyle w:val="149"/>
                    <w:jc w:val="center"/>
                    <w:rPr>
                      <w:rFonts w:ascii="Times New Roman" w:hAnsi="Times New Roman" w:eastAsia="宋体" w:cs="Times New Roman"/>
                      <w:sz w:val="21"/>
                      <w:szCs w:val="21"/>
                    </w:rPr>
                  </w:pPr>
                  <w:r>
                    <w:rPr>
                      <w:rFonts w:ascii="Times New Roman" w:hAnsi="Times New Roman" w:eastAsia="宋体" w:cs="Times New Roman"/>
                      <w:sz w:val="21"/>
                      <w:szCs w:val="21"/>
                    </w:rPr>
                    <w:t>2020</w:t>
                  </w:r>
                  <w:r>
                    <w:rPr>
                      <w:rFonts w:ascii="Times New Roman" w:hAnsi="Times New Roman" w:eastAsia="宋体" w:cs="Times New Roman"/>
                      <w:spacing w:val="-55"/>
                      <w:sz w:val="21"/>
                      <w:szCs w:val="21"/>
                    </w:rPr>
                    <w:t xml:space="preserve"> </w:t>
                  </w:r>
                  <w:r>
                    <w:rPr>
                      <w:rFonts w:ascii="Times New Roman" w:hAnsi="Times New Roman" w:eastAsia="宋体" w:cs="Times New Roman"/>
                      <w:sz w:val="21"/>
                      <w:szCs w:val="21"/>
                    </w:rPr>
                    <w:t>年</w:t>
                  </w:r>
                  <w:r>
                    <w:rPr>
                      <w:rFonts w:ascii="Times New Roman" w:hAnsi="Times New Roman" w:eastAsia="宋体" w:cs="Times New Roman"/>
                      <w:spacing w:val="-53"/>
                      <w:sz w:val="21"/>
                      <w:szCs w:val="21"/>
                    </w:rPr>
                    <w:t xml:space="preserve"> </w:t>
                  </w:r>
                  <w:r>
                    <w:rPr>
                      <w:rFonts w:ascii="Times New Roman" w:hAnsi="Times New Roman" w:eastAsia="宋体" w:cs="Times New Roman"/>
                      <w:sz w:val="21"/>
                      <w:szCs w:val="21"/>
                    </w:rPr>
                    <w:t>07</w:t>
                  </w:r>
                  <w:r>
                    <w:rPr>
                      <w:rFonts w:ascii="Times New Roman" w:hAnsi="Times New Roman" w:eastAsia="宋体" w:cs="Times New Roman"/>
                      <w:spacing w:val="-55"/>
                      <w:sz w:val="21"/>
                      <w:szCs w:val="21"/>
                    </w:rPr>
                    <w:t xml:space="preserve"> </w:t>
                  </w:r>
                  <w:r>
                    <w:rPr>
                      <w:rFonts w:ascii="Times New Roman" w:hAnsi="Times New Roman" w:eastAsia="宋体" w:cs="Times New Roman"/>
                      <w:sz w:val="21"/>
                      <w:szCs w:val="21"/>
                    </w:rPr>
                    <w:t>月</w:t>
                  </w:r>
                  <w:r>
                    <w:rPr>
                      <w:rFonts w:ascii="Times New Roman" w:hAnsi="Times New Roman" w:eastAsia="宋体" w:cs="Times New Roman"/>
                      <w:spacing w:val="-53"/>
                      <w:sz w:val="21"/>
                      <w:szCs w:val="21"/>
                    </w:rPr>
                    <w:t xml:space="preserve"> </w:t>
                  </w:r>
                  <w:r>
                    <w:rPr>
                      <w:rFonts w:ascii="Times New Roman" w:hAnsi="Times New Roman" w:eastAsia="宋体" w:cs="Times New Roman"/>
                      <w:sz w:val="21"/>
                      <w:szCs w:val="21"/>
                    </w:rPr>
                    <w:t>07</w:t>
                  </w:r>
                  <w:r>
                    <w:rPr>
                      <w:rFonts w:ascii="Times New Roman" w:hAnsi="Times New Roman" w:eastAsia="宋体" w:cs="Times New Roman"/>
                      <w:spacing w:val="-53"/>
                      <w:sz w:val="21"/>
                      <w:szCs w:val="21"/>
                    </w:rPr>
                    <w:t xml:space="preserve"> </w:t>
                  </w:r>
                  <w:r>
                    <w:rPr>
                      <w:rFonts w:ascii="Times New Roman" w:hAnsi="Times New Roman" w:eastAsia="宋体" w:cs="Times New Roman"/>
                      <w:sz w:val="21"/>
                      <w:szCs w:val="21"/>
                    </w:rPr>
                    <w:t>日～2020</w:t>
                  </w:r>
                  <w:r>
                    <w:rPr>
                      <w:rFonts w:ascii="Times New Roman" w:hAnsi="Times New Roman" w:eastAsia="宋体" w:cs="Times New Roman"/>
                      <w:spacing w:val="-55"/>
                      <w:sz w:val="21"/>
                      <w:szCs w:val="21"/>
                    </w:rPr>
                    <w:t xml:space="preserve"> </w:t>
                  </w:r>
                  <w:r>
                    <w:rPr>
                      <w:rFonts w:ascii="Times New Roman" w:hAnsi="Times New Roman" w:eastAsia="宋体" w:cs="Times New Roman"/>
                      <w:sz w:val="21"/>
                      <w:szCs w:val="21"/>
                    </w:rPr>
                    <w:t>年</w:t>
                  </w:r>
                  <w:r>
                    <w:rPr>
                      <w:rFonts w:ascii="Times New Roman" w:hAnsi="Times New Roman" w:eastAsia="宋体" w:cs="Times New Roman"/>
                      <w:spacing w:val="-53"/>
                      <w:sz w:val="21"/>
                      <w:szCs w:val="21"/>
                    </w:rPr>
                    <w:t xml:space="preserve"> </w:t>
                  </w:r>
                  <w:r>
                    <w:rPr>
                      <w:rFonts w:ascii="Times New Roman" w:hAnsi="Times New Roman" w:eastAsia="宋体" w:cs="Times New Roman"/>
                      <w:sz w:val="21"/>
                      <w:szCs w:val="21"/>
                    </w:rPr>
                    <w:t>07</w:t>
                  </w:r>
                  <w:r>
                    <w:rPr>
                      <w:rFonts w:ascii="Times New Roman" w:hAnsi="Times New Roman" w:eastAsia="宋体" w:cs="Times New Roman"/>
                      <w:spacing w:val="-55"/>
                      <w:sz w:val="21"/>
                      <w:szCs w:val="21"/>
                    </w:rPr>
                    <w:t xml:space="preserve"> </w:t>
                  </w:r>
                  <w:r>
                    <w:rPr>
                      <w:rFonts w:ascii="Times New Roman" w:hAnsi="Times New Roman" w:eastAsia="宋体" w:cs="Times New Roman"/>
                      <w:sz w:val="21"/>
                      <w:szCs w:val="21"/>
                    </w:rPr>
                    <w:t>月</w:t>
                  </w:r>
                  <w:r>
                    <w:rPr>
                      <w:rFonts w:ascii="Times New Roman" w:hAnsi="Times New Roman" w:eastAsia="宋体" w:cs="Times New Roman"/>
                      <w:spacing w:val="-53"/>
                      <w:sz w:val="21"/>
                      <w:szCs w:val="21"/>
                    </w:rPr>
                    <w:t xml:space="preserve"> </w:t>
                  </w:r>
                  <w:r>
                    <w:rPr>
                      <w:rFonts w:ascii="Times New Roman" w:hAnsi="Times New Roman" w:eastAsia="宋体" w:cs="Times New Roman"/>
                      <w:sz w:val="21"/>
                      <w:szCs w:val="21"/>
                    </w:rPr>
                    <w:t>08</w:t>
                  </w:r>
                  <w:r>
                    <w:rPr>
                      <w:rFonts w:ascii="Times New Roman" w:hAnsi="Times New Roman" w:eastAsia="宋体" w:cs="Times New Roman"/>
                      <w:spacing w:val="-55"/>
                      <w:sz w:val="21"/>
                      <w:szCs w:val="21"/>
                    </w:rPr>
                    <w:t xml:space="preserve"> </w:t>
                  </w:r>
                  <w:r>
                    <w:rPr>
                      <w:rFonts w:ascii="Times New Roman" w:hAnsi="Times New Roman" w:eastAsia="宋体" w:cs="Times New Roman"/>
                      <w:spacing w:val="-3"/>
                      <w:sz w:val="21"/>
                      <w:szCs w:val="21"/>
                    </w:rPr>
                    <w:t>日</w:t>
                  </w:r>
                </w:p>
              </w:tc>
            </w:tr>
            <w:tr w14:paraId="0C88EF67">
              <w:tblPrEx>
                <w:tblCellMar>
                  <w:top w:w="0" w:type="dxa"/>
                  <w:left w:w="0" w:type="dxa"/>
                  <w:bottom w:w="0" w:type="dxa"/>
                  <w:right w:w="0" w:type="dxa"/>
                </w:tblCellMar>
              </w:tblPrEx>
              <w:trPr>
                <w:jc w:val="center"/>
              </w:trPr>
              <w:tc>
                <w:tcPr>
                  <w:tcW w:w="0" w:type="auto"/>
                  <w:tcBorders>
                    <w:top w:val="single" w:color="000000" w:sz="4" w:space="0"/>
                    <w:left w:val="single" w:color="auto" w:sz="4" w:space="0"/>
                    <w:bottom w:val="single" w:color="000000" w:sz="4" w:space="0"/>
                    <w:right w:val="single" w:color="000000" w:sz="4" w:space="0"/>
                  </w:tcBorders>
                  <w:shd w:val="clear" w:color="auto" w:fill="auto"/>
                  <w:vAlign w:val="center"/>
                </w:tcPr>
                <w:p w14:paraId="763E9631">
                  <w:pPr>
                    <w:pStyle w:val="149"/>
                    <w:jc w:val="center"/>
                    <w:rPr>
                      <w:rFonts w:ascii="Times New Roman" w:hAnsi="Times New Roman" w:eastAsia="宋体" w:cs="Times New Roman"/>
                      <w:sz w:val="21"/>
                      <w:szCs w:val="21"/>
                    </w:rPr>
                  </w:pPr>
                  <w:r>
                    <w:rPr>
                      <w:rFonts w:ascii="Times New Roman" w:hAnsi="Times New Roman" w:eastAsia="宋体" w:cs="Times New Roman"/>
                      <w:sz w:val="21"/>
                      <w:szCs w:val="21"/>
                    </w:rPr>
                    <w:t>检测条件</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14CBD0">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无雨雪、无雷电、晴天、风速＜5m/s</w:t>
                  </w:r>
                </w:p>
              </w:tc>
              <w:tc>
                <w:tcPr>
                  <w:tcW w:w="0" w:type="auto"/>
                  <w:gridSpan w:val="3"/>
                  <w:tcBorders>
                    <w:top w:val="single" w:color="000000" w:sz="4" w:space="0"/>
                    <w:left w:val="single" w:color="000000" w:sz="4" w:space="0"/>
                    <w:bottom w:val="single" w:color="000000" w:sz="4" w:space="0"/>
                    <w:right w:val="single" w:color="auto" w:sz="4" w:space="0"/>
                  </w:tcBorders>
                  <w:shd w:val="clear" w:color="auto" w:fill="auto"/>
                  <w:vAlign w:val="center"/>
                </w:tcPr>
                <w:p w14:paraId="6ADBC7B2">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无雨雪、无雷电、晴天、风速＜5m/s</w:t>
                  </w:r>
                </w:p>
              </w:tc>
            </w:tr>
            <w:tr w14:paraId="4C404C64">
              <w:tblPrEx>
                <w:tblCellMar>
                  <w:top w:w="0" w:type="dxa"/>
                  <w:left w:w="0" w:type="dxa"/>
                  <w:bottom w:w="0" w:type="dxa"/>
                  <w:right w:w="0" w:type="dxa"/>
                </w:tblCellMar>
              </w:tblPrEx>
              <w:trPr>
                <w:jc w:val="center"/>
              </w:trPr>
              <w:tc>
                <w:tcPr>
                  <w:tcW w:w="0" w:type="auto"/>
                  <w:tcBorders>
                    <w:top w:val="single" w:color="000000" w:sz="4" w:space="0"/>
                    <w:left w:val="single" w:color="auto" w:sz="4" w:space="0"/>
                    <w:bottom w:val="single" w:color="000000" w:sz="4" w:space="0"/>
                    <w:right w:val="single" w:color="000000" w:sz="4" w:space="0"/>
                  </w:tcBorders>
                  <w:shd w:val="clear" w:color="auto" w:fill="auto"/>
                  <w:vAlign w:val="center"/>
                </w:tcPr>
                <w:p w14:paraId="7C550015">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仪器校准</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F11246">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检测前：93.8  </w:t>
                  </w:r>
                  <w:r>
                    <w:rPr>
                      <w:rFonts w:ascii="Times New Roman" w:hAnsi="Times New Roman" w:eastAsia="宋体" w:cs="Times New Roman"/>
                      <w:spacing w:val="102"/>
                      <w:sz w:val="21"/>
                      <w:szCs w:val="21"/>
                      <w:lang w:eastAsia="zh-CN"/>
                    </w:rPr>
                    <w:t xml:space="preserve"> </w:t>
                  </w:r>
                  <w:r>
                    <w:rPr>
                      <w:rFonts w:ascii="Times New Roman" w:hAnsi="Times New Roman" w:eastAsia="宋体" w:cs="Times New Roman"/>
                      <w:sz w:val="21"/>
                      <w:szCs w:val="21"/>
                      <w:lang w:eastAsia="zh-CN"/>
                    </w:rPr>
                    <w:t>检测后：93.8</w:t>
                  </w:r>
                </w:p>
              </w:tc>
              <w:tc>
                <w:tcPr>
                  <w:tcW w:w="0" w:type="auto"/>
                  <w:gridSpan w:val="3"/>
                  <w:tcBorders>
                    <w:top w:val="single" w:color="000000" w:sz="4" w:space="0"/>
                    <w:left w:val="single" w:color="000000" w:sz="4" w:space="0"/>
                    <w:bottom w:val="single" w:color="000000" w:sz="4" w:space="0"/>
                    <w:right w:val="single" w:color="auto" w:sz="4" w:space="0"/>
                  </w:tcBorders>
                  <w:shd w:val="clear" w:color="auto" w:fill="auto"/>
                  <w:vAlign w:val="center"/>
                </w:tcPr>
                <w:p w14:paraId="3256EFF5">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 xml:space="preserve">检测前：93.8  </w:t>
                  </w:r>
                  <w:r>
                    <w:rPr>
                      <w:rFonts w:ascii="Times New Roman" w:hAnsi="Times New Roman" w:eastAsia="宋体" w:cs="Times New Roman"/>
                      <w:spacing w:val="102"/>
                      <w:sz w:val="21"/>
                      <w:szCs w:val="21"/>
                      <w:lang w:eastAsia="zh-CN"/>
                    </w:rPr>
                    <w:t xml:space="preserve"> </w:t>
                  </w:r>
                  <w:r>
                    <w:rPr>
                      <w:rFonts w:ascii="Times New Roman" w:hAnsi="Times New Roman" w:eastAsia="宋体" w:cs="Times New Roman"/>
                      <w:sz w:val="21"/>
                      <w:szCs w:val="21"/>
                      <w:lang w:eastAsia="zh-CN"/>
                    </w:rPr>
                    <w:t>检测后：93.8</w:t>
                  </w:r>
                </w:p>
              </w:tc>
            </w:tr>
            <w:tr w14:paraId="6B965F25">
              <w:tblPrEx>
                <w:tblCellMar>
                  <w:top w:w="0" w:type="dxa"/>
                  <w:left w:w="0" w:type="dxa"/>
                  <w:bottom w:w="0" w:type="dxa"/>
                  <w:right w:w="0" w:type="dxa"/>
                </w:tblCellMar>
              </w:tblPrEx>
              <w:trPr>
                <w:jc w:val="center"/>
              </w:trPr>
              <w:tc>
                <w:tcPr>
                  <w:tcW w:w="0" w:type="auto"/>
                  <w:tcBorders>
                    <w:top w:val="single" w:color="000000" w:sz="4" w:space="0"/>
                    <w:left w:val="single" w:color="auto" w:sz="4" w:space="0"/>
                    <w:bottom w:val="single" w:color="000000" w:sz="4" w:space="0"/>
                    <w:right w:val="single" w:color="000000" w:sz="4" w:space="0"/>
                  </w:tcBorders>
                  <w:shd w:val="clear" w:color="auto" w:fill="auto"/>
                  <w:vAlign w:val="center"/>
                </w:tcPr>
                <w:p w14:paraId="59BF6F9E">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检测点位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29F1B1">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测量时段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29DF5B">
                  <w:pPr>
                    <w:pStyle w:val="149"/>
                    <w:spacing w:line="204" w:lineRule="exact"/>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Leq</w:t>
                  </w:r>
                </w:p>
                <w:p w14:paraId="556A678C">
                  <w:pPr>
                    <w:pStyle w:val="149"/>
                    <w:spacing w:line="257" w:lineRule="exact"/>
                    <w:jc w:val="center"/>
                    <w:rPr>
                      <w:rFonts w:ascii="Times New Roman" w:hAnsi="Times New Roman" w:eastAsia="宋体" w:cs="Times New Roman"/>
                      <w:sz w:val="21"/>
                      <w:szCs w:val="21"/>
                      <w:lang w:eastAsia="zh-CN"/>
                    </w:rPr>
                  </w:pPr>
                  <w:r>
                    <w:rPr>
                      <w:rFonts w:hint="eastAsia" w:ascii="Times New Roman" w:hAnsi="Times New Roman" w:eastAsia="宋体" w:cs="Times New Roman"/>
                      <w:spacing w:val="-5"/>
                      <w:sz w:val="21"/>
                      <w:szCs w:val="21"/>
                      <w:lang w:eastAsia="zh-CN"/>
                    </w:rPr>
                    <w:t>[</w:t>
                  </w:r>
                  <w:r>
                    <w:rPr>
                      <w:rFonts w:ascii="Times New Roman" w:hAnsi="Times New Roman" w:eastAsia="宋体" w:cs="Times New Roman"/>
                      <w:spacing w:val="-5"/>
                      <w:sz w:val="21"/>
                      <w:szCs w:val="21"/>
                      <w:lang w:eastAsia="zh-CN"/>
                    </w:rPr>
                    <w:t>dB(A)</w:t>
                  </w:r>
                  <w:r>
                    <w:rPr>
                      <w:rFonts w:hint="eastAsia" w:ascii="Times New Roman" w:hAnsi="Times New Roman" w:eastAsia="宋体" w:cs="Times New Roman"/>
                      <w:spacing w:val="-5"/>
                      <w:sz w:val="21"/>
                      <w:szCs w:val="21"/>
                      <w:lang w:eastAsia="zh-CN"/>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133641">
                  <w:pPr>
                    <w:pStyle w:val="149"/>
                    <w:spacing w:line="204" w:lineRule="exact"/>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Lmax</w:t>
                  </w:r>
                </w:p>
                <w:p w14:paraId="721557FE">
                  <w:pPr>
                    <w:pStyle w:val="149"/>
                    <w:spacing w:line="257" w:lineRule="exact"/>
                    <w:jc w:val="center"/>
                    <w:rPr>
                      <w:rFonts w:ascii="Times New Roman" w:hAnsi="Times New Roman" w:eastAsia="宋体" w:cs="Times New Roman"/>
                      <w:sz w:val="21"/>
                      <w:szCs w:val="21"/>
                      <w:lang w:eastAsia="zh-CN"/>
                    </w:rPr>
                  </w:pPr>
                  <w:r>
                    <w:rPr>
                      <w:rFonts w:hint="eastAsia" w:ascii="Times New Roman" w:hAnsi="Times New Roman" w:eastAsia="宋体" w:cs="Times New Roman"/>
                      <w:spacing w:val="-5"/>
                      <w:sz w:val="21"/>
                      <w:szCs w:val="21"/>
                      <w:lang w:eastAsia="zh-CN"/>
                    </w:rPr>
                    <w:t>[</w:t>
                  </w:r>
                  <w:r>
                    <w:rPr>
                      <w:rFonts w:ascii="Times New Roman" w:hAnsi="Times New Roman" w:eastAsia="宋体" w:cs="Times New Roman"/>
                      <w:spacing w:val="-5"/>
                      <w:sz w:val="21"/>
                      <w:szCs w:val="21"/>
                      <w:lang w:eastAsia="zh-CN"/>
                    </w:rPr>
                    <w:t>dB(A)</w:t>
                  </w:r>
                  <w:r>
                    <w:rPr>
                      <w:rFonts w:hint="eastAsia" w:ascii="Times New Roman" w:hAnsi="Times New Roman" w:eastAsia="宋体" w:cs="Times New Roman"/>
                      <w:spacing w:val="-5"/>
                      <w:sz w:val="21"/>
                      <w:szCs w:val="21"/>
                      <w:lang w:eastAsia="zh-CN"/>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DD9932">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测量时段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4AD89F">
                  <w:pPr>
                    <w:pStyle w:val="149"/>
                    <w:spacing w:line="204" w:lineRule="exact"/>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Leq</w:t>
                  </w:r>
                </w:p>
                <w:p w14:paraId="11653437">
                  <w:pPr>
                    <w:pStyle w:val="149"/>
                    <w:spacing w:line="257" w:lineRule="exact"/>
                    <w:jc w:val="center"/>
                    <w:rPr>
                      <w:rFonts w:ascii="Times New Roman" w:hAnsi="Times New Roman" w:eastAsia="宋体" w:cs="Times New Roman"/>
                      <w:sz w:val="21"/>
                      <w:szCs w:val="21"/>
                      <w:lang w:eastAsia="zh-CN"/>
                    </w:rPr>
                  </w:pPr>
                  <w:r>
                    <w:rPr>
                      <w:rFonts w:hint="eastAsia" w:ascii="Times New Roman" w:hAnsi="Times New Roman" w:eastAsia="宋体" w:cs="Times New Roman"/>
                      <w:spacing w:val="-5"/>
                      <w:sz w:val="21"/>
                      <w:szCs w:val="21"/>
                      <w:lang w:eastAsia="zh-CN"/>
                    </w:rPr>
                    <w:t>[</w:t>
                  </w:r>
                  <w:r>
                    <w:rPr>
                      <w:rFonts w:ascii="Times New Roman" w:hAnsi="Times New Roman" w:eastAsia="宋体" w:cs="Times New Roman"/>
                      <w:spacing w:val="-5"/>
                      <w:sz w:val="21"/>
                      <w:szCs w:val="21"/>
                      <w:lang w:eastAsia="zh-CN"/>
                    </w:rPr>
                    <w:t>dB(A)</w:t>
                  </w:r>
                  <w:r>
                    <w:rPr>
                      <w:rFonts w:hint="eastAsia" w:ascii="Times New Roman" w:hAnsi="Times New Roman" w:eastAsia="宋体" w:cs="Times New Roman"/>
                      <w:spacing w:val="-5"/>
                      <w:sz w:val="21"/>
                      <w:szCs w:val="21"/>
                      <w:lang w:eastAsia="zh-CN"/>
                    </w:rPr>
                    <w:t>]</w:t>
                  </w: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7290DD65">
                  <w:pPr>
                    <w:pStyle w:val="149"/>
                    <w:spacing w:line="204" w:lineRule="exact"/>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Lmax</w:t>
                  </w:r>
                </w:p>
                <w:p w14:paraId="3A8A6D78">
                  <w:pPr>
                    <w:pStyle w:val="149"/>
                    <w:spacing w:line="257" w:lineRule="exact"/>
                    <w:jc w:val="center"/>
                    <w:rPr>
                      <w:rFonts w:ascii="Times New Roman" w:hAnsi="Times New Roman" w:eastAsia="宋体" w:cs="Times New Roman"/>
                      <w:sz w:val="21"/>
                      <w:szCs w:val="21"/>
                      <w:lang w:eastAsia="zh-CN"/>
                    </w:rPr>
                  </w:pPr>
                  <w:r>
                    <w:rPr>
                      <w:rFonts w:hint="eastAsia" w:ascii="Times New Roman" w:hAnsi="Times New Roman" w:eastAsia="宋体" w:cs="Times New Roman"/>
                      <w:spacing w:val="-5"/>
                      <w:sz w:val="21"/>
                      <w:szCs w:val="21"/>
                      <w:lang w:eastAsia="zh-CN"/>
                    </w:rPr>
                    <w:t>[</w:t>
                  </w:r>
                  <w:r>
                    <w:rPr>
                      <w:rFonts w:ascii="Times New Roman" w:hAnsi="Times New Roman" w:eastAsia="宋体" w:cs="Times New Roman"/>
                      <w:spacing w:val="-5"/>
                      <w:sz w:val="21"/>
                      <w:szCs w:val="21"/>
                      <w:lang w:eastAsia="zh-CN"/>
                    </w:rPr>
                    <w:t>dB(A)</w:t>
                  </w:r>
                  <w:r>
                    <w:rPr>
                      <w:rFonts w:hint="eastAsia" w:ascii="Times New Roman" w:hAnsi="Times New Roman" w:eastAsia="宋体" w:cs="Times New Roman"/>
                      <w:spacing w:val="-5"/>
                      <w:sz w:val="21"/>
                      <w:szCs w:val="21"/>
                      <w:lang w:eastAsia="zh-CN"/>
                    </w:rPr>
                    <w:t>]</w:t>
                  </w:r>
                </w:p>
              </w:tc>
            </w:tr>
            <w:tr w14:paraId="47B5F21B">
              <w:tblPrEx>
                <w:tblCellMar>
                  <w:top w:w="0" w:type="dxa"/>
                  <w:left w:w="0" w:type="dxa"/>
                  <w:bottom w:w="0" w:type="dxa"/>
                  <w:right w:w="0" w:type="dxa"/>
                </w:tblCellMar>
              </w:tblPrEx>
              <w:trPr>
                <w:jc w:val="center"/>
              </w:trPr>
              <w:tc>
                <w:tcPr>
                  <w:tcW w:w="0" w:type="auto"/>
                  <w:vMerge w:val="restart"/>
                  <w:tcBorders>
                    <w:top w:val="single" w:color="000000" w:sz="4" w:space="0"/>
                    <w:left w:val="single" w:color="auto" w:sz="4" w:space="0"/>
                    <w:right w:val="single" w:color="000000" w:sz="4" w:space="0"/>
                  </w:tcBorders>
                  <w:shd w:val="clear" w:color="auto" w:fill="auto"/>
                  <w:vAlign w:val="center"/>
                </w:tcPr>
                <w:p w14:paraId="02CD0462">
                  <w:pPr>
                    <w:pStyle w:val="149"/>
                    <w:spacing w:line="278" w:lineRule="auto"/>
                    <w:ind w:hanging="53"/>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1#项目东侧</w:t>
                  </w:r>
                  <w:r>
                    <w:rPr>
                      <w:rFonts w:ascii="Times New Roman" w:hAnsi="Times New Roman" w:eastAsia="宋体" w:cs="Times New Roman"/>
                      <w:spacing w:val="-102"/>
                      <w:sz w:val="21"/>
                      <w:szCs w:val="21"/>
                      <w:lang w:eastAsia="zh-CN"/>
                    </w:rPr>
                    <w:t xml:space="preserve"> </w:t>
                  </w:r>
                  <w:r>
                    <w:rPr>
                      <w:rFonts w:ascii="Times New Roman" w:hAnsi="Times New Roman" w:eastAsia="宋体" w:cs="Times New Roman"/>
                      <w:sz w:val="21"/>
                      <w:szCs w:val="21"/>
                      <w:lang w:eastAsia="zh-CN"/>
                    </w:rPr>
                    <w:t>界外</w:t>
                  </w:r>
                  <w:r>
                    <w:rPr>
                      <w:rFonts w:ascii="Times New Roman" w:hAnsi="Times New Roman" w:eastAsia="宋体" w:cs="Times New Roman"/>
                      <w:spacing w:val="-53"/>
                      <w:sz w:val="21"/>
                      <w:szCs w:val="21"/>
                      <w:lang w:eastAsia="zh-CN"/>
                    </w:rPr>
                    <w:t xml:space="preserve"> </w:t>
                  </w:r>
                  <w:r>
                    <w:rPr>
                      <w:rFonts w:ascii="Times New Roman" w:hAnsi="Times New Roman" w:eastAsia="宋体" w:cs="Times New Roman"/>
                      <w:sz w:val="21"/>
                      <w:szCs w:val="21"/>
                      <w:lang w:eastAsia="zh-CN"/>
                    </w:rPr>
                    <w:t>1m</w:t>
                  </w:r>
                  <w:r>
                    <w:rPr>
                      <w:rFonts w:ascii="Times New Roman" w:hAnsi="Times New Roman" w:eastAsia="宋体" w:cs="Times New Roman"/>
                      <w:spacing w:val="-53"/>
                      <w:sz w:val="21"/>
                      <w:szCs w:val="21"/>
                      <w:lang w:eastAsia="zh-CN"/>
                    </w:rPr>
                    <w:t xml:space="preserve"> </w:t>
                  </w:r>
                  <w:r>
                    <w:rPr>
                      <w:rFonts w:ascii="Times New Roman" w:hAnsi="Times New Roman" w:eastAsia="宋体" w:cs="Times New Roman"/>
                      <w:spacing w:val="-3"/>
                      <w:sz w:val="21"/>
                      <w:szCs w:val="21"/>
                      <w:lang w:eastAsia="zh-CN"/>
                    </w:rPr>
                    <w:t>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2DD37C">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17:51-18:01（昼间）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16F227">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546BD3">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B97D8F">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12:52-13:02（昼间）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128CD2">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59</w:t>
                  </w: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4CB14521">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w:t>
                  </w:r>
                </w:p>
              </w:tc>
            </w:tr>
            <w:tr w14:paraId="75CCC489">
              <w:tblPrEx>
                <w:tblCellMar>
                  <w:top w:w="0" w:type="dxa"/>
                  <w:left w:w="0" w:type="dxa"/>
                  <w:bottom w:w="0" w:type="dxa"/>
                  <w:right w:w="0" w:type="dxa"/>
                </w:tblCellMar>
              </w:tblPrEx>
              <w:trPr>
                <w:jc w:val="center"/>
              </w:trPr>
              <w:tc>
                <w:tcPr>
                  <w:tcW w:w="0" w:type="auto"/>
                  <w:vMerge w:val="continue"/>
                  <w:tcBorders>
                    <w:left w:val="single" w:color="auto" w:sz="4" w:space="0"/>
                    <w:bottom w:val="single" w:color="000000" w:sz="4" w:space="0"/>
                    <w:right w:val="single" w:color="000000" w:sz="4" w:space="0"/>
                  </w:tcBorders>
                  <w:shd w:val="clear" w:color="auto" w:fill="auto"/>
                  <w:vAlign w:val="center"/>
                </w:tcPr>
                <w:p w14:paraId="2A15DDF6">
                  <w:pPr>
                    <w:jc w:val="center"/>
                    <w:rPr>
                      <w:rFonts w:ascii="Times New Roman" w:hAnsi="Times New Roman" w:eastAsia="宋体" w:cs="Times New Roman"/>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F0EC47">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00:02-00:12（夜间）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A52553">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95D093">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6F4EC7">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23:51-00:01（夜间）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2DE4B0">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56</w:t>
                  </w: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6CAAF6D9">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60</w:t>
                  </w:r>
                </w:p>
              </w:tc>
            </w:tr>
            <w:tr w14:paraId="666A89F4">
              <w:tblPrEx>
                <w:tblCellMar>
                  <w:top w:w="0" w:type="dxa"/>
                  <w:left w:w="0" w:type="dxa"/>
                  <w:bottom w:w="0" w:type="dxa"/>
                  <w:right w:w="0" w:type="dxa"/>
                </w:tblCellMar>
              </w:tblPrEx>
              <w:trPr>
                <w:jc w:val="center"/>
              </w:trPr>
              <w:tc>
                <w:tcPr>
                  <w:tcW w:w="0" w:type="auto"/>
                  <w:vMerge w:val="restart"/>
                  <w:tcBorders>
                    <w:top w:val="single" w:color="000000" w:sz="4" w:space="0"/>
                    <w:left w:val="single" w:color="auto" w:sz="4" w:space="0"/>
                    <w:right w:val="single" w:color="000000" w:sz="4" w:space="0"/>
                  </w:tcBorders>
                  <w:shd w:val="clear" w:color="auto" w:fill="auto"/>
                  <w:vAlign w:val="center"/>
                </w:tcPr>
                <w:p w14:paraId="4B9CB694">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2#项目南侧界外</w:t>
                  </w:r>
                  <w:r>
                    <w:rPr>
                      <w:rFonts w:ascii="Times New Roman" w:hAnsi="Times New Roman" w:eastAsia="宋体" w:cs="Times New Roman"/>
                      <w:spacing w:val="-53"/>
                      <w:sz w:val="21"/>
                      <w:szCs w:val="21"/>
                      <w:lang w:eastAsia="zh-CN"/>
                    </w:rPr>
                    <w:t xml:space="preserve"> </w:t>
                  </w:r>
                  <w:r>
                    <w:rPr>
                      <w:rFonts w:ascii="Times New Roman" w:hAnsi="Times New Roman" w:eastAsia="宋体" w:cs="Times New Roman"/>
                      <w:sz w:val="21"/>
                      <w:szCs w:val="21"/>
                      <w:lang w:eastAsia="zh-CN"/>
                    </w:rPr>
                    <w:t>1m</w:t>
                  </w:r>
                  <w:r>
                    <w:rPr>
                      <w:rFonts w:ascii="Times New Roman" w:hAnsi="Times New Roman" w:eastAsia="宋体" w:cs="Times New Roman"/>
                      <w:spacing w:val="-53"/>
                      <w:sz w:val="21"/>
                      <w:szCs w:val="21"/>
                      <w:lang w:eastAsia="zh-CN"/>
                    </w:rPr>
                    <w:t xml:space="preserve"> </w:t>
                  </w:r>
                  <w:r>
                    <w:rPr>
                      <w:rFonts w:ascii="Times New Roman" w:hAnsi="Times New Roman" w:eastAsia="宋体" w:cs="Times New Roman"/>
                      <w:spacing w:val="-3"/>
                      <w:sz w:val="21"/>
                      <w:szCs w:val="21"/>
                      <w:lang w:eastAsia="zh-CN"/>
                    </w:rPr>
                    <w:t>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151A84">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18:02-18:12（昼间）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A71020">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224AC1">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9AB19E">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13:29-13:39（昼间）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9CF3A3">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52</w:t>
                  </w: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293B63A5">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w:t>
                  </w:r>
                </w:p>
              </w:tc>
            </w:tr>
            <w:tr w14:paraId="27B4AC3F">
              <w:tblPrEx>
                <w:tblCellMar>
                  <w:top w:w="0" w:type="dxa"/>
                  <w:left w:w="0" w:type="dxa"/>
                  <w:bottom w:w="0" w:type="dxa"/>
                  <w:right w:w="0" w:type="dxa"/>
                </w:tblCellMar>
              </w:tblPrEx>
              <w:trPr>
                <w:jc w:val="center"/>
              </w:trPr>
              <w:tc>
                <w:tcPr>
                  <w:tcW w:w="0" w:type="auto"/>
                  <w:vMerge w:val="continue"/>
                  <w:tcBorders>
                    <w:left w:val="single" w:color="auto" w:sz="4" w:space="0"/>
                    <w:bottom w:val="single" w:color="000000" w:sz="4" w:space="0"/>
                    <w:right w:val="single" w:color="000000" w:sz="4" w:space="0"/>
                  </w:tcBorders>
                  <w:shd w:val="clear" w:color="auto" w:fill="auto"/>
                  <w:vAlign w:val="center"/>
                </w:tcPr>
                <w:p w14:paraId="203B4DC1">
                  <w:pPr>
                    <w:pStyle w:val="149"/>
                    <w:spacing w:line="267" w:lineRule="exact"/>
                    <w:jc w:val="center"/>
                    <w:rPr>
                      <w:rFonts w:ascii="Times New Roman" w:hAnsi="Times New Roman" w:eastAsia="宋体" w:cs="Times New Roman"/>
                      <w:sz w:val="21"/>
                      <w:szCs w:val="21"/>
                      <w:lang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229F1C">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00:17-00:27（夜间）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3EBF47">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3CD2EB">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747030">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23:22-23:32（夜间）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00D413">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44</w:t>
                  </w: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53D4D9CF">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60</w:t>
                  </w:r>
                </w:p>
              </w:tc>
            </w:tr>
            <w:tr w14:paraId="465513BD">
              <w:tblPrEx>
                <w:tblCellMar>
                  <w:top w:w="0" w:type="dxa"/>
                  <w:left w:w="0" w:type="dxa"/>
                  <w:bottom w:w="0" w:type="dxa"/>
                  <w:right w:w="0" w:type="dxa"/>
                </w:tblCellMar>
              </w:tblPrEx>
              <w:trPr>
                <w:jc w:val="center"/>
              </w:trPr>
              <w:tc>
                <w:tcPr>
                  <w:tcW w:w="0" w:type="auto"/>
                  <w:vMerge w:val="restart"/>
                  <w:tcBorders>
                    <w:top w:val="single" w:color="000000" w:sz="4" w:space="0"/>
                    <w:left w:val="single" w:color="auto" w:sz="4" w:space="0"/>
                    <w:right w:val="single" w:color="000000" w:sz="4" w:space="0"/>
                  </w:tcBorders>
                  <w:shd w:val="clear" w:color="auto" w:fill="auto"/>
                  <w:vAlign w:val="center"/>
                </w:tcPr>
                <w:p w14:paraId="5940C2C1">
                  <w:pPr>
                    <w:pStyle w:val="149"/>
                    <w:spacing w:line="278" w:lineRule="auto"/>
                    <w:ind w:hanging="53"/>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3#项目西侧</w:t>
                  </w:r>
                  <w:r>
                    <w:rPr>
                      <w:rFonts w:ascii="Times New Roman" w:hAnsi="Times New Roman" w:eastAsia="宋体" w:cs="Times New Roman"/>
                      <w:spacing w:val="-102"/>
                      <w:sz w:val="21"/>
                      <w:szCs w:val="21"/>
                      <w:lang w:eastAsia="zh-CN"/>
                    </w:rPr>
                    <w:t xml:space="preserve"> </w:t>
                  </w:r>
                  <w:r>
                    <w:rPr>
                      <w:rFonts w:ascii="Times New Roman" w:hAnsi="Times New Roman" w:eastAsia="宋体" w:cs="Times New Roman"/>
                      <w:sz w:val="21"/>
                      <w:szCs w:val="21"/>
                      <w:lang w:eastAsia="zh-CN"/>
                    </w:rPr>
                    <w:t>界外</w:t>
                  </w:r>
                  <w:r>
                    <w:rPr>
                      <w:rFonts w:ascii="Times New Roman" w:hAnsi="Times New Roman" w:eastAsia="宋体" w:cs="Times New Roman"/>
                      <w:spacing w:val="-53"/>
                      <w:sz w:val="21"/>
                      <w:szCs w:val="21"/>
                      <w:lang w:eastAsia="zh-CN"/>
                    </w:rPr>
                    <w:t xml:space="preserve"> </w:t>
                  </w:r>
                  <w:r>
                    <w:rPr>
                      <w:rFonts w:ascii="Times New Roman" w:hAnsi="Times New Roman" w:eastAsia="宋体" w:cs="Times New Roman"/>
                      <w:sz w:val="21"/>
                      <w:szCs w:val="21"/>
                      <w:lang w:eastAsia="zh-CN"/>
                    </w:rPr>
                    <w:t>1m</w:t>
                  </w:r>
                  <w:r>
                    <w:rPr>
                      <w:rFonts w:ascii="Times New Roman" w:hAnsi="Times New Roman" w:eastAsia="宋体" w:cs="Times New Roman"/>
                      <w:spacing w:val="-53"/>
                      <w:sz w:val="21"/>
                      <w:szCs w:val="21"/>
                      <w:lang w:eastAsia="zh-CN"/>
                    </w:rPr>
                    <w:t xml:space="preserve"> </w:t>
                  </w:r>
                  <w:r>
                    <w:rPr>
                      <w:rFonts w:ascii="Times New Roman" w:hAnsi="Times New Roman" w:eastAsia="宋体" w:cs="Times New Roman"/>
                      <w:spacing w:val="-3"/>
                      <w:sz w:val="21"/>
                      <w:szCs w:val="21"/>
                      <w:lang w:eastAsia="zh-CN"/>
                    </w:rPr>
                    <w:t>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7C4619">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18:14-18:24（昼间）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99FAB5">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33D27E">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1ECBFE">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13:16-13:26（昼间）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84AD28">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53</w:t>
                  </w: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7FF3C838">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w:t>
                  </w:r>
                </w:p>
              </w:tc>
            </w:tr>
            <w:tr w14:paraId="2AAFA1FD">
              <w:tblPrEx>
                <w:tblCellMar>
                  <w:top w:w="0" w:type="dxa"/>
                  <w:left w:w="0" w:type="dxa"/>
                  <w:bottom w:w="0" w:type="dxa"/>
                  <w:right w:w="0" w:type="dxa"/>
                </w:tblCellMar>
              </w:tblPrEx>
              <w:trPr>
                <w:jc w:val="center"/>
              </w:trPr>
              <w:tc>
                <w:tcPr>
                  <w:tcW w:w="0" w:type="auto"/>
                  <w:vMerge w:val="continue"/>
                  <w:tcBorders>
                    <w:left w:val="single" w:color="auto" w:sz="4" w:space="0"/>
                    <w:bottom w:val="single" w:color="000000" w:sz="4" w:space="0"/>
                    <w:right w:val="single" w:color="000000" w:sz="4" w:space="0"/>
                  </w:tcBorders>
                  <w:shd w:val="clear" w:color="auto" w:fill="auto"/>
                  <w:vAlign w:val="center"/>
                </w:tcPr>
                <w:p w14:paraId="48E31C31">
                  <w:pPr>
                    <w:jc w:val="center"/>
                    <w:rPr>
                      <w:rFonts w:ascii="Times New Roman" w:hAnsi="Times New Roman" w:eastAsia="宋体" w:cs="Times New Roman"/>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BD582B">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00:30-00:40（夜间）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EC57B1">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ECF49F">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715101">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23:35-23:45（夜间）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3D53A7">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42</w:t>
                  </w: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30BF01AA">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54</w:t>
                  </w:r>
                </w:p>
              </w:tc>
            </w:tr>
            <w:tr w14:paraId="60F7E212">
              <w:tblPrEx>
                <w:tblCellMar>
                  <w:top w:w="0" w:type="dxa"/>
                  <w:left w:w="0" w:type="dxa"/>
                  <w:bottom w:w="0" w:type="dxa"/>
                  <w:right w:w="0" w:type="dxa"/>
                </w:tblCellMar>
              </w:tblPrEx>
              <w:trPr>
                <w:jc w:val="center"/>
              </w:trPr>
              <w:tc>
                <w:tcPr>
                  <w:tcW w:w="0" w:type="auto"/>
                  <w:vMerge w:val="restart"/>
                  <w:tcBorders>
                    <w:top w:val="single" w:color="000000" w:sz="4" w:space="0"/>
                    <w:left w:val="single" w:color="auto" w:sz="4" w:space="0"/>
                    <w:right w:val="single" w:color="000000" w:sz="4" w:space="0"/>
                  </w:tcBorders>
                  <w:shd w:val="clear" w:color="auto" w:fill="auto"/>
                  <w:vAlign w:val="center"/>
                </w:tcPr>
                <w:p w14:paraId="2EE62879">
                  <w:pPr>
                    <w:pStyle w:val="149"/>
                    <w:spacing w:line="280" w:lineRule="auto"/>
                    <w:ind w:hanging="53"/>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4#项目北侧</w:t>
                  </w:r>
                  <w:r>
                    <w:rPr>
                      <w:rFonts w:ascii="Times New Roman" w:hAnsi="Times New Roman" w:eastAsia="宋体" w:cs="Times New Roman"/>
                      <w:spacing w:val="-102"/>
                      <w:sz w:val="21"/>
                      <w:szCs w:val="21"/>
                      <w:lang w:eastAsia="zh-CN"/>
                    </w:rPr>
                    <w:t xml:space="preserve"> </w:t>
                  </w:r>
                  <w:r>
                    <w:rPr>
                      <w:rFonts w:ascii="Times New Roman" w:hAnsi="Times New Roman" w:eastAsia="宋体" w:cs="Times New Roman"/>
                      <w:sz w:val="21"/>
                      <w:szCs w:val="21"/>
                      <w:lang w:eastAsia="zh-CN"/>
                    </w:rPr>
                    <w:t>界外</w:t>
                  </w:r>
                  <w:r>
                    <w:rPr>
                      <w:rFonts w:ascii="Times New Roman" w:hAnsi="Times New Roman" w:eastAsia="宋体" w:cs="Times New Roman"/>
                      <w:spacing w:val="-53"/>
                      <w:sz w:val="21"/>
                      <w:szCs w:val="21"/>
                      <w:lang w:eastAsia="zh-CN"/>
                    </w:rPr>
                    <w:t xml:space="preserve"> </w:t>
                  </w:r>
                  <w:r>
                    <w:rPr>
                      <w:rFonts w:ascii="Times New Roman" w:hAnsi="Times New Roman" w:eastAsia="宋体" w:cs="Times New Roman"/>
                      <w:sz w:val="21"/>
                      <w:szCs w:val="21"/>
                      <w:lang w:eastAsia="zh-CN"/>
                    </w:rPr>
                    <w:t>1m</w:t>
                  </w:r>
                  <w:r>
                    <w:rPr>
                      <w:rFonts w:ascii="Times New Roman" w:hAnsi="Times New Roman" w:eastAsia="宋体" w:cs="Times New Roman"/>
                      <w:spacing w:val="-53"/>
                      <w:sz w:val="21"/>
                      <w:szCs w:val="21"/>
                      <w:lang w:eastAsia="zh-CN"/>
                    </w:rPr>
                    <w:t xml:space="preserve"> </w:t>
                  </w:r>
                  <w:r>
                    <w:rPr>
                      <w:rFonts w:ascii="Times New Roman" w:hAnsi="Times New Roman" w:eastAsia="宋体" w:cs="Times New Roman"/>
                      <w:spacing w:val="-3"/>
                      <w:sz w:val="21"/>
                      <w:szCs w:val="21"/>
                      <w:lang w:eastAsia="zh-CN"/>
                    </w:rPr>
                    <w:t>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AB8153">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18:26-18:36（昼间）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8D1F0D">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ECFDA7">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CBD7E5">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13:05-13:15（昼间）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263912">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58</w:t>
                  </w: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326828F4">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w:t>
                  </w:r>
                </w:p>
              </w:tc>
            </w:tr>
            <w:tr w14:paraId="6CD13413">
              <w:tblPrEx>
                <w:tblCellMar>
                  <w:top w:w="0" w:type="dxa"/>
                  <w:left w:w="0" w:type="dxa"/>
                  <w:bottom w:w="0" w:type="dxa"/>
                  <w:right w:w="0" w:type="dxa"/>
                </w:tblCellMar>
              </w:tblPrEx>
              <w:trPr>
                <w:jc w:val="center"/>
              </w:trPr>
              <w:tc>
                <w:tcPr>
                  <w:tcW w:w="0" w:type="auto"/>
                  <w:vMerge w:val="continue"/>
                  <w:tcBorders>
                    <w:left w:val="single" w:color="auto" w:sz="4" w:space="0"/>
                    <w:bottom w:val="single" w:color="000000" w:sz="4" w:space="0"/>
                    <w:right w:val="single" w:color="000000" w:sz="4" w:space="0"/>
                  </w:tcBorders>
                  <w:shd w:val="clear" w:color="auto" w:fill="auto"/>
                  <w:vAlign w:val="center"/>
                </w:tcPr>
                <w:p w14:paraId="20A8B22E">
                  <w:pPr>
                    <w:jc w:val="center"/>
                    <w:rPr>
                      <w:rFonts w:ascii="Times New Roman" w:hAnsi="Times New Roman" w:eastAsia="宋体" w:cs="Times New Roman"/>
                      <w:szCs w:val="21"/>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C86495">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00:47-00:57（夜间）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C761BF">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FDD060">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2FEA9D">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00:04-00:14（夜间）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48468D">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54</w:t>
                  </w: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3BC76DEF">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56</w:t>
                  </w:r>
                </w:p>
              </w:tc>
            </w:tr>
            <w:tr w14:paraId="0242F37E">
              <w:tblPrEx>
                <w:tblCellMar>
                  <w:top w:w="0" w:type="dxa"/>
                  <w:left w:w="0" w:type="dxa"/>
                  <w:bottom w:w="0" w:type="dxa"/>
                  <w:right w:w="0" w:type="dxa"/>
                </w:tblCellMar>
              </w:tblPrEx>
              <w:trPr>
                <w:jc w:val="center"/>
              </w:trPr>
              <w:tc>
                <w:tcPr>
                  <w:tcW w:w="0" w:type="auto"/>
                  <w:gridSpan w:val="2"/>
                  <w:tcBorders>
                    <w:top w:val="single" w:color="000000" w:sz="4" w:space="0"/>
                    <w:left w:val="single" w:color="auto" w:sz="4" w:space="0"/>
                    <w:bottom w:val="single" w:color="auto" w:sz="4" w:space="0"/>
                    <w:right w:val="single" w:color="000000" w:sz="4" w:space="0"/>
                  </w:tcBorders>
                  <w:shd w:val="clear" w:color="auto" w:fill="auto"/>
                  <w:vAlign w:val="center"/>
                </w:tcPr>
                <w:p w14:paraId="30C7BD55">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标准限值［dB(A)］</w:t>
                  </w:r>
                </w:p>
              </w:tc>
              <w:tc>
                <w:tcPr>
                  <w:tcW w:w="0" w:type="auto"/>
                  <w:gridSpan w:val="5"/>
                  <w:tcBorders>
                    <w:top w:val="single" w:color="000000" w:sz="4" w:space="0"/>
                    <w:left w:val="single" w:color="000000" w:sz="4" w:space="0"/>
                    <w:bottom w:val="single" w:color="auto" w:sz="4" w:space="0"/>
                    <w:right w:val="single" w:color="auto" w:sz="4" w:space="0"/>
                  </w:tcBorders>
                  <w:shd w:val="clear" w:color="auto" w:fill="auto"/>
                  <w:vAlign w:val="center"/>
                </w:tcPr>
                <w:p w14:paraId="79B7263D">
                  <w:pPr>
                    <w:pStyle w:val="149"/>
                    <w:jc w:val="center"/>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t>昼间</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z w:val="21"/>
                      <w:szCs w:val="21"/>
                      <w:lang w:eastAsia="zh-CN"/>
                    </w:rPr>
                    <w:t>60，夜间</w:t>
                  </w:r>
                  <w:r>
                    <w:rPr>
                      <w:rFonts w:ascii="Times New Roman" w:hAnsi="Times New Roman" w:eastAsia="宋体" w:cs="Times New Roman"/>
                      <w:spacing w:val="-52"/>
                      <w:sz w:val="21"/>
                      <w:szCs w:val="21"/>
                      <w:lang w:eastAsia="zh-CN"/>
                    </w:rPr>
                    <w:t xml:space="preserve"> </w:t>
                  </w:r>
                  <w:r>
                    <w:rPr>
                      <w:rFonts w:ascii="Times New Roman" w:hAnsi="Times New Roman" w:eastAsia="宋体" w:cs="Times New Roman"/>
                      <w:spacing w:val="-3"/>
                      <w:sz w:val="21"/>
                      <w:szCs w:val="21"/>
                      <w:lang w:eastAsia="zh-CN"/>
                    </w:rPr>
                    <w:t>50</w:t>
                  </w:r>
                </w:p>
              </w:tc>
            </w:tr>
          </w:tbl>
          <w:p w14:paraId="5D83C9AA">
            <w:pPr>
              <w:spacing w:line="480" w:lineRule="exact"/>
              <w:ind w:firstLine="470" w:firstLineChars="196"/>
              <w:rPr>
                <w:rFonts w:ascii="Times New Roman" w:hAnsi="Times New Roman" w:eastAsia="宋体" w:cs="Times New Roman"/>
                <w:sz w:val="24"/>
                <w:szCs w:val="24"/>
              </w:rPr>
            </w:pPr>
            <w:r>
              <w:rPr>
                <w:rFonts w:ascii="Times New Roman" w:hAnsi="Times New Roman" w:eastAsia="宋体" w:cs="Times New Roman"/>
                <w:sz w:val="24"/>
                <w:szCs w:val="24"/>
              </w:rPr>
              <w:t>根据监测结果：</w:t>
            </w:r>
            <w:r>
              <w:rPr>
                <w:rFonts w:hint="eastAsia" w:ascii="Times New Roman" w:hAnsi="Times New Roman" w:eastAsia="宋体" w:cs="Times New Roman"/>
                <w:sz w:val="24"/>
                <w:szCs w:val="24"/>
              </w:rPr>
              <w:t>检测结果表明，该项目2#、3#点位的昼夜、夜间声环境噪声、1#、4#点位的昼间声环境噪声均符合《声环境质量标准》GB 3096-2008表1中2类功能区排放限值；1#、4#点位的夜间声环境噪声不符合《声环境质量标准》GB 3096-2008表1中2类功能区排放限值。1#、4#点位临近道路及河流，洪水季节的河流及周边车辆通过对声环境影响较大。本项目夜间不生产，对声环境夜间声环境无影响。</w:t>
            </w:r>
          </w:p>
        </w:tc>
      </w:tr>
      <w:tr w14:paraId="36BAA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0" w:hRule="atLeast"/>
          <w:jc w:val="center"/>
        </w:trPr>
        <w:tc>
          <w:tcPr>
            <w:tcW w:w="9269" w:type="dxa"/>
          </w:tcPr>
          <w:p w14:paraId="5B813D3E">
            <w:pPr>
              <w:autoSpaceDE w:val="0"/>
              <w:autoSpaceDN w:val="0"/>
              <w:adjustRightInd w:val="0"/>
              <w:spacing w:line="360" w:lineRule="auto"/>
              <w:ind w:firstLine="138" w:firstLineChars="49"/>
              <w:rPr>
                <w:rFonts w:ascii="Times New Roman" w:hAnsi="Times New Roman" w:eastAsia="宋体" w:cs="Times New Roman"/>
                <w:b/>
                <w:sz w:val="28"/>
                <w:szCs w:val="28"/>
              </w:rPr>
            </w:pPr>
            <w:r>
              <w:rPr>
                <w:rFonts w:ascii="Times New Roman" w:hAnsi="Times New Roman" w:eastAsia="宋体" w:cs="Times New Roman"/>
                <w:b/>
                <w:sz w:val="28"/>
                <w:szCs w:val="28"/>
              </w:rPr>
              <w:t>主要环境保护目标（列出名单及保护级别）</w:t>
            </w:r>
          </w:p>
          <w:p w14:paraId="08174EDD">
            <w:pPr>
              <w:spacing w:line="360" w:lineRule="auto"/>
              <w:ind w:firstLine="470" w:firstLineChars="196"/>
              <w:rPr>
                <w:rFonts w:ascii="Times New Roman" w:hAnsi="Times New Roman" w:eastAsia="宋体" w:cs="Times New Roman"/>
                <w:bCs/>
                <w:sz w:val="24"/>
              </w:rPr>
            </w:pPr>
            <w:r>
              <w:rPr>
                <w:rFonts w:ascii="Times New Roman" w:hAnsi="Times New Roman" w:eastAsia="宋体" w:cs="Times New Roman"/>
                <w:sz w:val="24"/>
                <w:szCs w:val="24"/>
              </w:rPr>
              <w:t>根据现场勘查</w:t>
            </w:r>
            <w:r>
              <w:rPr>
                <w:rFonts w:ascii="Times New Roman" w:hAnsi="Times New Roman" w:eastAsia="宋体" w:cs="Times New Roman"/>
                <w:sz w:val="24"/>
              </w:rPr>
              <w:t>项目四至情况可知：项目厂区位于</w:t>
            </w:r>
            <w:r>
              <w:rPr>
                <w:rFonts w:hint="eastAsia" w:ascii="Times New Roman" w:hAnsi="Times New Roman" w:eastAsia="宋体" w:cs="Times New Roman"/>
                <w:sz w:val="24"/>
              </w:rPr>
              <w:t>峨边彝族自治县新林镇卷木村4组、7组</w:t>
            </w:r>
            <w:r>
              <w:rPr>
                <w:rFonts w:ascii="Times New Roman" w:hAnsi="Times New Roman" w:eastAsia="宋体" w:cs="Times New Roman"/>
                <w:sz w:val="24"/>
              </w:rPr>
              <w:t>，</w:t>
            </w:r>
            <w:r>
              <w:rPr>
                <w:rFonts w:hint="eastAsia" w:ascii="Times New Roman" w:hAnsi="Times New Roman" w:eastAsia="宋体" w:cs="Times New Roman"/>
                <w:sz w:val="24"/>
              </w:rPr>
              <w:t>厂区</w:t>
            </w:r>
            <w:r>
              <w:rPr>
                <w:rFonts w:hint="eastAsia" w:ascii="Times New Roman" w:hAnsi="Times New Roman" w:eastAsia="宋体" w:cs="Times New Roman"/>
                <w:b/>
                <w:bCs/>
                <w:sz w:val="24"/>
              </w:rPr>
              <w:t>北侧</w:t>
            </w:r>
            <w:r>
              <w:rPr>
                <w:rFonts w:hint="eastAsia" w:ascii="Times New Roman" w:hAnsi="Times New Roman" w:eastAsia="宋体" w:cs="Times New Roman"/>
                <w:sz w:val="24"/>
              </w:rPr>
              <w:t>距离厂界最近约</w:t>
            </w:r>
            <w:r>
              <w:rPr>
                <w:rFonts w:ascii="Times New Roman" w:hAnsi="Times New Roman" w:eastAsia="宋体" w:cs="Times New Roman"/>
                <w:sz w:val="24"/>
              </w:rPr>
              <w:t>168</w:t>
            </w:r>
            <w:r>
              <w:rPr>
                <w:rFonts w:hint="eastAsia" w:ascii="Times New Roman" w:hAnsi="Times New Roman" w:eastAsia="宋体" w:cs="Times New Roman"/>
                <w:sz w:val="24"/>
              </w:rPr>
              <w:t>m为周边散居居民约</w:t>
            </w:r>
            <w:r>
              <w:rPr>
                <w:rFonts w:ascii="Times New Roman" w:hAnsi="Times New Roman" w:eastAsia="宋体" w:cs="Times New Roman"/>
                <w:sz w:val="24"/>
              </w:rPr>
              <w:t>4</w:t>
            </w:r>
            <w:r>
              <w:rPr>
                <w:rFonts w:hint="eastAsia" w:ascii="Times New Roman" w:hAnsi="Times New Roman" w:eastAsia="宋体" w:cs="Times New Roman"/>
                <w:sz w:val="24"/>
              </w:rPr>
              <w:t>户；</w:t>
            </w:r>
            <w:r>
              <w:rPr>
                <w:rFonts w:hint="eastAsia" w:ascii="Times New Roman" w:hAnsi="Times New Roman" w:eastAsia="宋体" w:cs="Times New Roman"/>
                <w:b/>
                <w:bCs/>
                <w:sz w:val="24"/>
              </w:rPr>
              <w:t>东侧</w:t>
            </w:r>
            <w:r>
              <w:rPr>
                <w:rFonts w:hint="eastAsia" w:ascii="Times New Roman" w:hAnsi="Times New Roman" w:eastAsia="宋体" w:cs="Times New Roman"/>
                <w:sz w:val="24"/>
              </w:rPr>
              <w:t>紧邻白沙河，隔白沙河为景阳路，相距约6</w:t>
            </w:r>
            <w:r>
              <w:rPr>
                <w:rFonts w:ascii="Times New Roman" w:hAnsi="Times New Roman" w:eastAsia="宋体" w:cs="Times New Roman"/>
                <w:sz w:val="24"/>
              </w:rPr>
              <w:t>2</w:t>
            </w:r>
            <w:r>
              <w:rPr>
                <w:rFonts w:hint="eastAsia" w:ascii="Times New Roman" w:hAnsi="Times New Roman" w:eastAsia="宋体" w:cs="Times New Roman"/>
                <w:sz w:val="24"/>
              </w:rPr>
              <w:t>m为中铁五局成昆线砂石厂，距离厂界最近约1</w:t>
            </w:r>
            <w:r>
              <w:rPr>
                <w:rFonts w:ascii="Times New Roman" w:hAnsi="Times New Roman" w:eastAsia="宋体" w:cs="Times New Roman"/>
                <w:sz w:val="24"/>
              </w:rPr>
              <w:t>80</w:t>
            </w:r>
            <w:r>
              <w:rPr>
                <w:rFonts w:hint="eastAsia" w:ascii="Times New Roman" w:hAnsi="Times New Roman" w:eastAsia="宋体" w:cs="Times New Roman"/>
                <w:sz w:val="24"/>
              </w:rPr>
              <w:t>m为下溪坪居民约1</w:t>
            </w:r>
            <w:r>
              <w:rPr>
                <w:rFonts w:ascii="Times New Roman" w:hAnsi="Times New Roman" w:eastAsia="宋体" w:cs="Times New Roman"/>
                <w:sz w:val="24"/>
              </w:rPr>
              <w:t>8</w:t>
            </w:r>
            <w:r>
              <w:rPr>
                <w:rFonts w:hint="eastAsia" w:ascii="Times New Roman" w:hAnsi="Times New Roman" w:eastAsia="宋体" w:cs="Times New Roman"/>
                <w:sz w:val="24"/>
              </w:rPr>
              <w:t>户；</w:t>
            </w:r>
            <w:r>
              <w:rPr>
                <w:rFonts w:hint="eastAsia" w:ascii="Times New Roman" w:hAnsi="Times New Roman" w:eastAsia="宋体" w:cs="Times New Roman"/>
                <w:b/>
                <w:bCs/>
                <w:sz w:val="24"/>
              </w:rPr>
              <w:t>南侧</w:t>
            </w:r>
            <w:r>
              <w:rPr>
                <w:rFonts w:hint="eastAsia" w:ascii="Times New Roman" w:hAnsi="Times New Roman" w:eastAsia="宋体" w:cs="Times New Roman"/>
                <w:sz w:val="24"/>
              </w:rPr>
              <w:t>2</w:t>
            </w:r>
            <w:r>
              <w:rPr>
                <w:rFonts w:ascii="Times New Roman" w:hAnsi="Times New Roman" w:eastAsia="宋体" w:cs="Times New Roman"/>
                <w:sz w:val="24"/>
              </w:rPr>
              <w:t>00</w:t>
            </w:r>
            <w:r>
              <w:rPr>
                <w:rFonts w:hint="eastAsia" w:ascii="Times New Roman" w:hAnsi="Times New Roman" w:eastAsia="宋体" w:cs="Times New Roman"/>
                <w:sz w:val="24"/>
              </w:rPr>
              <w:t>m范围内主要为林地；</w:t>
            </w:r>
            <w:r>
              <w:rPr>
                <w:rFonts w:hint="eastAsia" w:ascii="Times New Roman" w:hAnsi="Times New Roman" w:eastAsia="宋体" w:cs="Times New Roman"/>
                <w:b/>
                <w:bCs/>
                <w:sz w:val="24"/>
              </w:rPr>
              <w:t>西南侧</w:t>
            </w:r>
            <w:r>
              <w:rPr>
                <w:rFonts w:hint="eastAsia" w:ascii="Times New Roman" w:hAnsi="Times New Roman" w:eastAsia="宋体" w:cs="Times New Roman"/>
                <w:sz w:val="24"/>
              </w:rPr>
              <w:t>距离厂界约</w:t>
            </w:r>
            <w:r>
              <w:rPr>
                <w:rFonts w:ascii="Times New Roman" w:hAnsi="Times New Roman" w:eastAsia="宋体" w:cs="Times New Roman"/>
                <w:sz w:val="24"/>
              </w:rPr>
              <w:t>210</w:t>
            </w:r>
            <w:r>
              <w:rPr>
                <w:rFonts w:hint="eastAsia" w:ascii="Times New Roman" w:hAnsi="Times New Roman" w:eastAsia="宋体" w:cs="Times New Roman"/>
                <w:sz w:val="24"/>
              </w:rPr>
              <w:t>m分布有卷木村居民；</w:t>
            </w:r>
            <w:r>
              <w:rPr>
                <w:rFonts w:hint="eastAsia" w:ascii="Times New Roman" w:hAnsi="Times New Roman" w:eastAsia="宋体" w:cs="Times New Roman"/>
                <w:b/>
                <w:bCs/>
                <w:sz w:val="24"/>
              </w:rPr>
              <w:t>西侧</w:t>
            </w:r>
            <w:r>
              <w:rPr>
                <w:rFonts w:hint="eastAsia" w:ascii="Times New Roman" w:hAnsi="Times New Roman" w:eastAsia="宋体" w:cs="Times New Roman"/>
                <w:sz w:val="24"/>
              </w:rPr>
              <w:t>距离厂界约3</w:t>
            </w:r>
            <w:r>
              <w:rPr>
                <w:rFonts w:ascii="Times New Roman" w:hAnsi="Times New Roman" w:eastAsia="宋体" w:cs="Times New Roman"/>
                <w:sz w:val="24"/>
              </w:rPr>
              <w:t>0</w:t>
            </w:r>
            <w:r>
              <w:rPr>
                <w:rFonts w:hint="eastAsia" w:ascii="Times New Roman" w:hAnsi="Times New Roman" w:eastAsia="宋体" w:cs="Times New Roman"/>
                <w:sz w:val="24"/>
              </w:rPr>
              <w:t>m山坡上为一家砂石厂，2</w:t>
            </w:r>
            <w:r>
              <w:rPr>
                <w:rFonts w:ascii="Times New Roman" w:hAnsi="Times New Roman" w:eastAsia="宋体" w:cs="Times New Roman"/>
                <w:sz w:val="24"/>
              </w:rPr>
              <w:t>00</w:t>
            </w:r>
            <w:r>
              <w:rPr>
                <w:rFonts w:hint="eastAsia" w:ascii="Times New Roman" w:hAnsi="Times New Roman" w:eastAsia="宋体" w:cs="Times New Roman"/>
                <w:sz w:val="24"/>
              </w:rPr>
              <w:t>m范围内无特殊敏感点</w:t>
            </w:r>
            <w:r>
              <w:rPr>
                <w:rFonts w:ascii="Times New Roman" w:hAnsi="Times New Roman" w:eastAsia="宋体" w:cs="Times New Roman"/>
                <w:sz w:val="24"/>
              </w:rPr>
              <w:t>。</w:t>
            </w:r>
            <w:r>
              <w:rPr>
                <w:rFonts w:ascii="Times New Roman" w:hAnsi="Times New Roman" w:eastAsia="宋体" w:cs="Times New Roman"/>
                <w:bCs/>
                <w:sz w:val="24"/>
              </w:rPr>
              <w:t>项目主要外环境关系见附图3。</w:t>
            </w:r>
          </w:p>
          <w:p w14:paraId="013937E0">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根据项目特点和外环境特征确定保护目标及保护级别为：</w:t>
            </w:r>
          </w:p>
          <w:p w14:paraId="0B2139B6">
            <w:pPr>
              <w:autoSpaceDE w:val="0"/>
              <w:autoSpaceDN w:val="0"/>
              <w:adjustRightInd w:val="0"/>
              <w:spacing w:line="360" w:lineRule="auto"/>
              <w:ind w:firstLine="482" w:firstLineChars="200"/>
              <w:jc w:val="left"/>
              <w:rPr>
                <w:rFonts w:ascii="Times New Roman" w:hAnsi="Times New Roman" w:eastAsia="宋体" w:cs="Times New Roman"/>
                <w:bCs/>
                <w:sz w:val="24"/>
                <w:szCs w:val="24"/>
              </w:rPr>
            </w:pPr>
            <w:r>
              <w:rPr>
                <w:rFonts w:hint="eastAsia" w:ascii="Times New Roman" w:hAnsi="Times New Roman" w:eastAsia="宋体" w:cs="Times New Roman"/>
                <w:b/>
                <w:bCs/>
                <w:sz w:val="24"/>
                <w:szCs w:val="24"/>
              </w:rPr>
              <w:t>环境空气</w:t>
            </w:r>
            <w:r>
              <w:rPr>
                <w:rFonts w:hint="eastAsia" w:ascii="Times New Roman" w:hAnsi="Times New Roman" w:eastAsia="宋体" w:cs="Times New Roman"/>
                <w:bCs/>
                <w:sz w:val="24"/>
                <w:szCs w:val="24"/>
              </w:rPr>
              <w:t>：《环境空气质量标准》（</w:t>
            </w:r>
            <w:r>
              <w:rPr>
                <w:rFonts w:ascii="Times New Roman" w:hAnsi="Times New Roman" w:eastAsia="宋体" w:cs="Times New Roman"/>
                <w:bCs/>
                <w:sz w:val="24"/>
                <w:szCs w:val="24"/>
              </w:rPr>
              <w:t>GB3095-2012</w:t>
            </w:r>
            <w:r>
              <w:rPr>
                <w:rFonts w:hint="eastAsia" w:ascii="Times New Roman" w:hAnsi="Times New Roman" w:eastAsia="宋体" w:cs="Times New Roman"/>
                <w:bCs/>
                <w:sz w:val="24"/>
                <w:szCs w:val="24"/>
              </w:rPr>
              <w:t>）二级标准要求；</w:t>
            </w:r>
          </w:p>
          <w:p w14:paraId="14AFAA7A">
            <w:pPr>
              <w:autoSpaceDE w:val="0"/>
              <w:autoSpaceDN w:val="0"/>
              <w:adjustRightInd w:val="0"/>
              <w:spacing w:line="360" w:lineRule="auto"/>
              <w:ind w:firstLine="482" w:firstLineChars="200"/>
              <w:jc w:val="left"/>
              <w:rPr>
                <w:rFonts w:ascii="Times New Roman" w:hAnsi="Times New Roman" w:eastAsia="宋体" w:cs="Times New Roman"/>
                <w:bCs/>
                <w:sz w:val="24"/>
                <w:szCs w:val="24"/>
              </w:rPr>
            </w:pPr>
            <w:r>
              <w:rPr>
                <w:rFonts w:hint="eastAsia" w:ascii="Times New Roman" w:hAnsi="Times New Roman" w:eastAsia="宋体" w:cs="Times New Roman"/>
                <w:b/>
                <w:bCs/>
                <w:sz w:val="24"/>
                <w:szCs w:val="24"/>
              </w:rPr>
              <w:t>声环境</w:t>
            </w:r>
            <w:r>
              <w:rPr>
                <w:rFonts w:hint="eastAsia" w:ascii="Times New Roman" w:hAnsi="Times New Roman" w:eastAsia="宋体" w:cs="Times New Roman"/>
                <w:bCs/>
                <w:sz w:val="24"/>
                <w:szCs w:val="24"/>
              </w:rPr>
              <w:t>：《声环境质量标准》（</w:t>
            </w:r>
            <w:r>
              <w:rPr>
                <w:rFonts w:ascii="Times New Roman" w:hAnsi="Times New Roman" w:eastAsia="宋体" w:cs="Times New Roman"/>
                <w:bCs/>
                <w:sz w:val="24"/>
                <w:szCs w:val="24"/>
              </w:rPr>
              <w:t>GB3096-2008</w:t>
            </w:r>
            <w:r>
              <w:rPr>
                <w:rFonts w:hint="eastAsia" w:ascii="Times New Roman" w:hAnsi="Times New Roman" w:eastAsia="宋体" w:cs="Times New Roman"/>
                <w:bCs/>
                <w:sz w:val="24"/>
                <w:szCs w:val="24"/>
              </w:rPr>
              <w:t>）规定的</w:t>
            </w:r>
            <w:r>
              <w:rPr>
                <w:rFonts w:ascii="Times New Roman" w:hAnsi="Times New Roman" w:eastAsia="宋体" w:cs="Times New Roman"/>
                <w:bCs/>
                <w:sz w:val="24"/>
                <w:szCs w:val="24"/>
              </w:rPr>
              <w:t>2</w:t>
            </w:r>
            <w:r>
              <w:rPr>
                <w:rFonts w:hint="eastAsia" w:ascii="Times New Roman" w:hAnsi="Times New Roman" w:eastAsia="宋体" w:cs="Times New Roman"/>
                <w:bCs/>
                <w:sz w:val="24"/>
                <w:szCs w:val="24"/>
              </w:rPr>
              <w:t>类标准要求；</w:t>
            </w:r>
          </w:p>
          <w:p w14:paraId="322BC182">
            <w:pPr>
              <w:autoSpaceDE w:val="0"/>
              <w:autoSpaceDN w:val="0"/>
              <w:adjustRightInd w:val="0"/>
              <w:spacing w:line="360" w:lineRule="auto"/>
              <w:ind w:firstLine="482" w:firstLineChars="200"/>
              <w:jc w:val="left"/>
              <w:rPr>
                <w:rFonts w:ascii="Times New Roman" w:hAnsi="Times New Roman" w:eastAsia="宋体" w:cs="Times New Roman"/>
                <w:bCs/>
                <w:sz w:val="24"/>
                <w:szCs w:val="24"/>
              </w:rPr>
            </w:pPr>
            <w:r>
              <w:rPr>
                <w:rFonts w:hint="eastAsia" w:ascii="Times New Roman" w:hAnsi="Times New Roman" w:eastAsia="宋体" w:cs="Times New Roman"/>
                <w:b/>
                <w:bCs/>
                <w:sz w:val="24"/>
                <w:szCs w:val="24"/>
              </w:rPr>
              <w:t>地表水环境：</w:t>
            </w:r>
            <w:r>
              <w:rPr>
                <w:rFonts w:hint="eastAsia" w:ascii="Times New Roman" w:hAnsi="Times New Roman" w:eastAsia="宋体" w:cs="Times New Roman"/>
                <w:bCs/>
                <w:sz w:val="24"/>
                <w:szCs w:val="24"/>
              </w:rPr>
              <w:t>目标水质为《地表水环境质量标准》（</w:t>
            </w:r>
            <w:r>
              <w:rPr>
                <w:rFonts w:ascii="Times New Roman" w:hAnsi="Times New Roman" w:eastAsia="宋体" w:cs="Times New Roman"/>
                <w:bCs/>
                <w:sz w:val="24"/>
                <w:szCs w:val="24"/>
              </w:rPr>
              <w:t>GB3838-2002</w:t>
            </w:r>
            <w:r>
              <w:rPr>
                <w:rFonts w:hint="eastAsia" w:ascii="Times New Roman" w:hAnsi="Times New Roman" w:eastAsia="宋体" w:cs="Times New Roman"/>
                <w:bCs/>
                <w:sz w:val="24"/>
                <w:szCs w:val="24"/>
              </w:rPr>
              <w:t>）中Ⅲ类水域，本项目保护目标为白沙河地表水水质和水体功能不因本项目的建设而降低；</w:t>
            </w:r>
          </w:p>
          <w:p w14:paraId="53AB5661">
            <w:pPr>
              <w:autoSpaceDE w:val="0"/>
              <w:autoSpaceDN w:val="0"/>
              <w:adjustRightInd w:val="0"/>
              <w:spacing w:line="360" w:lineRule="auto"/>
              <w:ind w:firstLine="482" w:firstLineChars="200"/>
              <w:jc w:val="left"/>
              <w:rPr>
                <w:rFonts w:ascii="Times New Roman" w:hAnsi="Times New Roman" w:eastAsia="宋体" w:cs="Times New Roman"/>
                <w:bCs/>
                <w:sz w:val="24"/>
              </w:rPr>
            </w:pPr>
            <w:r>
              <w:rPr>
                <w:rFonts w:hint="eastAsia" w:ascii="Times New Roman" w:hAnsi="Times New Roman" w:eastAsia="宋体" w:cs="Times New Roman"/>
                <w:b/>
                <w:sz w:val="24"/>
                <w:szCs w:val="24"/>
              </w:rPr>
              <w:t>固体废物</w:t>
            </w:r>
            <w:r>
              <w:rPr>
                <w:rFonts w:hint="eastAsia" w:ascii="Times New Roman" w:hAnsi="Times New Roman" w:eastAsia="宋体" w:cs="Times New Roman"/>
                <w:bCs/>
                <w:sz w:val="24"/>
                <w:szCs w:val="24"/>
              </w:rPr>
              <w:t>：项目施工期和营运期产生的固体废物得到妥善处置，不造成二次污染。</w:t>
            </w:r>
          </w:p>
          <w:p w14:paraId="6F1DA7A2">
            <w:pPr>
              <w:spacing w:line="360" w:lineRule="auto"/>
              <w:ind w:firstLine="470" w:firstLineChars="196"/>
              <w:rPr>
                <w:rFonts w:ascii="Times New Roman" w:hAnsi="Times New Roman" w:eastAsia="宋体" w:cs="Times New Roman"/>
                <w:sz w:val="24"/>
                <w:lang w:val="zh-CN"/>
              </w:rPr>
            </w:pPr>
            <w:r>
              <w:rPr>
                <w:rFonts w:ascii="Times New Roman" w:hAnsi="Times New Roman" w:eastAsia="宋体" w:cs="Times New Roman"/>
                <w:sz w:val="24"/>
                <w:lang w:val="zh-CN"/>
              </w:rPr>
              <w:t>根据相关要求，本项目评价范围内主要环境保护目标情况见表3-4：</w:t>
            </w:r>
          </w:p>
          <w:p w14:paraId="5FB4D2A8">
            <w:pPr>
              <w:spacing w:line="360" w:lineRule="auto"/>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表3-4  项目主要环境保护目标一览表</w:t>
            </w:r>
          </w:p>
          <w:tbl>
            <w:tblPr>
              <w:tblStyle w:val="26"/>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846"/>
              <w:gridCol w:w="1309"/>
              <w:gridCol w:w="1434"/>
              <w:gridCol w:w="853"/>
              <w:gridCol w:w="1134"/>
              <w:gridCol w:w="1134"/>
              <w:gridCol w:w="2313"/>
            </w:tblGrid>
            <w:tr w14:paraId="4A8869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jc w:val="center"/>
              </w:trPr>
              <w:tc>
                <w:tcPr>
                  <w:tcW w:w="0" w:type="auto"/>
                  <w:tcBorders>
                    <w:top w:val="single" w:color="auto" w:sz="12" w:space="0"/>
                    <w:left w:val="single" w:color="auto" w:sz="12" w:space="0"/>
                    <w:bottom w:val="single" w:color="auto" w:sz="12" w:space="0"/>
                    <w:right w:val="single" w:color="auto" w:sz="6" w:space="0"/>
                  </w:tcBorders>
                  <w:vAlign w:val="center"/>
                </w:tcPr>
                <w:p w14:paraId="37026AF2">
                  <w:pPr>
                    <w:pBdr>
                      <w:left w:val="single" w:color="auto" w:sz="12" w:space="4"/>
                      <w:right w:val="single" w:color="auto" w:sz="12" w:space="4"/>
                    </w:pBdr>
                    <w:jc w:val="center"/>
                    <w:rPr>
                      <w:rFonts w:ascii="Times New Roman" w:hAnsi="Times New Roman" w:eastAsia="宋体" w:cs="Times New Roman"/>
                      <w:bCs/>
                      <w:szCs w:val="21"/>
                    </w:rPr>
                  </w:pPr>
                  <w:bookmarkStart w:id="3" w:name="_Hlk6818423"/>
                  <w:r>
                    <w:rPr>
                      <w:rFonts w:ascii="Times New Roman" w:hAnsi="Times New Roman" w:eastAsia="宋体" w:cs="Times New Roman"/>
                      <w:bCs/>
                      <w:szCs w:val="21"/>
                    </w:rPr>
                    <w:t>环境要素</w:t>
                  </w:r>
                </w:p>
              </w:tc>
              <w:tc>
                <w:tcPr>
                  <w:tcW w:w="1309" w:type="dxa"/>
                  <w:tcBorders>
                    <w:top w:val="single" w:color="auto" w:sz="12" w:space="0"/>
                    <w:left w:val="single" w:color="auto" w:sz="6" w:space="0"/>
                    <w:bottom w:val="single" w:color="auto" w:sz="12" w:space="0"/>
                    <w:right w:val="single" w:color="auto" w:sz="6" w:space="0"/>
                  </w:tcBorders>
                  <w:vAlign w:val="center"/>
                </w:tcPr>
                <w:p w14:paraId="72CD9FAD">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环境保护对象名称</w:t>
                  </w:r>
                </w:p>
              </w:tc>
              <w:tc>
                <w:tcPr>
                  <w:tcW w:w="992" w:type="dxa"/>
                  <w:tcBorders>
                    <w:top w:val="single" w:color="auto" w:sz="12" w:space="0"/>
                    <w:left w:val="single" w:color="auto" w:sz="6" w:space="0"/>
                    <w:bottom w:val="single" w:color="auto" w:sz="12" w:space="0"/>
                    <w:right w:val="single" w:color="auto" w:sz="6" w:space="0"/>
                  </w:tcBorders>
                  <w:vAlign w:val="center"/>
                </w:tcPr>
                <w:p w14:paraId="5573A0EA">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方位</w:t>
                  </w:r>
                </w:p>
              </w:tc>
              <w:tc>
                <w:tcPr>
                  <w:tcW w:w="853" w:type="dxa"/>
                  <w:tcBorders>
                    <w:top w:val="single" w:color="auto" w:sz="12" w:space="0"/>
                    <w:left w:val="single" w:color="auto" w:sz="6" w:space="0"/>
                    <w:bottom w:val="single" w:color="auto" w:sz="12" w:space="0"/>
                    <w:right w:val="single" w:color="auto" w:sz="6" w:space="0"/>
                  </w:tcBorders>
                  <w:vAlign w:val="center"/>
                </w:tcPr>
                <w:p w14:paraId="4FF10E98">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高差</w:t>
                  </w:r>
                </w:p>
              </w:tc>
              <w:tc>
                <w:tcPr>
                  <w:tcW w:w="1134" w:type="dxa"/>
                  <w:tcBorders>
                    <w:top w:val="single" w:color="auto" w:sz="12" w:space="0"/>
                    <w:left w:val="single" w:color="auto" w:sz="6" w:space="0"/>
                    <w:bottom w:val="single" w:color="auto" w:sz="12" w:space="0"/>
                    <w:right w:val="single" w:color="auto" w:sz="6" w:space="0"/>
                  </w:tcBorders>
                  <w:vAlign w:val="center"/>
                </w:tcPr>
                <w:p w14:paraId="6DC9B209">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最近距离</w:t>
                  </w:r>
                </w:p>
              </w:tc>
              <w:tc>
                <w:tcPr>
                  <w:tcW w:w="1134" w:type="dxa"/>
                  <w:tcBorders>
                    <w:top w:val="single" w:color="auto" w:sz="12" w:space="0"/>
                    <w:left w:val="single" w:color="auto" w:sz="6" w:space="0"/>
                    <w:bottom w:val="single" w:color="auto" w:sz="12" w:space="0"/>
                    <w:right w:val="single" w:color="auto" w:sz="6" w:space="0"/>
                  </w:tcBorders>
                  <w:vAlign w:val="center"/>
                </w:tcPr>
                <w:p w14:paraId="6DBFF4C9">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规模及性质</w:t>
                  </w:r>
                </w:p>
              </w:tc>
              <w:tc>
                <w:tcPr>
                  <w:tcW w:w="2313" w:type="dxa"/>
                  <w:tcBorders>
                    <w:top w:val="single" w:color="auto" w:sz="12" w:space="0"/>
                    <w:left w:val="single" w:color="auto" w:sz="6" w:space="0"/>
                    <w:bottom w:val="single" w:color="auto" w:sz="12" w:space="0"/>
                    <w:right w:val="single" w:color="auto" w:sz="12" w:space="0"/>
                  </w:tcBorders>
                  <w:vAlign w:val="center"/>
                </w:tcPr>
                <w:p w14:paraId="781EA40C">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环境保护级别</w:t>
                  </w:r>
                </w:p>
              </w:tc>
            </w:tr>
            <w:tr w14:paraId="7C5A08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restart"/>
                  <w:tcBorders>
                    <w:top w:val="single" w:color="auto" w:sz="12" w:space="0"/>
                    <w:left w:val="single" w:color="auto" w:sz="12" w:space="0"/>
                    <w:right w:val="single" w:color="auto" w:sz="6" w:space="0"/>
                  </w:tcBorders>
                  <w:vAlign w:val="center"/>
                </w:tcPr>
                <w:p w14:paraId="6E3AB70E">
                  <w:pPr>
                    <w:pBdr>
                      <w:left w:val="single" w:color="auto" w:sz="12" w:space="4"/>
                      <w:right w:val="single" w:color="auto" w:sz="12" w:space="4"/>
                    </w:pBdr>
                    <w:jc w:val="center"/>
                    <w:rPr>
                      <w:rFonts w:ascii="Times New Roman" w:hAnsi="Times New Roman" w:eastAsia="宋体" w:cs="Times New Roman"/>
                      <w:szCs w:val="21"/>
                    </w:rPr>
                  </w:pPr>
                  <w:bookmarkStart w:id="4" w:name="_Hlk325548942"/>
                  <w:r>
                    <w:rPr>
                      <w:rFonts w:ascii="Times New Roman" w:hAnsi="Times New Roman" w:eastAsia="宋体" w:cs="Times New Roman"/>
                      <w:szCs w:val="21"/>
                    </w:rPr>
                    <w:t>环境空气、声环境</w:t>
                  </w:r>
                </w:p>
              </w:tc>
              <w:tc>
                <w:tcPr>
                  <w:tcW w:w="1309" w:type="dxa"/>
                  <w:tcBorders>
                    <w:top w:val="single" w:color="auto" w:sz="12" w:space="0"/>
                    <w:left w:val="single" w:color="auto" w:sz="6" w:space="0"/>
                    <w:bottom w:val="single" w:color="auto" w:sz="6" w:space="0"/>
                    <w:right w:val="single" w:color="auto" w:sz="6" w:space="0"/>
                  </w:tcBorders>
                  <w:vAlign w:val="center"/>
                </w:tcPr>
                <w:p w14:paraId="5D8D891F">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散居居民</w:t>
                  </w:r>
                </w:p>
              </w:tc>
              <w:tc>
                <w:tcPr>
                  <w:tcW w:w="992" w:type="dxa"/>
                  <w:tcBorders>
                    <w:top w:val="single" w:color="auto" w:sz="12" w:space="0"/>
                    <w:left w:val="single" w:color="auto" w:sz="6" w:space="0"/>
                    <w:bottom w:val="single" w:color="auto" w:sz="6" w:space="0"/>
                    <w:right w:val="single" w:color="auto" w:sz="6" w:space="0"/>
                  </w:tcBorders>
                  <w:vAlign w:val="center"/>
                </w:tcPr>
                <w:p w14:paraId="19D25FFA">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北</w:t>
                  </w:r>
                  <w:r>
                    <w:rPr>
                      <w:rFonts w:hint="eastAsia" w:ascii="Times New Roman" w:hAnsi="Times New Roman" w:eastAsia="宋体" w:cs="Times New Roman"/>
                      <w:szCs w:val="21"/>
                    </w:rPr>
                    <w:t>（1</w:t>
                  </w:r>
                  <w:r>
                    <w:rPr>
                      <w:rFonts w:ascii="Times New Roman" w:hAnsi="Times New Roman" w:eastAsia="宋体" w:cs="Times New Roman"/>
                      <w:szCs w:val="21"/>
                    </w:rPr>
                    <w:t>03.2319</w:t>
                  </w:r>
                  <w:r>
                    <w:rPr>
                      <w:rFonts w:hint="eastAsia" w:ascii="Times New Roman" w:hAnsi="Times New Roman" w:eastAsia="宋体" w:cs="Times New Roman"/>
                      <w:szCs w:val="21"/>
                    </w:rPr>
                    <w:t>°，</w:t>
                  </w:r>
                  <w:r>
                    <w:rPr>
                      <w:rFonts w:ascii="Times New Roman" w:hAnsi="Times New Roman" w:eastAsia="宋体" w:cs="Times New Roman"/>
                      <w:szCs w:val="21"/>
                    </w:rPr>
                    <w:t>29.1999</w:t>
                  </w:r>
                  <w:r>
                    <w:rPr>
                      <w:rFonts w:hint="eastAsia" w:ascii="Times New Roman" w:hAnsi="Times New Roman" w:eastAsia="宋体" w:cs="Times New Roman"/>
                      <w:szCs w:val="21"/>
                    </w:rPr>
                    <w:t>°）</w:t>
                  </w:r>
                </w:p>
              </w:tc>
              <w:tc>
                <w:tcPr>
                  <w:tcW w:w="853" w:type="dxa"/>
                  <w:tcBorders>
                    <w:top w:val="single" w:color="auto" w:sz="12" w:space="0"/>
                    <w:left w:val="single" w:color="auto" w:sz="6" w:space="0"/>
                    <w:bottom w:val="single" w:color="auto" w:sz="6" w:space="0"/>
                    <w:right w:val="single" w:color="auto" w:sz="6" w:space="0"/>
                  </w:tcBorders>
                  <w:vAlign w:val="center"/>
                </w:tcPr>
                <w:p w14:paraId="36B8BB02">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-6m</w:t>
                  </w:r>
                </w:p>
              </w:tc>
              <w:tc>
                <w:tcPr>
                  <w:tcW w:w="1134" w:type="dxa"/>
                  <w:tcBorders>
                    <w:top w:val="single" w:color="auto" w:sz="12" w:space="0"/>
                    <w:left w:val="single" w:color="auto" w:sz="6" w:space="0"/>
                    <w:bottom w:val="single" w:color="auto" w:sz="6" w:space="0"/>
                    <w:right w:val="single" w:color="auto" w:sz="6" w:space="0"/>
                  </w:tcBorders>
                  <w:vAlign w:val="center"/>
                </w:tcPr>
                <w:p w14:paraId="67EB169D">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168m</w:t>
                  </w:r>
                </w:p>
              </w:tc>
              <w:tc>
                <w:tcPr>
                  <w:tcW w:w="1134" w:type="dxa"/>
                  <w:tcBorders>
                    <w:top w:val="single" w:color="auto" w:sz="12" w:space="0"/>
                    <w:left w:val="single" w:color="auto" w:sz="6" w:space="0"/>
                    <w:bottom w:val="single" w:color="auto" w:sz="6" w:space="0"/>
                    <w:right w:val="single" w:color="auto" w:sz="6" w:space="0"/>
                  </w:tcBorders>
                  <w:vAlign w:val="center"/>
                </w:tcPr>
                <w:p w14:paraId="40CF6B8A">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约4户，居住生活</w:t>
                  </w:r>
                </w:p>
              </w:tc>
              <w:tc>
                <w:tcPr>
                  <w:tcW w:w="2313" w:type="dxa"/>
                  <w:vMerge w:val="restart"/>
                  <w:tcBorders>
                    <w:top w:val="single" w:color="auto" w:sz="12" w:space="0"/>
                    <w:left w:val="single" w:color="auto" w:sz="6" w:space="0"/>
                    <w:right w:val="single" w:color="auto" w:sz="12" w:space="0"/>
                  </w:tcBorders>
                  <w:vAlign w:val="center"/>
                </w:tcPr>
                <w:p w14:paraId="705D5330">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《环境空气质量标准》（GB3095-2012）二级；</w:t>
                  </w:r>
                </w:p>
                <w:p w14:paraId="474D5245">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《声环境质量标准》（GB3096-2008）2类</w:t>
                  </w:r>
                </w:p>
              </w:tc>
            </w:tr>
            <w:tr w14:paraId="787B44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2500D0AD">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2B524980">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散居居民</w:t>
                  </w:r>
                </w:p>
              </w:tc>
              <w:tc>
                <w:tcPr>
                  <w:tcW w:w="992" w:type="dxa"/>
                  <w:tcBorders>
                    <w:top w:val="single" w:color="auto" w:sz="6" w:space="0"/>
                    <w:left w:val="single" w:color="auto" w:sz="6" w:space="0"/>
                    <w:bottom w:val="single" w:color="auto" w:sz="6" w:space="0"/>
                    <w:right w:val="single" w:color="auto" w:sz="6" w:space="0"/>
                  </w:tcBorders>
                  <w:vAlign w:val="center"/>
                </w:tcPr>
                <w:p w14:paraId="0EDA8660">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东（1</w:t>
                  </w:r>
                  <w:r>
                    <w:rPr>
                      <w:rFonts w:ascii="Times New Roman" w:hAnsi="Times New Roman" w:eastAsia="宋体" w:cs="Times New Roman"/>
                      <w:szCs w:val="21"/>
                    </w:rPr>
                    <w:t>03.2329</w:t>
                  </w:r>
                  <w:r>
                    <w:rPr>
                      <w:rFonts w:hint="eastAsia" w:ascii="Times New Roman" w:hAnsi="Times New Roman" w:eastAsia="宋体" w:cs="Times New Roman"/>
                      <w:szCs w:val="21"/>
                    </w:rPr>
                    <w:t>°，2</w:t>
                  </w:r>
                  <w:r>
                    <w:rPr>
                      <w:rFonts w:ascii="Times New Roman" w:hAnsi="Times New Roman" w:eastAsia="宋体" w:cs="Times New Roman"/>
                      <w:szCs w:val="21"/>
                    </w:rPr>
                    <w:t>9.1972</w:t>
                  </w:r>
                  <w:r>
                    <w:rPr>
                      <w:rFonts w:hint="eastAsia" w:ascii="Times New Roman" w:hAnsi="Times New Roman" w:eastAsia="宋体" w:cs="Times New Roman"/>
                      <w:szCs w:val="21"/>
                    </w:rPr>
                    <w:t>°）</w:t>
                  </w:r>
                </w:p>
              </w:tc>
              <w:tc>
                <w:tcPr>
                  <w:tcW w:w="853" w:type="dxa"/>
                  <w:tcBorders>
                    <w:top w:val="single" w:color="auto" w:sz="6" w:space="0"/>
                    <w:left w:val="single" w:color="auto" w:sz="6" w:space="0"/>
                    <w:bottom w:val="single" w:color="auto" w:sz="6" w:space="0"/>
                    <w:right w:val="single" w:color="auto" w:sz="6" w:space="0"/>
                  </w:tcBorders>
                  <w:vAlign w:val="center"/>
                </w:tcPr>
                <w:p w14:paraId="7061C04D">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-40m</w:t>
                  </w:r>
                </w:p>
              </w:tc>
              <w:tc>
                <w:tcPr>
                  <w:tcW w:w="1134" w:type="dxa"/>
                  <w:tcBorders>
                    <w:top w:val="single" w:color="auto" w:sz="6" w:space="0"/>
                    <w:left w:val="single" w:color="auto" w:sz="6" w:space="0"/>
                    <w:bottom w:val="single" w:color="auto" w:sz="6" w:space="0"/>
                    <w:right w:val="single" w:color="auto" w:sz="6" w:space="0"/>
                  </w:tcBorders>
                  <w:vAlign w:val="center"/>
                </w:tcPr>
                <w:p w14:paraId="711B4959">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108m</w:t>
                  </w:r>
                </w:p>
              </w:tc>
              <w:tc>
                <w:tcPr>
                  <w:tcW w:w="1134" w:type="dxa"/>
                  <w:tcBorders>
                    <w:top w:val="single" w:color="auto" w:sz="6" w:space="0"/>
                    <w:left w:val="single" w:color="auto" w:sz="6" w:space="0"/>
                    <w:bottom w:val="single" w:color="auto" w:sz="6" w:space="0"/>
                    <w:right w:val="single" w:color="auto" w:sz="6" w:space="0"/>
                  </w:tcBorders>
                  <w:vAlign w:val="center"/>
                </w:tcPr>
                <w:p w14:paraId="3ED9D371">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约18户，居住生活</w:t>
                  </w:r>
                </w:p>
              </w:tc>
              <w:tc>
                <w:tcPr>
                  <w:tcW w:w="2313" w:type="dxa"/>
                  <w:vMerge w:val="continue"/>
                  <w:tcBorders>
                    <w:left w:val="single" w:color="auto" w:sz="6" w:space="0"/>
                    <w:right w:val="single" w:color="auto" w:sz="12" w:space="0"/>
                  </w:tcBorders>
                  <w:vAlign w:val="center"/>
                </w:tcPr>
                <w:p w14:paraId="4591767C">
                  <w:pPr>
                    <w:pBdr>
                      <w:left w:val="single" w:color="auto" w:sz="12" w:space="4"/>
                      <w:right w:val="single" w:color="auto" w:sz="12" w:space="4"/>
                    </w:pBdr>
                    <w:jc w:val="center"/>
                    <w:rPr>
                      <w:rFonts w:ascii="Times New Roman" w:hAnsi="Times New Roman" w:eastAsia="宋体" w:cs="Times New Roman"/>
                      <w:szCs w:val="21"/>
                    </w:rPr>
                  </w:pPr>
                </w:p>
              </w:tc>
            </w:tr>
            <w:bookmarkEnd w:id="4"/>
            <w:tr w14:paraId="4D0060F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2BF12145">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5C961CF8">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卷木村居民</w:t>
                  </w:r>
                </w:p>
              </w:tc>
              <w:tc>
                <w:tcPr>
                  <w:tcW w:w="992" w:type="dxa"/>
                  <w:tcBorders>
                    <w:top w:val="single" w:color="auto" w:sz="6" w:space="0"/>
                    <w:left w:val="single" w:color="auto" w:sz="6" w:space="0"/>
                    <w:bottom w:val="single" w:color="auto" w:sz="6" w:space="0"/>
                    <w:right w:val="single" w:color="auto" w:sz="6" w:space="0"/>
                  </w:tcBorders>
                  <w:vAlign w:val="center"/>
                </w:tcPr>
                <w:p w14:paraId="05E24C2F">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西南（1</w:t>
                  </w:r>
                  <w:r>
                    <w:rPr>
                      <w:rFonts w:ascii="Times New Roman" w:hAnsi="Times New Roman" w:eastAsia="宋体" w:cs="Times New Roman"/>
                      <w:szCs w:val="21"/>
                    </w:rPr>
                    <w:t>03.2301</w:t>
                  </w:r>
                  <w:r>
                    <w:rPr>
                      <w:rFonts w:hint="eastAsia" w:ascii="Times New Roman" w:hAnsi="Times New Roman" w:eastAsia="宋体" w:cs="Times New Roman"/>
                      <w:szCs w:val="21"/>
                    </w:rPr>
                    <w:t>°，2</w:t>
                  </w:r>
                  <w:r>
                    <w:rPr>
                      <w:rFonts w:ascii="Times New Roman" w:hAnsi="Times New Roman" w:eastAsia="宋体" w:cs="Times New Roman"/>
                      <w:szCs w:val="21"/>
                    </w:rPr>
                    <w:t>9.1949</w:t>
                  </w:r>
                  <w:r>
                    <w:rPr>
                      <w:rFonts w:hint="eastAsia" w:ascii="Times New Roman" w:hAnsi="Times New Roman" w:eastAsia="宋体" w:cs="Times New Roman"/>
                      <w:szCs w:val="21"/>
                    </w:rPr>
                    <w:t>°）</w:t>
                  </w:r>
                </w:p>
              </w:tc>
              <w:tc>
                <w:tcPr>
                  <w:tcW w:w="853" w:type="dxa"/>
                  <w:tcBorders>
                    <w:top w:val="single" w:color="auto" w:sz="6" w:space="0"/>
                    <w:left w:val="single" w:color="auto" w:sz="6" w:space="0"/>
                    <w:bottom w:val="single" w:color="auto" w:sz="6" w:space="0"/>
                    <w:right w:val="single" w:color="auto" w:sz="6" w:space="0"/>
                  </w:tcBorders>
                  <w:vAlign w:val="center"/>
                </w:tcPr>
                <w:p w14:paraId="559164BD">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-117</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45D2934E">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210</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3A69FFB6">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居住生活</w:t>
                  </w:r>
                </w:p>
              </w:tc>
              <w:tc>
                <w:tcPr>
                  <w:tcW w:w="2313" w:type="dxa"/>
                  <w:vMerge w:val="continue"/>
                  <w:tcBorders>
                    <w:left w:val="single" w:color="auto" w:sz="6" w:space="0"/>
                    <w:right w:val="single" w:color="auto" w:sz="12" w:space="0"/>
                  </w:tcBorders>
                  <w:vAlign w:val="center"/>
                </w:tcPr>
                <w:p w14:paraId="0F83C3EF">
                  <w:pPr>
                    <w:pBdr>
                      <w:left w:val="single" w:color="auto" w:sz="12" w:space="4"/>
                      <w:right w:val="single" w:color="auto" w:sz="12" w:space="4"/>
                    </w:pBdr>
                    <w:jc w:val="center"/>
                    <w:rPr>
                      <w:rFonts w:ascii="Times New Roman" w:hAnsi="Times New Roman" w:eastAsia="宋体" w:cs="Times New Roman"/>
                      <w:szCs w:val="21"/>
                    </w:rPr>
                  </w:pPr>
                </w:p>
              </w:tc>
            </w:tr>
            <w:tr w14:paraId="77F2B0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2295E0D1">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6ADE8505">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瓜芦村</w:t>
                  </w:r>
                </w:p>
              </w:tc>
              <w:tc>
                <w:tcPr>
                  <w:tcW w:w="992" w:type="dxa"/>
                  <w:tcBorders>
                    <w:top w:val="single" w:color="auto" w:sz="6" w:space="0"/>
                    <w:left w:val="single" w:color="auto" w:sz="6" w:space="0"/>
                    <w:bottom w:val="single" w:color="auto" w:sz="6" w:space="0"/>
                    <w:right w:val="single" w:color="auto" w:sz="6" w:space="0"/>
                  </w:tcBorders>
                  <w:vAlign w:val="center"/>
                </w:tcPr>
                <w:p w14:paraId="75A1FB83">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西北（1</w:t>
                  </w:r>
                  <w:r>
                    <w:rPr>
                      <w:rFonts w:ascii="Times New Roman" w:hAnsi="Times New Roman" w:eastAsia="宋体" w:cs="Times New Roman"/>
                      <w:szCs w:val="21"/>
                    </w:rPr>
                    <w:t>03.2242</w:t>
                  </w:r>
                  <w:r>
                    <w:rPr>
                      <w:rFonts w:hint="eastAsia" w:ascii="Times New Roman" w:hAnsi="Times New Roman" w:eastAsia="宋体" w:cs="Times New Roman"/>
                      <w:szCs w:val="21"/>
                    </w:rPr>
                    <w:t>°，2</w:t>
                  </w:r>
                  <w:r>
                    <w:rPr>
                      <w:rFonts w:ascii="Times New Roman" w:hAnsi="Times New Roman" w:eastAsia="宋体" w:cs="Times New Roman"/>
                      <w:szCs w:val="21"/>
                    </w:rPr>
                    <w:t>9.2131</w:t>
                  </w:r>
                  <w:r>
                    <w:rPr>
                      <w:rFonts w:hint="eastAsia" w:ascii="Times New Roman" w:hAnsi="Times New Roman" w:eastAsia="宋体" w:cs="Times New Roman"/>
                      <w:szCs w:val="21"/>
                    </w:rPr>
                    <w:t>°）</w:t>
                  </w:r>
                </w:p>
              </w:tc>
              <w:tc>
                <w:tcPr>
                  <w:tcW w:w="853" w:type="dxa"/>
                  <w:tcBorders>
                    <w:top w:val="single" w:color="auto" w:sz="6" w:space="0"/>
                    <w:left w:val="single" w:color="auto" w:sz="6" w:space="0"/>
                    <w:bottom w:val="single" w:color="auto" w:sz="6" w:space="0"/>
                    <w:right w:val="single" w:color="auto" w:sz="6" w:space="0"/>
                  </w:tcBorders>
                  <w:vAlign w:val="center"/>
                </w:tcPr>
                <w:p w14:paraId="623AC39A">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036EE442">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1937</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50376E60">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居住生活</w:t>
                  </w:r>
                </w:p>
              </w:tc>
              <w:tc>
                <w:tcPr>
                  <w:tcW w:w="2313" w:type="dxa"/>
                  <w:vMerge w:val="continue"/>
                  <w:tcBorders>
                    <w:left w:val="single" w:color="auto" w:sz="6" w:space="0"/>
                    <w:right w:val="single" w:color="auto" w:sz="12" w:space="0"/>
                  </w:tcBorders>
                  <w:vAlign w:val="center"/>
                </w:tcPr>
                <w:p w14:paraId="79922DC4">
                  <w:pPr>
                    <w:pBdr>
                      <w:left w:val="single" w:color="auto" w:sz="12" w:space="4"/>
                      <w:right w:val="single" w:color="auto" w:sz="12" w:space="4"/>
                    </w:pBdr>
                    <w:jc w:val="center"/>
                    <w:rPr>
                      <w:rFonts w:ascii="Times New Roman" w:hAnsi="Times New Roman" w:eastAsia="宋体" w:cs="Times New Roman"/>
                      <w:szCs w:val="21"/>
                    </w:rPr>
                  </w:pPr>
                </w:p>
              </w:tc>
            </w:tr>
            <w:tr w14:paraId="74F34B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34712CC6">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74CF83DD">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葫芦村</w:t>
                  </w:r>
                </w:p>
              </w:tc>
              <w:tc>
                <w:tcPr>
                  <w:tcW w:w="992" w:type="dxa"/>
                  <w:tcBorders>
                    <w:top w:val="single" w:color="auto" w:sz="6" w:space="0"/>
                    <w:left w:val="single" w:color="auto" w:sz="6" w:space="0"/>
                    <w:bottom w:val="single" w:color="auto" w:sz="6" w:space="0"/>
                    <w:right w:val="single" w:color="auto" w:sz="6" w:space="0"/>
                  </w:tcBorders>
                  <w:vAlign w:val="center"/>
                </w:tcPr>
                <w:p w14:paraId="5802B09E">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西北（1</w:t>
                  </w:r>
                  <w:r>
                    <w:rPr>
                      <w:rFonts w:ascii="Times New Roman" w:hAnsi="Times New Roman" w:eastAsia="宋体" w:cs="Times New Roman"/>
                      <w:szCs w:val="21"/>
                    </w:rPr>
                    <w:t>03.2230</w:t>
                  </w:r>
                  <w:r>
                    <w:rPr>
                      <w:rFonts w:hint="eastAsia" w:ascii="Times New Roman" w:hAnsi="Times New Roman" w:eastAsia="宋体" w:cs="Times New Roman"/>
                      <w:szCs w:val="21"/>
                    </w:rPr>
                    <w:t>°，2</w:t>
                  </w:r>
                  <w:r>
                    <w:rPr>
                      <w:rFonts w:ascii="Times New Roman" w:hAnsi="Times New Roman" w:eastAsia="宋体" w:cs="Times New Roman"/>
                      <w:szCs w:val="21"/>
                    </w:rPr>
                    <w:t>9.2061</w:t>
                  </w:r>
                  <w:r>
                    <w:rPr>
                      <w:rFonts w:hint="eastAsia" w:ascii="Times New Roman" w:hAnsi="Times New Roman" w:eastAsia="宋体" w:cs="Times New Roman"/>
                      <w:szCs w:val="21"/>
                    </w:rPr>
                    <w:t>°）</w:t>
                  </w:r>
                </w:p>
              </w:tc>
              <w:tc>
                <w:tcPr>
                  <w:tcW w:w="853" w:type="dxa"/>
                  <w:tcBorders>
                    <w:top w:val="single" w:color="auto" w:sz="6" w:space="0"/>
                    <w:left w:val="single" w:color="auto" w:sz="6" w:space="0"/>
                    <w:bottom w:val="single" w:color="auto" w:sz="6" w:space="0"/>
                    <w:right w:val="single" w:color="auto" w:sz="6" w:space="0"/>
                  </w:tcBorders>
                  <w:vAlign w:val="center"/>
                </w:tcPr>
                <w:p w14:paraId="7A3E76A3">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495A31DE">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1240</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2437E5CC">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居住生活</w:t>
                  </w:r>
                </w:p>
              </w:tc>
              <w:tc>
                <w:tcPr>
                  <w:tcW w:w="2313" w:type="dxa"/>
                  <w:vMerge w:val="continue"/>
                  <w:tcBorders>
                    <w:left w:val="single" w:color="auto" w:sz="6" w:space="0"/>
                    <w:right w:val="single" w:color="auto" w:sz="12" w:space="0"/>
                  </w:tcBorders>
                  <w:vAlign w:val="center"/>
                </w:tcPr>
                <w:p w14:paraId="0F7775EA">
                  <w:pPr>
                    <w:pBdr>
                      <w:left w:val="single" w:color="auto" w:sz="12" w:space="4"/>
                      <w:right w:val="single" w:color="auto" w:sz="12" w:space="4"/>
                    </w:pBdr>
                    <w:jc w:val="center"/>
                    <w:rPr>
                      <w:rFonts w:ascii="Times New Roman" w:hAnsi="Times New Roman" w:eastAsia="宋体" w:cs="Times New Roman"/>
                      <w:szCs w:val="21"/>
                    </w:rPr>
                  </w:pPr>
                </w:p>
              </w:tc>
            </w:tr>
            <w:tr w14:paraId="56141B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349DADA2">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201AEAB5">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公桌坪</w:t>
                  </w:r>
                </w:p>
              </w:tc>
              <w:tc>
                <w:tcPr>
                  <w:tcW w:w="992" w:type="dxa"/>
                  <w:tcBorders>
                    <w:top w:val="single" w:color="auto" w:sz="6" w:space="0"/>
                    <w:left w:val="single" w:color="auto" w:sz="6" w:space="0"/>
                    <w:bottom w:val="single" w:color="auto" w:sz="6" w:space="0"/>
                    <w:right w:val="single" w:color="auto" w:sz="6" w:space="0"/>
                  </w:tcBorders>
                  <w:vAlign w:val="center"/>
                </w:tcPr>
                <w:p w14:paraId="43AAE6D7">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西（1</w:t>
                  </w:r>
                  <w:r>
                    <w:rPr>
                      <w:rFonts w:ascii="Times New Roman" w:hAnsi="Times New Roman" w:eastAsia="宋体" w:cs="Times New Roman"/>
                      <w:szCs w:val="21"/>
                    </w:rPr>
                    <w:t>03.2161</w:t>
                  </w:r>
                  <w:r>
                    <w:rPr>
                      <w:rFonts w:hint="eastAsia" w:ascii="Times New Roman" w:hAnsi="Times New Roman" w:eastAsia="宋体" w:cs="Times New Roman"/>
                      <w:szCs w:val="21"/>
                    </w:rPr>
                    <w:t>°，2</w:t>
                  </w:r>
                  <w:r>
                    <w:rPr>
                      <w:rFonts w:ascii="Times New Roman" w:hAnsi="Times New Roman" w:eastAsia="宋体" w:cs="Times New Roman"/>
                      <w:szCs w:val="21"/>
                    </w:rPr>
                    <w:t>9.1959</w:t>
                  </w:r>
                  <w:r>
                    <w:rPr>
                      <w:rFonts w:hint="eastAsia" w:ascii="Times New Roman" w:hAnsi="Times New Roman" w:eastAsia="宋体" w:cs="Times New Roman"/>
                      <w:szCs w:val="21"/>
                    </w:rPr>
                    <w:t>°）</w:t>
                  </w:r>
                </w:p>
              </w:tc>
              <w:tc>
                <w:tcPr>
                  <w:tcW w:w="853" w:type="dxa"/>
                  <w:tcBorders>
                    <w:top w:val="single" w:color="auto" w:sz="6" w:space="0"/>
                    <w:left w:val="single" w:color="auto" w:sz="6" w:space="0"/>
                    <w:bottom w:val="single" w:color="auto" w:sz="6" w:space="0"/>
                    <w:right w:val="single" w:color="auto" w:sz="6" w:space="0"/>
                  </w:tcBorders>
                  <w:vAlign w:val="center"/>
                </w:tcPr>
                <w:p w14:paraId="0E668BB8">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0F0ABB82">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1404</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29C81D67">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居住生活</w:t>
                  </w:r>
                </w:p>
              </w:tc>
              <w:tc>
                <w:tcPr>
                  <w:tcW w:w="2313" w:type="dxa"/>
                  <w:vMerge w:val="continue"/>
                  <w:tcBorders>
                    <w:left w:val="single" w:color="auto" w:sz="6" w:space="0"/>
                    <w:right w:val="single" w:color="auto" w:sz="12" w:space="0"/>
                  </w:tcBorders>
                  <w:vAlign w:val="center"/>
                </w:tcPr>
                <w:p w14:paraId="7D1CD494">
                  <w:pPr>
                    <w:pBdr>
                      <w:left w:val="single" w:color="auto" w:sz="12" w:space="4"/>
                      <w:right w:val="single" w:color="auto" w:sz="12" w:space="4"/>
                    </w:pBdr>
                    <w:jc w:val="center"/>
                    <w:rPr>
                      <w:rFonts w:ascii="Times New Roman" w:hAnsi="Times New Roman" w:eastAsia="宋体" w:cs="Times New Roman"/>
                      <w:szCs w:val="21"/>
                    </w:rPr>
                  </w:pPr>
                </w:p>
              </w:tc>
            </w:tr>
            <w:tr w14:paraId="710B9E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5C752F61">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16A77D0C">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园包</w:t>
                  </w:r>
                </w:p>
              </w:tc>
              <w:tc>
                <w:tcPr>
                  <w:tcW w:w="992" w:type="dxa"/>
                  <w:tcBorders>
                    <w:top w:val="single" w:color="auto" w:sz="6" w:space="0"/>
                    <w:left w:val="single" w:color="auto" w:sz="6" w:space="0"/>
                    <w:bottom w:val="single" w:color="auto" w:sz="6" w:space="0"/>
                    <w:right w:val="single" w:color="auto" w:sz="6" w:space="0"/>
                  </w:tcBorders>
                  <w:vAlign w:val="center"/>
                </w:tcPr>
                <w:p w14:paraId="327502E9">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东南（1</w:t>
                  </w:r>
                  <w:r>
                    <w:rPr>
                      <w:rFonts w:ascii="Times New Roman" w:hAnsi="Times New Roman" w:eastAsia="宋体" w:cs="Times New Roman"/>
                      <w:szCs w:val="21"/>
                    </w:rPr>
                    <w:t>03.2404</w:t>
                  </w:r>
                  <w:r>
                    <w:rPr>
                      <w:rFonts w:hint="eastAsia" w:ascii="Times New Roman" w:hAnsi="Times New Roman" w:eastAsia="宋体" w:cs="Times New Roman"/>
                      <w:szCs w:val="21"/>
                    </w:rPr>
                    <w:t>°，2</w:t>
                  </w:r>
                  <w:r>
                    <w:rPr>
                      <w:rFonts w:ascii="Times New Roman" w:hAnsi="Times New Roman" w:eastAsia="宋体" w:cs="Times New Roman"/>
                      <w:szCs w:val="21"/>
                    </w:rPr>
                    <w:t>9.1857</w:t>
                  </w:r>
                  <w:r>
                    <w:rPr>
                      <w:rFonts w:hint="eastAsia" w:ascii="Times New Roman" w:hAnsi="Times New Roman" w:eastAsia="宋体" w:cs="Times New Roman"/>
                      <w:szCs w:val="21"/>
                    </w:rPr>
                    <w:t>°）</w:t>
                  </w:r>
                </w:p>
              </w:tc>
              <w:tc>
                <w:tcPr>
                  <w:tcW w:w="853" w:type="dxa"/>
                  <w:tcBorders>
                    <w:top w:val="single" w:color="auto" w:sz="6" w:space="0"/>
                    <w:left w:val="single" w:color="auto" w:sz="6" w:space="0"/>
                    <w:bottom w:val="single" w:color="auto" w:sz="6" w:space="0"/>
                    <w:right w:val="single" w:color="auto" w:sz="6" w:space="0"/>
                  </w:tcBorders>
                  <w:vAlign w:val="center"/>
                </w:tcPr>
                <w:p w14:paraId="4DFD7E68">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10E74CDA">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1598</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147BFE58">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居住生活</w:t>
                  </w:r>
                </w:p>
              </w:tc>
              <w:tc>
                <w:tcPr>
                  <w:tcW w:w="2313" w:type="dxa"/>
                  <w:vMerge w:val="continue"/>
                  <w:tcBorders>
                    <w:left w:val="single" w:color="auto" w:sz="6" w:space="0"/>
                    <w:right w:val="single" w:color="auto" w:sz="12" w:space="0"/>
                  </w:tcBorders>
                  <w:vAlign w:val="center"/>
                </w:tcPr>
                <w:p w14:paraId="73D943D1">
                  <w:pPr>
                    <w:pBdr>
                      <w:left w:val="single" w:color="auto" w:sz="12" w:space="4"/>
                      <w:right w:val="single" w:color="auto" w:sz="12" w:space="4"/>
                    </w:pBdr>
                    <w:jc w:val="center"/>
                    <w:rPr>
                      <w:rFonts w:ascii="Times New Roman" w:hAnsi="Times New Roman" w:eastAsia="宋体" w:cs="Times New Roman"/>
                      <w:szCs w:val="21"/>
                    </w:rPr>
                  </w:pPr>
                </w:p>
              </w:tc>
            </w:tr>
            <w:tr w14:paraId="4E9682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65CEDB0B">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4BB62204">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楠木头</w:t>
                  </w:r>
                </w:p>
              </w:tc>
              <w:tc>
                <w:tcPr>
                  <w:tcW w:w="992" w:type="dxa"/>
                  <w:tcBorders>
                    <w:top w:val="single" w:color="auto" w:sz="6" w:space="0"/>
                    <w:left w:val="single" w:color="auto" w:sz="6" w:space="0"/>
                    <w:bottom w:val="single" w:color="auto" w:sz="6" w:space="0"/>
                    <w:right w:val="single" w:color="auto" w:sz="6" w:space="0"/>
                  </w:tcBorders>
                  <w:vAlign w:val="center"/>
                </w:tcPr>
                <w:p w14:paraId="2543D84F">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东（1</w:t>
                  </w:r>
                  <w:r>
                    <w:rPr>
                      <w:rFonts w:ascii="Times New Roman" w:hAnsi="Times New Roman" w:eastAsia="宋体" w:cs="Times New Roman"/>
                      <w:szCs w:val="21"/>
                    </w:rPr>
                    <w:t>03.2440</w:t>
                  </w:r>
                  <w:r>
                    <w:rPr>
                      <w:rFonts w:hint="eastAsia" w:ascii="Times New Roman" w:hAnsi="Times New Roman" w:eastAsia="宋体" w:cs="Times New Roman"/>
                      <w:szCs w:val="21"/>
                    </w:rPr>
                    <w:t>°，2</w:t>
                  </w:r>
                  <w:r>
                    <w:rPr>
                      <w:rFonts w:ascii="Times New Roman" w:hAnsi="Times New Roman" w:eastAsia="宋体" w:cs="Times New Roman"/>
                      <w:szCs w:val="21"/>
                    </w:rPr>
                    <w:t>9.1953</w:t>
                  </w:r>
                  <w:r>
                    <w:rPr>
                      <w:rFonts w:hint="eastAsia" w:ascii="Times New Roman" w:hAnsi="Times New Roman" w:eastAsia="宋体" w:cs="Times New Roman"/>
                      <w:szCs w:val="21"/>
                    </w:rPr>
                    <w:t>°）</w:t>
                  </w:r>
                </w:p>
              </w:tc>
              <w:tc>
                <w:tcPr>
                  <w:tcW w:w="853" w:type="dxa"/>
                  <w:tcBorders>
                    <w:top w:val="single" w:color="auto" w:sz="6" w:space="0"/>
                    <w:left w:val="single" w:color="auto" w:sz="6" w:space="0"/>
                    <w:bottom w:val="single" w:color="auto" w:sz="6" w:space="0"/>
                    <w:right w:val="single" w:color="auto" w:sz="6" w:space="0"/>
                  </w:tcBorders>
                  <w:vAlign w:val="center"/>
                </w:tcPr>
                <w:p w14:paraId="36CE14E8">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1B04E9B1">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1246</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2685E3E0">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居住生活</w:t>
                  </w:r>
                </w:p>
              </w:tc>
              <w:tc>
                <w:tcPr>
                  <w:tcW w:w="2313" w:type="dxa"/>
                  <w:vMerge w:val="continue"/>
                  <w:tcBorders>
                    <w:left w:val="single" w:color="auto" w:sz="6" w:space="0"/>
                    <w:right w:val="single" w:color="auto" w:sz="12" w:space="0"/>
                  </w:tcBorders>
                  <w:vAlign w:val="center"/>
                </w:tcPr>
                <w:p w14:paraId="7983C12B">
                  <w:pPr>
                    <w:pBdr>
                      <w:left w:val="single" w:color="auto" w:sz="12" w:space="4"/>
                      <w:right w:val="single" w:color="auto" w:sz="12" w:space="4"/>
                    </w:pBdr>
                    <w:jc w:val="center"/>
                    <w:rPr>
                      <w:rFonts w:ascii="Times New Roman" w:hAnsi="Times New Roman" w:eastAsia="宋体" w:cs="Times New Roman"/>
                      <w:szCs w:val="21"/>
                    </w:rPr>
                  </w:pPr>
                </w:p>
              </w:tc>
            </w:tr>
            <w:tr w14:paraId="7E7681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vMerge w:val="continue"/>
                  <w:tcBorders>
                    <w:left w:val="single" w:color="auto" w:sz="12" w:space="0"/>
                    <w:right w:val="single" w:color="auto" w:sz="6" w:space="0"/>
                  </w:tcBorders>
                  <w:vAlign w:val="center"/>
                </w:tcPr>
                <w:p w14:paraId="7F205B59">
                  <w:pPr>
                    <w:pBdr>
                      <w:left w:val="single" w:color="auto" w:sz="12" w:space="4"/>
                      <w:right w:val="single" w:color="auto" w:sz="12" w:space="4"/>
                    </w:pBdr>
                    <w:jc w:val="center"/>
                    <w:rPr>
                      <w:rFonts w:ascii="Times New Roman" w:hAnsi="Times New Roman" w:eastAsia="宋体" w:cs="Times New Roman"/>
                      <w:szCs w:val="21"/>
                    </w:rPr>
                  </w:pPr>
                </w:p>
              </w:tc>
              <w:tc>
                <w:tcPr>
                  <w:tcW w:w="1309" w:type="dxa"/>
                  <w:tcBorders>
                    <w:top w:val="single" w:color="auto" w:sz="6" w:space="0"/>
                    <w:left w:val="single" w:color="auto" w:sz="6" w:space="0"/>
                    <w:bottom w:val="single" w:color="auto" w:sz="6" w:space="0"/>
                    <w:right w:val="single" w:color="auto" w:sz="6" w:space="0"/>
                  </w:tcBorders>
                  <w:vAlign w:val="center"/>
                </w:tcPr>
                <w:p w14:paraId="175D5521">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罗云包</w:t>
                  </w:r>
                </w:p>
              </w:tc>
              <w:tc>
                <w:tcPr>
                  <w:tcW w:w="992" w:type="dxa"/>
                  <w:tcBorders>
                    <w:top w:val="single" w:color="auto" w:sz="6" w:space="0"/>
                    <w:left w:val="single" w:color="auto" w:sz="6" w:space="0"/>
                    <w:bottom w:val="single" w:color="auto" w:sz="6" w:space="0"/>
                    <w:right w:val="single" w:color="auto" w:sz="6" w:space="0"/>
                  </w:tcBorders>
                  <w:vAlign w:val="center"/>
                </w:tcPr>
                <w:p w14:paraId="729786C3">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东南（1</w:t>
                  </w:r>
                  <w:r>
                    <w:rPr>
                      <w:rFonts w:ascii="Times New Roman" w:hAnsi="Times New Roman" w:eastAsia="宋体" w:cs="Times New Roman"/>
                      <w:szCs w:val="21"/>
                    </w:rPr>
                    <w:t>03.1518</w:t>
                  </w:r>
                  <w:r>
                    <w:rPr>
                      <w:rFonts w:hint="eastAsia" w:ascii="Times New Roman" w:hAnsi="Times New Roman" w:eastAsia="宋体" w:cs="Times New Roman"/>
                      <w:szCs w:val="21"/>
                    </w:rPr>
                    <w:t>°，2</w:t>
                  </w:r>
                  <w:r>
                    <w:rPr>
                      <w:rFonts w:ascii="Times New Roman" w:hAnsi="Times New Roman" w:eastAsia="宋体" w:cs="Times New Roman"/>
                      <w:szCs w:val="21"/>
                    </w:rPr>
                    <w:t>9.1819</w:t>
                  </w:r>
                  <w:r>
                    <w:rPr>
                      <w:rFonts w:hint="eastAsia" w:ascii="Times New Roman" w:hAnsi="Times New Roman" w:eastAsia="宋体" w:cs="Times New Roman"/>
                      <w:szCs w:val="21"/>
                    </w:rPr>
                    <w:t>°）</w:t>
                  </w:r>
                </w:p>
              </w:tc>
              <w:tc>
                <w:tcPr>
                  <w:tcW w:w="853" w:type="dxa"/>
                  <w:tcBorders>
                    <w:top w:val="single" w:color="auto" w:sz="6" w:space="0"/>
                    <w:left w:val="single" w:color="auto" w:sz="6" w:space="0"/>
                    <w:bottom w:val="single" w:color="auto" w:sz="6" w:space="0"/>
                    <w:right w:val="single" w:color="auto" w:sz="6" w:space="0"/>
                  </w:tcBorders>
                  <w:vAlign w:val="center"/>
                </w:tcPr>
                <w:p w14:paraId="3A19D463">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0BF5A306">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2632</w:t>
                  </w:r>
                  <w:r>
                    <w:rPr>
                      <w:rFonts w:hint="eastAsia" w:ascii="Times New Roman" w:hAnsi="Times New Roman" w:eastAsia="宋体" w:cs="Times New Roman"/>
                      <w:szCs w:val="21"/>
                    </w:rPr>
                    <w:t>m</w:t>
                  </w:r>
                </w:p>
              </w:tc>
              <w:tc>
                <w:tcPr>
                  <w:tcW w:w="1134" w:type="dxa"/>
                  <w:tcBorders>
                    <w:top w:val="single" w:color="auto" w:sz="6" w:space="0"/>
                    <w:left w:val="single" w:color="auto" w:sz="6" w:space="0"/>
                    <w:bottom w:val="single" w:color="auto" w:sz="6" w:space="0"/>
                    <w:right w:val="single" w:color="auto" w:sz="6" w:space="0"/>
                  </w:tcBorders>
                  <w:vAlign w:val="center"/>
                </w:tcPr>
                <w:p w14:paraId="697BD479">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居住生活</w:t>
                  </w:r>
                </w:p>
              </w:tc>
              <w:tc>
                <w:tcPr>
                  <w:tcW w:w="2313" w:type="dxa"/>
                  <w:vMerge w:val="continue"/>
                  <w:tcBorders>
                    <w:left w:val="single" w:color="auto" w:sz="6" w:space="0"/>
                    <w:right w:val="single" w:color="auto" w:sz="12" w:space="0"/>
                  </w:tcBorders>
                  <w:vAlign w:val="center"/>
                </w:tcPr>
                <w:p w14:paraId="4E93281B">
                  <w:pPr>
                    <w:pBdr>
                      <w:left w:val="single" w:color="auto" w:sz="12" w:space="4"/>
                      <w:right w:val="single" w:color="auto" w:sz="12" w:space="4"/>
                    </w:pBdr>
                    <w:jc w:val="center"/>
                    <w:rPr>
                      <w:rFonts w:ascii="Times New Roman" w:hAnsi="Times New Roman" w:eastAsia="宋体" w:cs="Times New Roman"/>
                      <w:szCs w:val="21"/>
                    </w:rPr>
                  </w:pPr>
                </w:p>
              </w:tc>
            </w:tr>
            <w:tr w14:paraId="6D8AD3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tcBorders>
                    <w:top w:val="single" w:color="auto" w:sz="6" w:space="0"/>
                    <w:left w:val="single" w:color="auto" w:sz="12" w:space="0"/>
                    <w:bottom w:val="single" w:color="auto" w:sz="6" w:space="0"/>
                    <w:right w:val="single" w:color="auto" w:sz="6" w:space="0"/>
                  </w:tcBorders>
                  <w:vAlign w:val="center"/>
                </w:tcPr>
                <w:p w14:paraId="23478939">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地表水环境</w:t>
                  </w:r>
                </w:p>
              </w:tc>
              <w:tc>
                <w:tcPr>
                  <w:tcW w:w="1309" w:type="dxa"/>
                  <w:tcBorders>
                    <w:top w:val="single" w:color="auto" w:sz="6" w:space="0"/>
                    <w:left w:val="single" w:color="auto" w:sz="6" w:space="0"/>
                    <w:bottom w:val="single" w:color="auto" w:sz="6" w:space="0"/>
                    <w:right w:val="single" w:color="auto" w:sz="6" w:space="0"/>
                  </w:tcBorders>
                  <w:vAlign w:val="center"/>
                </w:tcPr>
                <w:p w14:paraId="0A6827C0">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白沙河</w:t>
                  </w:r>
                </w:p>
              </w:tc>
              <w:tc>
                <w:tcPr>
                  <w:tcW w:w="992" w:type="dxa"/>
                  <w:tcBorders>
                    <w:top w:val="single" w:color="auto" w:sz="6" w:space="0"/>
                    <w:left w:val="single" w:color="auto" w:sz="6" w:space="0"/>
                    <w:bottom w:val="single" w:color="auto" w:sz="6" w:space="0"/>
                    <w:right w:val="single" w:color="auto" w:sz="6" w:space="0"/>
                  </w:tcBorders>
                  <w:vAlign w:val="center"/>
                </w:tcPr>
                <w:p w14:paraId="58C9B4A2">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rPr>
                    <w:t>东</w:t>
                  </w:r>
                  <w:r>
                    <w:rPr>
                      <w:rFonts w:ascii="Times New Roman" w:hAnsi="Times New Roman" w:eastAsia="宋体" w:cs="Times New Roman"/>
                      <w:szCs w:val="21"/>
                    </w:rPr>
                    <w:t>侧</w:t>
                  </w:r>
                </w:p>
              </w:tc>
              <w:tc>
                <w:tcPr>
                  <w:tcW w:w="853" w:type="dxa"/>
                  <w:tcBorders>
                    <w:top w:val="single" w:color="auto" w:sz="6" w:space="0"/>
                    <w:left w:val="single" w:color="auto" w:sz="6" w:space="0"/>
                    <w:bottom w:val="single" w:color="auto" w:sz="6" w:space="0"/>
                    <w:right w:val="single" w:color="auto" w:sz="6" w:space="0"/>
                  </w:tcBorders>
                  <w:vAlign w:val="center"/>
                </w:tcPr>
                <w:p w14:paraId="4D239A6B">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w:t>
                  </w:r>
                </w:p>
              </w:tc>
              <w:tc>
                <w:tcPr>
                  <w:tcW w:w="1134" w:type="dxa"/>
                  <w:tcBorders>
                    <w:top w:val="single" w:color="auto" w:sz="6" w:space="0"/>
                    <w:left w:val="single" w:color="auto" w:sz="6" w:space="0"/>
                    <w:bottom w:val="single" w:color="auto" w:sz="6" w:space="0"/>
                    <w:right w:val="single" w:color="auto" w:sz="6" w:space="0"/>
                  </w:tcBorders>
                  <w:vAlign w:val="center"/>
                </w:tcPr>
                <w:p w14:paraId="69E7E677">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紧邻</w:t>
                  </w:r>
                </w:p>
              </w:tc>
              <w:tc>
                <w:tcPr>
                  <w:tcW w:w="1134" w:type="dxa"/>
                  <w:tcBorders>
                    <w:top w:val="single" w:color="auto" w:sz="6" w:space="0"/>
                    <w:left w:val="single" w:color="auto" w:sz="6" w:space="0"/>
                    <w:bottom w:val="single" w:color="auto" w:sz="6" w:space="0"/>
                    <w:right w:val="single" w:color="auto" w:sz="6" w:space="0"/>
                  </w:tcBorders>
                  <w:vAlign w:val="center"/>
                </w:tcPr>
                <w:p w14:paraId="00815D25">
                  <w:pPr>
                    <w:pBdr>
                      <w:left w:val="single" w:color="auto" w:sz="12" w:space="4"/>
                      <w:right w:val="single" w:color="auto" w:sz="12" w:space="4"/>
                    </w:pBdr>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Ⅲ</w:t>
                  </w:r>
                  <w:r>
                    <w:rPr>
                      <w:rFonts w:ascii="Times New Roman" w:hAnsi="Times New Roman" w:eastAsia="宋体" w:cs="Times New Roman"/>
                      <w:szCs w:val="21"/>
                    </w:rPr>
                    <w:t>类水体；行洪灌溉</w:t>
                  </w:r>
                </w:p>
              </w:tc>
              <w:tc>
                <w:tcPr>
                  <w:tcW w:w="2313" w:type="dxa"/>
                  <w:tcBorders>
                    <w:top w:val="single" w:color="auto" w:sz="6" w:space="0"/>
                    <w:left w:val="single" w:color="auto" w:sz="6" w:space="0"/>
                    <w:bottom w:val="single" w:color="auto" w:sz="6" w:space="0"/>
                    <w:right w:val="single" w:color="auto" w:sz="12" w:space="0"/>
                  </w:tcBorders>
                  <w:vAlign w:val="center"/>
                </w:tcPr>
                <w:p w14:paraId="7DDEF5DB">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《地表水环境质量标准》（GB3838-2002）</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 4 \* ROMAN </w:instrText>
                  </w:r>
                  <w:r>
                    <w:rPr>
                      <w:rFonts w:ascii="Times New Roman" w:hAnsi="Times New Roman" w:eastAsia="宋体" w:cs="Times New Roman"/>
                      <w:szCs w:val="21"/>
                    </w:rPr>
                    <w:fldChar w:fldCharType="separate"/>
                  </w:r>
                  <w:r>
                    <w:rPr>
                      <w:rFonts w:ascii="Times New Roman" w:hAnsi="Times New Roman" w:eastAsia="宋体" w:cs="Times New Roman"/>
                      <w:szCs w:val="21"/>
                    </w:rPr>
                    <w:t>I</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 3 \* ROMAN </w:instrText>
                  </w:r>
                  <w:r>
                    <w:rPr>
                      <w:rFonts w:ascii="Times New Roman" w:hAnsi="Times New Roman" w:eastAsia="宋体" w:cs="Times New Roman"/>
                      <w:szCs w:val="21"/>
                    </w:rPr>
                    <w:fldChar w:fldCharType="separate"/>
                  </w:r>
                  <w:r>
                    <w:rPr>
                      <w:rFonts w:ascii="Times New Roman" w:hAnsi="Times New Roman" w:eastAsia="宋体" w:cs="Times New Roman"/>
                      <w:szCs w:val="21"/>
                    </w:rPr>
                    <w:t>II</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r>
                    <w:rPr>
                      <w:rFonts w:ascii="Times New Roman" w:hAnsi="Times New Roman" w:eastAsia="宋体" w:cs="Times New Roman"/>
                      <w:szCs w:val="21"/>
                    </w:rPr>
                    <w:t>类</w:t>
                  </w:r>
                </w:p>
              </w:tc>
            </w:tr>
            <w:tr w14:paraId="51F399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0" w:type="auto"/>
                  <w:tcBorders>
                    <w:top w:val="single" w:color="auto" w:sz="6" w:space="0"/>
                    <w:left w:val="single" w:color="auto" w:sz="12" w:space="0"/>
                    <w:bottom w:val="single" w:color="auto" w:sz="12" w:space="0"/>
                    <w:right w:val="single" w:color="auto" w:sz="6" w:space="0"/>
                  </w:tcBorders>
                  <w:vAlign w:val="center"/>
                </w:tcPr>
                <w:p w14:paraId="01D59F5B">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地下水环境</w:t>
                  </w:r>
                </w:p>
              </w:tc>
              <w:tc>
                <w:tcPr>
                  <w:tcW w:w="1309" w:type="dxa"/>
                  <w:tcBorders>
                    <w:top w:val="single" w:color="auto" w:sz="6" w:space="0"/>
                    <w:left w:val="single" w:color="auto" w:sz="6" w:space="0"/>
                    <w:bottom w:val="single" w:color="auto" w:sz="12" w:space="0"/>
                    <w:right w:val="single" w:color="auto" w:sz="6" w:space="0"/>
                  </w:tcBorders>
                  <w:vAlign w:val="center"/>
                </w:tcPr>
                <w:p w14:paraId="7B4F0659">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当地地下水</w:t>
                  </w:r>
                </w:p>
              </w:tc>
              <w:tc>
                <w:tcPr>
                  <w:tcW w:w="992" w:type="dxa"/>
                  <w:tcBorders>
                    <w:top w:val="single" w:color="auto" w:sz="6" w:space="0"/>
                    <w:left w:val="single" w:color="auto" w:sz="6" w:space="0"/>
                    <w:bottom w:val="single" w:color="auto" w:sz="12" w:space="0"/>
                    <w:right w:val="single" w:color="auto" w:sz="6" w:space="0"/>
                  </w:tcBorders>
                  <w:vAlign w:val="center"/>
                </w:tcPr>
                <w:p w14:paraId="21B38F8E">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w:t>
                  </w:r>
                </w:p>
              </w:tc>
              <w:tc>
                <w:tcPr>
                  <w:tcW w:w="853" w:type="dxa"/>
                  <w:tcBorders>
                    <w:top w:val="single" w:color="auto" w:sz="6" w:space="0"/>
                    <w:left w:val="single" w:color="auto" w:sz="6" w:space="0"/>
                    <w:bottom w:val="single" w:color="auto" w:sz="12" w:space="0"/>
                    <w:right w:val="single" w:color="auto" w:sz="6" w:space="0"/>
                  </w:tcBorders>
                  <w:vAlign w:val="center"/>
                </w:tcPr>
                <w:p w14:paraId="0096F183">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w:t>
                  </w:r>
                </w:p>
              </w:tc>
              <w:tc>
                <w:tcPr>
                  <w:tcW w:w="1134" w:type="dxa"/>
                  <w:tcBorders>
                    <w:top w:val="single" w:color="auto" w:sz="6" w:space="0"/>
                    <w:left w:val="single" w:color="auto" w:sz="6" w:space="0"/>
                    <w:bottom w:val="single" w:color="auto" w:sz="12" w:space="0"/>
                    <w:right w:val="single" w:color="auto" w:sz="6" w:space="0"/>
                  </w:tcBorders>
                  <w:vAlign w:val="center"/>
                </w:tcPr>
                <w:p w14:paraId="39BBE789">
                  <w:pPr>
                    <w:pBdr>
                      <w:left w:val="single" w:color="auto" w:sz="12" w:space="4"/>
                      <w:right w:val="single" w:color="auto" w:sz="12" w:space="4"/>
                    </w:pBdr>
                    <w:jc w:val="center"/>
                    <w:rPr>
                      <w:rFonts w:ascii="Times New Roman" w:hAnsi="Times New Roman" w:eastAsia="宋体" w:cs="Times New Roman"/>
                      <w:bCs/>
                      <w:szCs w:val="21"/>
                    </w:rPr>
                  </w:pPr>
                  <w:r>
                    <w:rPr>
                      <w:rFonts w:ascii="Times New Roman" w:hAnsi="Times New Roman" w:eastAsia="宋体" w:cs="Times New Roman"/>
                      <w:bCs/>
                      <w:szCs w:val="21"/>
                    </w:rPr>
                    <w:t>/</w:t>
                  </w:r>
                </w:p>
              </w:tc>
              <w:tc>
                <w:tcPr>
                  <w:tcW w:w="1134" w:type="dxa"/>
                  <w:tcBorders>
                    <w:top w:val="single" w:color="auto" w:sz="6" w:space="0"/>
                    <w:left w:val="single" w:color="auto" w:sz="6" w:space="0"/>
                    <w:bottom w:val="single" w:color="auto" w:sz="12" w:space="0"/>
                    <w:right w:val="single" w:color="auto" w:sz="6" w:space="0"/>
                  </w:tcBorders>
                  <w:vAlign w:val="center"/>
                </w:tcPr>
                <w:p w14:paraId="78AE4E68">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w:t>
                  </w:r>
                </w:p>
              </w:tc>
              <w:tc>
                <w:tcPr>
                  <w:tcW w:w="2313" w:type="dxa"/>
                  <w:tcBorders>
                    <w:top w:val="single" w:color="auto" w:sz="6" w:space="0"/>
                    <w:left w:val="single" w:color="auto" w:sz="6" w:space="0"/>
                    <w:bottom w:val="single" w:color="auto" w:sz="12" w:space="0"/>
                    <w:right w:val="single" w:color="auto" w:sz="12" w:space="0"/>
                  </w:tcBorders>
                  <w:vAlign w:val="center"/>
                </w:tcPr>
                <w:p w14:paraId="5202D6B4">
                  <w:pPr>
                    <w:pBdr>
                      <w:left w:val="single" w:color="auto" w:sz="12" w:space="4"/>
                      <w:right w:val="single" w:color="auto" w:sz="12" w:space="4"/>
                    </w:pBdr>
                    <w:jc w:val="center"/>
                    <w:rPr>
                      <w:rFonts w:ascii="Times New Roman" w:hAnsi="Times New Roman" w:eastAsia="宋体" w:cs="Times New Roman"/>
                      <w:szCs w:val="21"/>
                    </w:rPr>
                  </w:pPr>
                  <w:r>
                    <w:rPr>
                      <w:rFonts w:ascii="Times New Roman" w:hAnsi="Times New Roman" w:eastAsia="宋体" w:cs="Times New Roman"/>
                      <w:szCs w:val="21"/>
                    </w:rPr>
                    <w:t>《地下水环境质量标准》（GB/T 14848-2017）中Ⅲ类水域标准</w:t>
                  </w:r>
                </w:p>
              </w:tc>
            </w:tr>
            <w:bookmarkEnd w:id="3"/>
          </w:tbl>
          <w:p w14:paraId="696BA1E0">
            <w:pPr>
              <w:spacing w:line="480" w:lineRule="exact"/>
              <w:rPr>
                <w:rFonts w:ascii="Times New Roman" w:hAnsi="Times New Roman" w:eastAsia="宋体" w:cs="Times New Roman"/>
                <w:sz w:val="30"/>
                <w:szCs w:val="30"/>
              </w:rPr>
            </w:pPr>
          </w:p>
          <w:p w14:paraId="612DFB05">
            <w:pPr>
              <w:spacing w:line="480" w:lineRule="exact"/>
              <w:rPr>
                <w:rFonts w:ascii="Times New Roman" w:hAnsi="Times New Roman" w:eastAsia="宋体" w:cs="Times New Roman"/>
                <w:sz w:val="30"/>
                <w:szCs w:val="30"/>
              </w:rPr>
            </w:pPr>
          </w:p>
          <w:p w14:paraId="3C03E2A8">
            <w:pPr>
              <w:spacing w:line="480" w:lineRule="exact"/>
              <w:rPr>
                <w:rFonts w:ascii="Times New Roman" w:hAnsi="Times New Roman" w:eastAsia="宋体" w:cs="Times New Roman"/>
                <w:sz w:val="30"/>
                <w:szCs w:val="30"/>
              </w:rPr>
            </w:pPr>
          </w:p>
          <w:p w14:paraId="7C1B19D3">
            <w:pPr>
              <w:spacing w:line="480" w:lineRule="exact"/>
              <w:rPr>
                <w:rFonts w:ascii="Times New Roman" w:hAnsi="Times New Roman" w:eastAsia="宋体" w:cs="Times New Roman"/>
                <w:sz w:val="30"/>
                <w:szCs w:val="30"/>
              </w:rPr>
            </w:pPr>
          </w:p>
        </w:tc>
      </w:tr>
    </w:tbl>
    <w:p w14:paraId="31EC1D3E">
      <w:pPr>
        <w:spacing w:after="120" w:afterLines="50"/>
        <w:outlineLvl w:val="0"/>
        <w:rPr>
          <w:rFonts w:ascii="Times New Roman" w:hAnsi="Times New Roman" w:eastAsia="宋体" w:cs="Times New Roman"/>
          <w:b/>
          <w:sz w:val="30"/>
          <w:szCs w:val="30"/>
        </w:rPr>
      </w:pPr>
      <w:r>
        <w:rPr>
          <w:rFonts w:ascii="Times New Roman" w:hAnsi="Times New Roman" w:eastAsia="宋体" w:cs="Times New Roman"/>
          <w:sz w:val="28"/>
        </w:rPr>
        <w:br w:type="page"/>
      </w:r>
      <w:r>
        <w:rPr>
          <w:rFonts w:ascii="Times New Roman" w:hAnsi="Times New Roman" w:eastAsia="宋体" w:cs="Times New Roman"/>
          <w:b/>
          <w:sz w:val="30"/>
          <w:szCs w:val="30"/>
        </w:rPr>
        <w:t>评价适用标准（表四）</w:t>
      </w:r>
    </w:p>
    <w:tbl>
      <w:tblPr>
        <w:tblStyle w:val="26"/>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1"/>
        <w:gridCol w:w="8541"/>
      </w:tblGrid>
      <w:tr w14:paraId="7A357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Align w:val="center"/>
          </w:tcPr>
          <w:p w14:paraId="4A2AA4E5">
            <w:pPr>
              <w:spacing w:line="720" w:lineRule="auto"/>
              <w:rPr>
                <w:rFonts w:ascii="Times New Roman" w:hAnsi="Times New Roman" w:eastAsia="宋体" w:cs="Times New Roman"/>
                <w:b/>
                <w:sz w:val="28"/>
                <w:szCs w:val="28"/>
              </w:rPr>
            </w:pPr>
            <w:r>
              <w:rPr>
                <w:rFonts w:ascii="Times New Roman" w:hAnsi="Times New Roman" w:eastAsia="宋体" w:cs="Times New Roman"/>
                <w:b/>
                <w:sz w:val="28"/>
                <w:szCs w:val="28"/>
              </w:rPr>
              <w:t>环</w:t>
            </w:r>
          </w:p>
          <w:p w14:paraId="6104C912">
            <w:pPr>
              <w:spacing w:line="720" w:lineRule="auto"/>
              <w:rPr>
                <w:rFonts w:ascii="Times New Roman" w:hAnsi="Times New Roman" w:eastAsia="宋体" w:cs="Times New Roman"/>
                <w:b/>
                <w:sz w:val="28"/>
                <w:szCs w:val="28"/>
              </w:rPr>
            </w:pPr>
            <w:r>
              <w:rPr>
                <w:rFonts w:ascii="Times New Roman" w:hAnsi="Times New Roman" w:eastAsia="宋体" w:cs="Times New Roman"/>
                <w:b/>
                <w:sz w:val="28"/>
                <w:szCs w:val="28"/>
              </w:rPr>
              <w:t>境</w:t>
            </w:r>
          </w:p>
          <w:p w14:paraId="0FA29640">
            <w:pPr>
              <w:spacing w:line="720" w:lineRule="auto"/>
              <w:rPr>
                <w:rFonts w:ascii="Times New Roman" w:hAnsi="Times New Roman" w:eastAsia="宋体" w:cs="Times New Roman"/>
                <w:b/>
                <w:sz w:val="28"/>
                <w:szCs w:val="28"/>
              </w:rPr>
            </w:pPr>
            <w:r>
              <w:rPr>
                <w:rFonts w:ascii="Times New Roman" w:hAnsi="Times New Roman" w:eastAsia="宋体" w:cs="Times New Roman"/>
                <w:b/>
                <w:sz w:val="28"/>
                <w:szCs w:val="28"/>
              </w:rPr>
              <w:t>质</w:t>
            </w:r>
          </w:p>
          <w:p w14:paraId="6B6ADF80">
            <w:pPr>
              <w:spacing w:line="720" w:lineRule="auto"/>
              <w:rPr>
                <w:rFonts w:ascii="Times New Roman" w:hAnsi="Times New Roman" w:eastAsia="宋体" w:cs="Times New Roman"/>
                <w:b/>
                <w:sz w:val="28"/>
                <w:szCs w:val="28"/>
              </w:rPr>
            </w:pPr>
            <w:r>
              <w:rPr>
                <w:rFonts w:ascii="Times New Roman" w:hAnsi="Times New Roman" w:eastAsia="宋体" w:cs="Times New Roman"/>
                <w:b/>
                <w:sz w:val="28"/>
                <w:szCs w:val="28"/>
              </w:rPr>
              <w:t>量</w:t>
            </w:r>
          </w:p>
          <w:p w14:paraId="7E0D31EC">
            <w:pPr>
              <w:spacing w:line="720" w:lineRule="auto"/>
              <w:rPr>
                <w:rFonts w:ascii="Times New Roman" w:hAnsi="Times New Roman" w:eastAsia="宋体" w:cs="Times New Roman"/>
                <w:b/>
                <w:sz w:val="28"/>
                <w:szCs w:val="28"/>
              </w:rPr>
            </w:pPr>
            <w:r>
              <w:rPr>
                <w:rFonts w:ascii="Times New Roman" w:hAnsi="Times New Roman" w:eastAsia="宋体" w:cs="Times New Roman"/>
                <w:b/>
                <w:sz w:val="28"/>
                <w:szCs w:val="28"/>
              </w:rPr>
              <w:t>标</w:t>
            </w:r>
          </w:p>
          <w:p w14:paraId="5B4137D3">
            <w:pPr>
              <w:spacing w:line="720" w:lineRule="auto"/>
              <w:rPr>
                <w:rFonts w:ascii="Times New Roman" w:hAnsi="Times New Roman" w:eastAsia="宋体" w:cs="Times New Roman"/>
              </w:rPr>
            </w:pPr>
            <w:r>
              <w:rPr>
                <w:rFonts w:ascii="Times New Roman" w:hAnsi="Times New Roman" w:eastAsia="宋体" w:cs="Times New Roman"/>
                <w:b/>
                <w:sz w:val="28"/>
                <w:szCs w:val="28"/>
              </w:rPr>
              <w:t>准</w:t>
            </w:r>
          </w:p>
        </w:tc>
        <w:tc>
          <w:tcPr>
            <w:tcW w:w="8541" w:type="dxa"/>
          </w:tcPr>
          <w:p w14:paraId="700774B0">
            <w:pPr>
              <w:spacing w:line="480" w:lineRule="exact"/>
              <w:ind w:firstLine="480" w:firstLineChars="200"/>
              <w:rPr>
                <w:rFonts w:ascii="Times New Roman" w:hAnsi="Times New Roman" w:eastAsia="宋体" w:cs="Times New Roman"/>
                <w:bCs/>
                <w:sz w:val="24"/>
                <w:szCs w:val="24"/>
              </w:rPr>
            </w:pPr>
            <w:r>
              <w:rPr>
                <w:rFonts w:ascii="Times New Roman" w:hAnsi="Times New Roman" w:eastAsia="宋体" w:cs="Times New Roman"/>
                <w:bCs/>
                <w:sz w:val="24"/>
                <w:szCs w:val="24"/>
              </w:rPr>
              <w:t>根据项目实际情况，结合现行环境标准，本项目执行以下标准。</w:t>
            </w:r>
          </w:p>
          <w:p w14:paraId="69147860">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一、环境空气质量：</w:t>
            </w:r>
          </w:p>
          <w:p w14:paraId="515ADF34">
            <w:pPr>
              <w:spacing w:line="360" w:lineRule="auto"/>
              <w:ind w:firstLine="480" w:firstLineChars="200"/>
              <w:rPr>
                <w:rFonts w:ascii="Times New Roman" w:hAnsi="Times New Roman" w:eastAsia="宋体" w:cs="Times New Roman"/>
                <w:b/>
                <w:bCs/>
                <w:sz w:val="24"/>
              </w:rPr>
            </w:pPr>
            <w:r>
              <w:rPr>
                <w:rFonts w:ascii="Times New Roman" w:hAnsi="Times New Roman" w:eastAsia="宋体" w:cs="Times New Roman"/>
                <w:sz w:val="24"/>
              </w:rPr>
              <w:t>执行《环境空气质量标准》(GB3095-2012</w:t>
            </w:r>
            <w:r>
              <w:rPr>
                <w:rFonts w:hint="eastAsia" w:ascii="Times New Roman" w:hAnsi="Times New Roman" w:eastAsia="宋体" w:cs="Times New Roman"/>
                <w:sz w:val="24"/>
                <w:lang w:eastAsia="zh-CN"/>
              </w:rPr>
              <w:t>）</w:t>
            </w:r>
            <w:r>
              <w:rPr>
                <w:rFonts w:ascii="Times New Roman" w:hAnsi="Times New Roman" w:eastAsia="宋体" w:cs="Times New Roman"/>
                <w:sz w:val="24"/>
              </w:rPr>
              <w:t>中的二级标准浓度参考限值，标准限值见表4-1。</w:t>
            </w:r>
          </w:p>
          <w:p w14:paraId="2631B00C">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表4-1   环境空气质量标准单位：</w:t>
            </w:r>
            <w:r>
              <w:rPr>
                <w:rFonts w:hint="eastAsia" w:ascii="Times New Roman" w:hAnsi="Times New Roman" w:eastAsia="宋体" w:cs="Times New Roman"/>
                <w:snapToGrid w:val="0"/>
                <w:kern w:val="0"/>
                <w:sz w:val="24"/>
                <w:szCs w:val="24"/>
                <w:lang w:eastAsia="zh-CN"/>
              </w:rPr>
              <w:t>μg/m3</w:t>
            </w:r>
          </w:p>
          <w:tbl>
            <w:tblPr>
              <w:tblStyle w:val="26"/>
              <w:tblW w:w="8244"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938"/>
              <w:gridCol w:w="2409"/>
              <w:gridCol w:w="1701"/>
              <w:gridCol w:w="3196"/>
            </w:tblGrid>
            <w:tr w14:paraId="10F293B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5B3B9440">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污染物</w:t>
                  </w:r>
                </w:p>
              </w:tc>
              <w:tc>
                <w:tcPr>
                  <w:tcW w:w="2409" w:type="dxa"/>
                  <w:tcBorders>
                    <w:top w:val="single" w:color="auto" w:sz="6" w:space="0"/>
                    <w:left w:val="single" w:color="auto" w:sz="6" w:space="0"/>
                    <w:bottom w:val="single" w:color="auto" w:sz="6" w:space="0"/>
                    <w:right w:val="single" w:color="auto" w:sz="6" w:space="0"/>
                  </w:tcBorders>
                  <w:vAlign w:val="center"/>
                </w:tcPr>
                <w:p w14:paraId="17B33790">
                  <w:pPr>
                    <w:pStyle w:val="111"/>
                    <w:widowControl w:val="0"/>
                    <w:spacing w:before="0" w:beforeAutospacing="0" w:after="0" w:afterAutospacing="0" w:line="276" w:lineRule="auto"/>
                    <w:textAlignment w:val="auto"/>
                    <w:rPr>
                      <w:rFonts w:ascii="Times New Roman" w:hAnsi="Times New Roman" w:eastAsia="宋体" w:cs="Times New Roman"/>
                      <w:caps/>
                      <w:kern w:val="2"/>
                      <w:sz w:val="21"/>
                      <w:szCs w:val="21"/>
                    </w:rPr>
                  </w:pPr>
                  <w:r>
                    <w:rPr>
                      <w:rFonts w:ascii="Times New Roman" w:hAnsi="Times New Roman" w:eastAsia="宋体" w:cs="Times New Roman"/>
                      <w:caps/>
                      <w:kern w:val="2"/>
                      <w:sz w:val="21"/>
                      <w:szCs w:val="21"/>
                    </w:rPr>
                    <w:t>年平均</w:t>
                  </w:r>
                </w:p>
              </w:tc>
              <w:tc>
                <w:tcPr>
                  <w:tcW w:w="1701" w:type="dxa"/>
                  <w:tcBorders>
                    <w:top w:val="single" w:color="auto" w:sz="6" w:space="0"/>
                    <w:left w:val="single" w:color="auto" w:sz="6" w:space="0"/>
                    <w:bottom w:val="single" w:color="auto" w:sz="6" w:space="0"/>
                    <w:right w:val="single" w:color="auto" w:sz="6" w:space="0"/>
                  </w:tcBorders>
                  <w:vAlign w:val="center"/>
                </w:tcPr>
                <w:p w14:paraId="516760C2">
                  <w:pPr>
                    <w:pStyle w:val="111"/>
                    <w:widowControl w:val="0"/>
                    <w:spacing w:before="0" w:beforeAutospacing="0" w:after="0" w:afterAutospacing="0" w:line="276" w:lineRule="auto"/>
                    <w:rPr>
                      <w:rFonts w:ascii="Times New Roman" w:hAnsi="Times New Roman" w:eastAsia="宋体" w:cs="Times New Roman"/>
                      <w:caps/>
                      <w:kern w:val="2"/>
                      <w:sz w:val="21"/>
                      <w:szCs w:val="21"/>
                    </w:rPr>
                  </w:pPr>
                  <w:r>
                    <w:rPr>
                      <w:rFonts w:ascii="Times New Roman" w:hAnsi="Times New Roman" w:eastAsia="宋体" w:cs="Times New Roman"/>
                      <w:caps/>
                      <w:kern w:val="2"/>
                      <w:sz w:val="21"/>
                      <w:szCs w:val="21"/>
                    </w:rPr>
                    <w:t>24小时平均</w:t>
                  </w:r>
                </w:p>
              </w:tc>
              <w:tc>
                <w:tcPr>
                  <w:tcW w:w="3196" w:type="dxa"/>
                  <w:tcBorders>
                    <w:top w:val="single" w:color="auto" w:sz="6" w:space="0"/>
                    <w:left w:val="single" w:color="auto" w:sz="6" w:space="0"/>
                    <w:bottom w:val="single" w:color="auto" w:sz="6" w:space="0"/>
                    <w:right w:val="single" w:color="auto" w:sz="6" w:space="0"/>
                  </w:tcBorders>
                  <w:vAlign w:val="center"/>
                </w:tcPr>
                <w:p w14:paraId="05F7DD54">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1小时平均</w:t>
                  </w:r>
                </w:p>
              </w:tc>
            </w:tr>
            <w:tr w14:paraId="6C832F3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451AAAA7">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SO</w:t>
                  </w:r>
                  <w:r>
                    <w:rPr>
                      <w:rFonts w:ascii="Times New Roman" w:hAnsi="Times New Roman" w:eastAsia="宋体" w:cs="Times New Roman"/>
                      <w:szCs w:val="21"/>
                      <w:vertAlign w:val="subscript"/>
                    </w:rPr>
                    <w:t>2</w:t>
                  </w:r>
                </w:p>
              </w:tc>
              <w:tc>
                <w:tcPr>
                  <w:tcW w:w="2409" w:type="dxa"/>
                  <w:tcBorders>
                    <w:top w:val="single" w:color="auto" w:sz="6" w:space="0"/>
                    <w:left w:val="single" w:color="auto" w:sz="6" w:space="0"/>
                    <w:bottom w:val="single" w:color="auto" w:sz="6" w:space="0"/>
                    <w:right w:val="single" w:color="auto" w:sz="6" w:space="0"/>
                  </w:tcBorders>
                  <w:vAlign w:val="center"/>
                </w:tcPr>
                <w:p w14:paraId="2B119F36">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60</w:t>
                  </w:r>
                </w:p>
              </w:tc>
              <w:tc>
                <w:tcPr>
                  <w:tcW w:w="1701" w:type="dxa"/>
                  <w:tcBorders>
                    <w:top w:val="single" w:color="auto" w:sz="6" w:space="0"/>
                    <w:left w:val="single" w:color="auto" w:sz="6" w:space="0"/>
                    <w:bottom w:val="single" w:color="auto" w:sz="6" w:space="0"/>
                    <w:right w:val="single" w:color="auto" w:sz="6" w:space="0"/>
                  </w:tcBorders>
                  <w:vAlign w:val="center"/>
                </w:tcPr>
                <w:p w14:paraId="5E15AC96">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150</w:t>
                  </w:r>
                </w:p>
              </w:tc>
              <w:tc>
                <w:tcPr>
                  <w:tcW w:w="3196" w:type="dxa"/>
                  <w:tcBorders>
                    <w:top w:val="single" w:color="auto" w:sz="6" w:space="0"/>
                    <w:left w:val="single" w:color="auto" w:sz="6" w:space="0"/>
                    <w:bottom w:val="single" w:color="auto" w:sz="6" w:space="0"/>
                    <w:right w:val="single" w:color="auto" w:sz="6" w:space="0"/>
                  </w:tcBorders>
                  <w:vAlign w:val="center"/>
                </w:tcPr>
                <w:p w14:paraId="008AEBC2">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500</w:t>
                  </w:r>
                </w:p>
              </w:tc>
            </w:tr>
            <w:tr w14:paraId="5FF5226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7FB74498">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NO</w:t>
                  </w:r>
                  <w:r>
                    <w:rPr>
                      <w:rFonts w:ascii="Times New Roman" w:hAnsi="Times New Roman" w:eastAsia="宋体" w:cs="Times New Roman"/>
                      <w:szCs w:val="21"/>
                      <w:vertAlign w:val="subscript"/>
                    </w:rPr>
                    <w:t>2</w:t>
                  </w:r>
                </w:p>
              </w:tc>
              <w:tc>
                <w:tcPr>
                  <w:tcW w:w="2409" w:type="dxa"/>
                  <w:tcBorders>
                    <w:top w:val="single" w:color="auto" w:sz="6" w:space="0"/>
                    <w:left w:val="single" w:color="auto" w:sz="6" w:space="0"/>
                    <w:bottom w:val="single" w:color="auto" w:sz="6" w:space="0"/>
                    <w:right w:val="single" w:color="auto" w:sz="6" w:space="0"/>
                  </w:tcBorders>
                  <w:vAlign w:val="center"/>
                </w:tcPr>
                <w:p w14:paraId="34CF6B16">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40</w:t>
                  </w:r>
                </w:p>
              </w:tc>
              <w:tc>
                <w:tcPr>
                  <w:tcW w:w="1701" w:type="dxa"/>
                  <w:tcBorders>
                    <w:top w:val="single" w:color="auto" w:sz="6" w:space="0"/>
                    <w:left w:val="single" w:color="auto" w:sz="6" w:space="0"/>
                    <w:bottom w:val="single" w:color="auto" w:sz="6" w:space="0"/>
                    <w:right w:val="single" w:color="auto" w:sz="6" w:space="0"/>
                  </w:tcBorders>
                  <w:vAlign w:val="center"/>
                </w:tcPr>
                <w:p w14:paraId="144C0C2D">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80</w:t>
                  </w:r>
                </w:p>
              </w:tc>
              <w:tc>
                <w:tcPr>
                  <w:tcW w:w="3196" w:type="dxa"/>
                  <w:tcBorders>
                    <w:top w:val="single" w:color="auto" w:sz="6" w:space="0"/>
                    <w:left w:val="single" w:color="auto" w:sz="6" w:space="0"/>
                    <w:bottom w:val="single" w:color="auto" w:sz="6" w:space="0"/>
                    <w:right w:val="single" w:color="auto" w:sz="6" w:space="0"/>
                  </w:tcBorders>
                  <w:vAlign w:val="center"/>
                </w:tcPr>
                <w:p w14:paraId="447BE460">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200</w:t>
                  </w:r>
                </w:p>
              </w:tc>
            </w:tr>
            <w:tr w14:paraId="3D2A805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5A356FA1">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PM</w:t>
                  </w:r>
                  <w:r>
                    <w:rPr>
                      <w:rFonts w:ascii="Times New Roman" w:hAnsi="Times New Roman" w:eastAsia="宋体" w:cs="Times New Roman"/>
                      <w:szCs w:val="21"/>
                      <w:vertAlign w:val="subscript"/>
                    </w:rPr>
                    <w:t>10</w:t>
                  </w:r>
                </w:p>
              </w:tc>
              <w:tc>
                <w:tcPr>
                  <w:tcW w:w="2409" w:type="dxa"/>
                  <w:tcBorders>
                    <w:top w:val="single" w:color="auto" w:sz="6" w:space="0"/>
                    <w:left w:val="single" w:color="auto" w:sz="6" w:space="0"/>
                    <w:bottom w:val="single" w:color="auto" w:sz="6" w:space="0"/>
                    <w:right w:val="single" w:color="auto" w:sz="6" w:space="0"/>
                  </w:tcBorders>
                  <w:vAlign w:val="center"/>
                </w:tcPr>
                <w:p w14:paraId="4F0865C1">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70</w:t>
                  </w:r>
                </w:p>
              </w:tc>
              <w:tc>
                <w:tcPr>
                  <w:tcW w:w="1701" w:type="dxa"/>
                  <w:tcBorders>
                    <w:top w:val="single" w:color="auto" w:sz="6" w:space="0"/>
                    <w:left w:val="single" w:color="auto" w:sz="6" w:space="0"/>
                    <w:bottom w:val="single" w:color="auto" w:sz="6" w:space="0"/>
                    <w:right w:val="single" w:color="auto" w:sz="6" w:space="0"/>
                  </w:tcBorders>
                  <w:vAlign w:val="center"/>
                </w:tcPr>
                <w:p w14:paraId="10347708">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150</w:t>
                  </w:r>
                </w:p>
              </w:tc>
              <w:tc>
                <w:tcPr>
                  <w:tcW w:w="3196" w:type="dxa"/>
                  <w:tcBorders>
                    <w:top w:val="single" w:color="auto" w:sz="6" w:space="0"/>
                    <w:left w:val="single" w:color="auto" w:sz="6" w:space="0"/>
                    <w:bottom w:val="single" w:color="auto" w:sz="6" w:space="0"/>
                    <w:right w:val="single" w:color="auto" w:sz="6" w:space="0"/>
                  </w:tcBorders>
                  <w:vAlign w:val="center"/>
                </w:tcPr>
                <w:p w14:paraId="47C7202F">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w:t>
                  </w:r>
                </w:p>
              </w:tc>
            </w:tr>
            <w:tr w14:paraId="3802E87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228A7E92">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CO</w:t>
                  </w:r>
                </w:p>
              </w:tc>
              <w:tc>
                <w:tcPr>
                  <w:tcW w:w="2409" w:type="dxa"/>
                  <w:tcBorders>
                    <w:top w:val="single" w:color="auto" w:sz="6" w:space="0"/>
                    <w:left w:val="single" w:color="auto" w:sz="6" w:space="0"/>
                    <w:bottom w:val="single" w:color="auto" w:sz="6" w:space="0"/>
                    <w:right w:val="single" w:color="auto" w:sz="6" w:space="0"/>
                  </w:tcBorders>
                  <w:vAlign w:val="center"/>
                </w:tcPr>
                <w:p w14:paraId="36266F45">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w:t>
                  </w:r>
                </w:p>
              </w:tc>
              <w:tc>
                <w:tcPr>
                  <w:tcW w:w="1701" w:type="dxa"/>
                  <w:tcBorders>
                    <w:top w:val="single" w:color="auto" w:sz="6" w:space="0"/>
                    <w:left w:val="single" w:color="auto" w:sz="6" w:space="0"/>
                    <w:bottom w:val="single" w:color="auto" w:sz="6" w:space="0"/>
                    <w:right w:val="single" w:color="auto" w:sz="6" w:space="0"/>
                  </w:tcBorders>
                  <w:vAlign w:val="center"/>
                </w:tcPr>
                <w:p w14:paraId="7B8787CC">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4000</w:t>
                  </w:r>
                </w:p>
              </w:tc>
              <w:tc>
                <w:tcPr>
                  <w:tcW w:w="3196" w:type="dxa"/>
                  <w:tcBorders>
                    <w:top w:val="single" w:color="auto" w:sz="6" w:space="0"/>
                    <w:left w:val="single" w:color="auto" w:sz="6" w:space="0"/>
                    <w:bottom w:val="single" w:color="auto" w:sz="6" w:space="0"/>
                    <w:right w:val="single" w:color="auto" w:sz="6" w:space="0"/>
                  </w:tcBorders>
                  <w:vAlign w:val="center"/>
                </w:tcPr>
                <w:p w14:paraId="1971A63B">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10000</w:t>
                  </w:r>
                </w:p>
              </w:tc>
            </w:tr>
            <w:tr w14:paraId="39BE3D4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629E196A">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O</w:t>
                  </w:r>
                  <w:r>
                    <w:rPr>
                      <w:rFonts w:ascii="Times New Roman" w:hAnsi="Times New Roman" w:eastAsia="宋体" w:cs="Times New Roman"/>
                      <w:szCs w:val="21"/>
                      <w:vertAlign w:val="subscript"/>
                    </w:rPr>
                    <w:t>3</w:t>
                  </w:r>
                </w:p>
              </w:tc>
              <w:tc>
                <w:tcPr>
                  <w:tcW w:w="2409" w:type="dxa"/>
                  <w:tcBorders>
                    <w:top w:val="single" w:color="auto" w:sz="6" w:space="0"/>
                    <w:left w:val="single" w:color="auto" w:sz="6" w:space="0"/>
                    <w:bottom w:val="single" w:color="auto" w:sz="6" w:space="0"/>
                    <w:right w:val="single" w:color="auto" w:sz="6" w:space="0"/>
                  </w:tcBorders>
                  <w:vAlign w:val="center"/>
                </w:tcPr>
                <w:p w14:paraId="6641EA12">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160（日最大8h平均值）</w:t>
                  </w:r>
                </w:p>
              </w:tc>
              <w:tc>
                <w:tcPr>
                  <w:tcW w:w="1701" w:type="dxa"/>
                  <w:tcBorders>
                    <w:top w:val="single" w:color="auto" w:sz="6" w:space="0"/>
                    <w:left w:val="single" w:color="auto" w:sz="6" w:space="0"/>
                    <w:bottom w:val="single" w:color="auto" w:sz="6" w:space="0"/>
                    <w:right w:val="single" w:color="auto" w:sz="6" w:space="0"/>
                  </w:tcBorders>
                  <w:vAlign w:val="center"/>
                </w:tcPr>
                <w:p w14:paraId="09BDAA54">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160</w:t>
                  </w:r>
                </w:p>
              </w:tc>
              <w:tc>
                <w:tcPr>
                  <w:tcW w:w="3196" w:type="dxa"/>
                  <w:tcBorders>
                    <w:top w:val="single" w:color="auto" w:sz="6" w:space="0"/>
                    <w:left w:val="single" w:color="auto" w:sz="6" w:space="0"/>
                    <w:bottom w:val="single" w:color="auto" w:sz="6" w:space="0"/>
                    <w:right w:val="single" w:color="auto" w:sz="6" w:space="0"/>
                  </w:tcBorders>
                  <w:vAlign w:val="center"/>
                </w:tcPr>
                <w:p w14:paraId="4C3C20AC">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200</w:t>
                  </w:r>
                </w:p>
              </w:tc>
            </w:tr>
            <w:tr w14:paraId="3CC3BED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7" w:hRule="atLeast"/>
                <w:jc w:val="center"/>
              </w:trPr>
              <w:tc>
                <w:tcPr>
                  <w:tcW w:w="938" w:type="dxa"/>
                  <w:tcBorders>
                    <w:top w:val="single" w:color="auto" w:sz="6" w:space="0"/>
                    <w:left w:val="single" w:color="auto" w:sz="6" w:space="0"/>
                    <w:bottom w:val="single" w:color="auto" w:sz="6" w:space="0"/>
                    <w:right w:val="single" w:color="auto" w:sz="6" w:space="0"/>
                  </w:tcBorders>
                  <w:vAlign w:val="center"/>
                </w:tcPr>
                <w:p w14:paraId="5240A720">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PM</w:t>
                  </w:r>
                  <w:r>
                    <w:rPr>
                      <w:rFonts w:ascii="Times New Roman" w:hAnsi="Times New Roman" w:eastAsia="宋体" w:cs="Times New Roman"/>
                      <w:szCs w:val="21"/>
                      <w:vertAlign w:val="subscript"/>
                    </w:rPr>
                    <w:t>2.5</w:t>
                  </w:r>
                </w:p>
              </w:tc>
              <w:tc>
                <w:tcPr>
                  <w:tcW w:w="2409" w:type="dxa"/>
                  <w:tcBorders>
                    <w:top w:val="single" w:color="auto" w:sz="6" w:space="0"/>
                    <w:left w:val="single" w:color="auto" w:sz="6" w:space="0"/>
                    <w:bottom w:val="single" w:color="auto" w:sz="6" w:space="0"/>
                    <w:right w:val="single" w:color="auto" w:sz="6" w:space="0"/>
                  </w:tcBorders>
                  <w:vAlign w:val="center"/>
                </w:tcPr>
                <w:p w14:paraId="15585F87">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35</w:t>
                  </w:r>
                </w:p>
              </w:tc>
              <w:tc>
                <w:tcPr>
                  <w:tcW w:w="1701" w:type="dxa"/>
                  <w:tcBorders>
                    <w:top w:val="single" w:color="auto" w:sz="6" w:space="0"/>
                    <w:left w:val="single" w:color="auto" w:sz="6" w:space="0"/>
                    <w:bottom w:val="single" w:color="auto" w:sz="6" w:space="0"/>
                    <w:right w:val="single" w:color="auto" w:sz="6" w:space="0"/>
                  </w:tcBorders>
                  <w:vAlign w:val="center"/>
                </w:tcPr>
                <w:p w14:paraId="7A557CE8">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75</w:t>
                  </w:r>
                </w:p>
              </w:tc>
              <w:tc>
                <w:tcPr>
                  <w:tcW w:w="3196" w:type="dxa"/>
                  <w:tcBorders>
                    <w:top w:val="single" w:color="auto" w:sz="6" w:space="0"/>
                    <w:left w:val="single" w:color="auto" w:sz="6" w:space="0"/>
                    <w:bottom w:val="single" w:color="auto" w:sz="6" w:space="0"/>
                    <w:right w:val="single" w:color="auto" w:sz="6" w:space="0"/>
                  </w:tcBorders>
                  <w:vAlign w:val="center"/>
                </w:tcPr>
                <w:p w14:paraId="3CA5B955">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w:t>
                  </w:r>
                </w:p>
              </w:tc>
            </w:tr>
          </w:tbl>
          <w:p w14:paraId="3C7CB9C3">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二、地表水环境质量:</w:t>
            </w:r>
          </w:p>
          <w:p w14:paraId="17EF3327">
            <w:pPr>
              <w:pStyle w:val="20"/>
              <w:spacing w:line="480" w:lineRule="exact"/>
              <w:ind w:left="0" w:firstLine="480" w:firstLineChars="200"/>
              <w:rPr>
                <w:rFonts w:ascii="Times New Roman" w:hAnsi="Times New Roman" w:eastAsia="宋体" w:cs="Times New Roman"/>
                <w:b/>
                <w:bCs/>
                <w:sz w:val="24"/>
                <w:szCs w:val="24"/>
              </w:rPr>
            </w:pPr>
            <w:r>
              <w:rPr>
                <w:rFonts w:ascii="Times New Roman" w:hAnsi="Times New Roman" w:eastAsia="宋体" w:cs="Times New Roman"/>
                <w:sz w:val="24"/>
                <w:szCs w:val="24"/>
              </w:rPr>
              <w:t>执行国家《地表水环境质量标准》（GB3838-2002）Ⅲ类标准。标准限值见表4-2。</w:t>
            </w:r>
          </w:p>
          <w:p w14:paraId="4E8A1351">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表4-2     地表水环境质量标准单位：mg/L</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9"/>
              <w:gridCol w:w="920"/>
              <w:gridCol w:w="913"/>
              <w:gridCol w:w="1247"/>
              <w:gridCol w:w="1039"/>
              <w:gridCol w:w="1039"/>
              <w:gridCol w:w="1038"/>
            </w:tblGrid>
            <w:tr w14:paraId="2E29F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74" w:type="pct"/>
                  <w:vAlign w:val="center"/>
                </w:tcPr>
                <w:p w14:paraId="2213F474">
                  <w:pPr>
                    <w:adjustRightInd w:val="0"/>
                    <w:snapToGrid w:val="0"/>
                    <w:spacing w:line="276" w:lineRule="auto"/>
                    <w:jc w:val="center"/>
                    <w:rPr>
                      <w:rFonts w:ascii="Times New Roman" w:hAnsi="Times New Roman" w:eastAsia="宋体" w:cs="Times New Roman"/>
                      <w:szCs w:val="21"/>
                    </w:rPr>
                  </w:pPr>
                  <w:r>
                    <w:rPr>
                      <w:rFonts w:ascii="Times New Roman" w:hAnsi="Times New Roman" w:eastAsia="宋体" w:cs="Times New Roman"/>
                      <w:szCs w:val="21"/>
                      <w:lang w:val="zh-CN"/>
                    </w:rPr>
                    <w:t>指标</w:t>
                  </w:r>
                </w:p>
              </w:tc>
              <w:tc>
                <w:tcPr>
                  <w:tcW w:w="553" w:type="pct"/>
                  <w:vAlign w:val="center"/>
                </w:tcPr>
                <w:p w14:paraId="7295BA70">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pH</w:t>
                  </w:r>
                </w:p>
              </w:tc>
              <w:tc>
                <w:tcPr>
                  <w:tcW w:w="549" w:type="pct"/>
                  <w:vAlign w:val="center"/>
                </w:tcPr>
                <w:p w14:paraId="751E52A5">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BOD</w:t>
                  </w:r>
                </w:p>
              </w:tc>
              <w:tc>
                <w:tcPr>
                  <w:tcW w:w="750" w:type="pct"/>
                  <w:vAlign w:val="center"/>
                </w:tcPr>
                <w:p w14:paraId="27557CCD">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COD</w:t>
                  </w:r>
                  <w:r>
                    <w:rPr>
                      <w:rFonts w:ascii="Times New Roman" w:hAnsi="Times New Roman" w:eastAsia="宋体" w:cs="Times New Roman"/>
                      <w:szCs w:val="21"/>
                      <w:vertAlign w:val="subscript"/>
                    </w:rPr>
                    <w:t>Cr</w:t>
                  </w:r>
                </w:p>
              </w:tc>
              <w:tc>
                <w:tcPr>
                  <w:tcW w:w="625" w:type="pct"/>
                  <w:vAlign w:val="center"/>
                </w:tcPr>
                <w:p w14:paraId="15A19DDD">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氨氮</w:t>
                  </w:r>
                </w:p>
              </w:tc>
              <w:tc>
                <w:tcPr>
                  <w:tcW w:w="625" w:type="pct"/>
                  <w:vAlign w:val="center"/>
                </w:tcPr>
                <w:p w14:paraId="7431F582">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总磷</w:t>
                  </w:r>
                </w:p>
              </w:tc>
              <w:tc>
                <w:tcPr>
                  <w:tcW w:w="624" w:type="pct"/>
                  <w:vAlign w:val="center"/>
                </w:tcPr>
                <w:p w14:paraId="3BA46E58">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石油类</w:t>
                  </w:r>
                </w:p>
              </w:tc>
            </w:tr>
            <w:tr w14:paraId="637D2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74" w:type="pct"/>
                  <w:vAlign w:val="center"/>
                </w:tcPr>
                <w:p w14:paraId="1A3691AB">
                  <w:pPr>
                    <w:adjustRightInd w:val="0"/>
                    <w:snapToGrid w:val="0"/>
                    <w:spacing w:line="276" w:lineRule="auto"/>
                    <w:jc w:val="center"/>
                    <w:rPr>
                      <w:rFonts w:ascii="Times New Roman" w:hAnsi="Times New Roman" w:eastAsia="宋体" w:cs="Times New Roman"/>
                      <w:szCs w:val="21"/>
                    </w:rPr>
                  </w:pPr>
                  <w:r>
                    <w:rPr>
                      <w:rFonts w:ascii="Times New Roman" w:hAnsi="Times New Roman" w:eastAsia="宋体" w:cs="Times New Roman"/>
                      <w:szCs w:val="21"/>
                      <w:lang w:val="zh-CN"/>
                    </w:rPr>
                    <w:t>标准值</w:t>
                  </w:r>
                  <w:r>
                    <w:rPr>
                      <w:rFonts w:ascii="Times New Roman" w:hAnsi="Times New Roman" w:eastAsia="宋体" w:cs="Times New Roman"/>
                      <w:szCs w:val="21"/>
                    </w:rPr>
                    <w:t>（Ⅲ</w:t>
                  </w:r>
                  <w:r>
                    <w:rPr>
                      <w:rFonts w:ascii="Times New Roman" w:hAnsi="Times New Roman" w:eastAsia="宋体" w:cs="Times New Roman"/>
                      <w:szCs w:val="21"/>
                      <w:lang w:val="zh-CN"/>
                    </w:rPr>
                    <w:t>类</w:t>
                  </w:r>
                  <w:r>
                    <w:rPr>
                      <w:rFonts w:ascii="Times New Roman" w:hAnsi="Times New Roman" w:eastAsia="宋体" w:cs="Times New Roman"/>
                      <w:szCs w:val="21"/>
                    </w:rPr>
                    <w:t>）</w:t>
                  </w:r>
                </w:p>
              </w:tc>
              <w:tc>
                <w:tcPr>
                  <w:tcW w:w="553" w:type="pct"/>
                  <w:vAlign w:val="center"/>
                </w:tcPr>
                <w:p w14:paraId="3A7F1D85">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6~9</w:t>
                  </w:r>
                </w:p>
              </w:tc>
              <w:tc>
                <w:tcPr>
                  <w:tcW w:w="549" w:type="pct"/>
                  <w:vAlign w:val="center"/>
                </w:tcPr>
                <w:p w14:paraId="399C4D56">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≥4</w:t>
                  </w:r>
                </w:p>
              </w:tc>
              <w:tc>
                <w:tcPr>
                  <w:tcW w:w="750" w:type="pct"/>
                  <w:vAlign w:val="center"/>
                </w:tcPr>
                <w:p w14:paraId="3C4FA3CD">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≤20</w:t>
                  </w:r>
                </w:p>
              </w:tc>
              <w:tc>
                <w:tcPr>
                  <w:tcW w:w="625" w:type="pct"/>
                  <w:vAlign w:val="center"/>
                </w:tcPr>
                <w:p w14:paraId="564BB4DB">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≤1.0</w:t>
                  </w:r>
                </w:p>
              </w:tc>
              <w:tc>
                <w:tcPr>
                  <w:tcW w:w="625" w:type="pct"/>
                  <w:vAlign w:val="center"/>
                </w:tcPr>
                <w:p w14:paraId="3166170B">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≤0.2</w:t>
                  </w:r>
                </w:p>
              </w:tc>
              <w:tc>
                <w:tcPr>
                  <w:tcW w:w="624" w:type="pct"/>
                  <w:vAlign w:val="center"/>
                </w:tcPr>
                <w:p w14:paraId="348EC089">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≤0.05</w:t>
                  </w:r>
                </w:p>
              </w:tc>
            </w:tr>
          </w:tbl>
          <w:p w14:paraId="52AD2D46">
            <w:pPr>
              <w:spacing w:before="120" w:after="120"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三、噪声环境质量：</w:t>
            </w:r>
          </w:p>
          <w:p w14:paraId="58AEBA9C">
            <w:pPr>
              <w:pStyle w:val="20"/>
              <w:spacing w:line="480" w:lineRule="exact"/>
              <w:ind w:left="0" w:firstLine="480" w:firstLineChars="200"/>
              <w:rPr>
                <w:rFonts w:ascii="Times New Roman" w:hAnsi="Times New Roman" w:eastAsia="宋体" w:cs="Times New Roman"/>
                <w:b/>
                <w:bCs/>
                <w:sz w:val="24"/>
                <w:szCs w:val="24"/>
              </w:rPr>
            </w:pPr>
            <w:r>
              <w:rPr>
                <w:rFonts w:ascii="Times New Roman" w:hAnsi="Times New Roman" w:eastAsia="宋体" w:cs="Times New Roman"/>
                <w:sz w:val="24"/>
                <w:szCs w:val="24"/>
              </w:rPr>
              <w:t>执行国家《声环境质量标准》（GB3096-2008）中</w:t>
            </w:r>
            <w:r>
              <w:rPr>
                <w:rFonts w:hint="eastAsia" w:ascii="Times New Roman" w:hAnsi="Times New Roman" w:eastAsia="宋体" w:cs="Times New Roman"/>
                <w:sz w:val="24"/>
                <w:szCs w:val="24"/>
              </w:rPr>
              <w:t>2</w:t>
            </w:r>
            <w:r>
              <w:rPr>
                <w:rFonts w:ascii="Times New Roman" w:hAnsi="Times New Roman" w:eastAsia="宋体" w:cs="Times New Roman"/>
                <w:sz w:val="24"/>
                <w:szCs w:val="24"/>
              </w:rPr>
              <w:t>类标准</w:t>
            </w:r>
            <w:r>
              <w:rPr>
                <w:rFonts w:ascii="Times New Roman" w:hAnsi="Times New Roman" w:eastAsia="宋体" w:cs="Times New Roman"/>
                <w:bCs/>
                <w:sz w:val="24"/>
                <w:szCs w:val="24"/>
              </w:rPr>
              <w:t>。标准限值见表4-3。</w:t>
            </w:r>
          </w:p>
          <w:p w14:paraId="4239C6E4">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表4-3    环境噪声标准值表单位：dB(A)</w:t>
            </w:r>
          </w:p>
          <w:tbl>
            <w:tblPr>
              <w:tblStyle w:val="26"/>
              <w:tblW w:w="8284"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659"/>
              <w:gridCol w:w="2835"/>
              <w:gridCol w:w="2790"/>
            </w:tblGrid>
            <w:tr w14:paraId="1B8DE1F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659" w:type="dxa"/>
                  <w:tcBorders>
                    <w:top w:val="single" w:color="auto" w:sz="6" w:space="0"/>
                    <w:left w:val="single" w:color="auto" w:sz="6" w:space="0"/>
                    <w:bottom w:val="single" w:color="auto" w:sz="6" w:space="0"/>
                    <w:right w:val="single" w:color="auto" w:sz="6" w:space="0"/>
                  </w:tcBorders>
                  <w:vAlign w:val="center"/>
                </w:tcPr>
                <w:p w14:paraId="3D8FF8F6">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标准</w:t>
                  </w:r>
                </w:p>
              </w:tc>
              <w:tc>
                <w:tcPr>
                  <w:tcW w:w="2835" w:type="dxa"/>
                  <w:tcBorders>
                    <w:top w:val="single" w:color="auto" w:sz="6" w:space="0"/>
                    <w:left w:val="single" w:color="auto" w:sz="6" w:space="0"/>
                    <w:bottom w:val="single" w:color="auto" w:sz="6" w:space="0"/>
                    <w:right w:val="single" w:color="auto" w:sz="6" w:space="0"/>
                  </w:tcBorders>
                  <w:vAlign w:val="center"/>
                </w:tcPr>
                <w:p w14:paraId="574ED0EE">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昼间</w:t>
                  </w:r>
                </w:p>
              </w:tc>
              <w:tc>
                <w:tcPr>
                  <w:tcW w:w="2790" w:type="dxa"/>
                  <w:tcBorders>
                    <w:top w:val="single" w:color="auto" w:sz="6" w:space="0"/>
                    <w:left w:val="single" w:color="auto" w:sz="6" w:space="0"/>
                    <w:bottom w:val="single" w:color="auto" w:sz="6" w:space="0"/>
                    <w:right w:val="single" w:color="auto" w:sz="6" w:space="0"/>
                  </w:tcBorders>
                  <w:vAlign w:val="center"/>
                </w:tcPr>
                <w:p w14:paraId="05B212F5">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夜间</w:t>
                  </w:r>
                </w:p>
              </w:tc>
            </w:tr>
            <w:tr w14:paraId="2C4697F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659" w:type="dxa"/>
                  <w:tcBorders>
                    <w:top w:val="single" w:color="auto" w:sz="6" w:space="0"/>
                    <w:left w:val="single" w:color="auto" w:sz="6" w:space="0"/>
                    <w:bottom w:val="single" w:color="auto" w:sz="6" w:space="0"/>
                    <w:right w:val="single" w:color="auto" w:sz="6" w:space="0"/>
                  </w:tcBorders>
                  <w:vAlign w:val="center"/>
                </w:tcPr>
                <w:p w14:paraId="2D22E44D">
                  <w:pPr>
                    <w:spacing w:line="276" w:lineRule="auto"/>
                    <w:jc w:val="center"/>
                    <w:rPr>
                      <w:rFonts w:ascii="Times New Roman" w:hAnsi="Times New Roman" w:eastAsia="宋体" w:cs="Times New Roman"/>
                      <w:caps/>
                      <w:szCs w:val="21"/>
                    </w:rPr>
                  </w:pPr>
                  <w:r>
                    <w:rPr>
                      <w:rFonts w:hint="eastAsia" w:ascii="Times New Roman" w:hAnsi="Times New Roman" w:eastAsia="宋体" w:cs="Times New Roman"/>
                      <w:caps/>
                      <w:szCs w:val="21"/>
                    </w:rPr>
                    <w:t>2</w:t>
                  </w:r>
                  <w:r>
                    <w:rPr>
                      <w:rFonts w:ascii="Times New Roman" w:hAnsi="Times New Roman" w:eastAsia="宋体" w:cs="Times New Roman"/>
                      <w:caps/>
                      <w:szCs w:val="21"/>
                    </w:rPr>
                    <w:t>类标准</w:t>
                  </w:r>
                </w:p>
              </w:tc>
              <w:tc>
                <w:tcPr>
                  <w:tcW w:w="2835" w:type="dxa"/>
                  <w:tcBorders>
                    <w:top w:val="single" w:color="auto" w:sz="6" w:space="0"/>
                    <w:left w:val="single" w:color="auto" w:sz="6" w:space="0"/>
                    <w:bottom w:val="single" w:color="auto" w:sz="6" w:space="0"/>
                    <w:right w:val="single" w:color="auto" w:sz="6" w:space="0"/>
                  </w:tcBorders>
                  <w:vAlign w:val="center"/>
                </w:tcPr>
                <w:p w14:paraId="2E9D2575">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60</w:t>
                  </w:r>
                </w:p>
              </w:tc>
              <w:tc>
                <w:tcPr>
                  <w:tcW w:w="2790" w:type="dxa"/>
                  <w:tcBorders>
                    <w:top w:val="single" w:color="auto" w:sz="6" w:space="0"/>
                    <w:left w:val="single" w:color="auto" w:sz="6" w:space="0"/>
                    <w:bottom w:val="single" w:color="auto" w:sz="6" w:space="0"/>
                    <w:right w:val="single" w:color="auto" w:sz="6" w:space="0"/>
                  </w:tcBorders>
                  <w:vAlign w:val="center"/>
                </w:tcPr>
                <w:p w14:paraId="5DB2B7EB">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50</w:t>
                  </w:r>
                </w:p>
              </w:tc>
            </w:tr>
          </w:tbl>
          <w:p w14:paraId="2B4110FD">
            <w:pPr>
              <w:tabs>
                <w:tab w:val="left" w:pos="2792"/>
              </w:tabs>
              <w:spacing w:line="480" w:lineRule="exact"/>
              <w:rPr>
                <w:rFonts w:ascii="Times New Roman" w:hAnsi="Times New Roman" w:eastAsia="宋体" w:cs="Times New Roman"/>
              </w:rPr>
            </w:pPr>
          </w:p>
        </w:tc>
      </w:tr>
      <w:tr w14:paraId="5D75A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Align w:val="center"/>
          </w:tcPr>
          <w:p w14:paraId="6F67587D">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污</w:t>
            </w:r>
          </w:p>
          <w:p w14:paraId="6ABA95CA">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染</w:t>
            </w:r>
          </w:p>
          <w:p w14:paraId="13115342">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物</w:t>
            </w:r>
          </w:p>
          <w:p w14:paraId="1AB3BB88">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排</w:t>
            </w:r>
          </w:p>
          <w:p w14:paraId="7C2E1EDA">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放</w:t>
            </w:r>
          </w:p>
          <w:p w14:paraId="10629838">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标</w:t>
            </w:r>
          </w:p>
          <w:p w14:paraId="31765C1C">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准</w:t>
            </w:r>
          </w:p>
          <w:p w14:paraId="24B867C1">
            <w:pPr>
              <w:spacing w:line="360" w:lineRule="exact"/>
              <w:ind w:left="482" w:firstLine="482"/>
              <w:rPr>
                <w:rFonts w:ascii="Times New Roman" w:hAnsi="Times New Roman" w:eastAsia="宋体" w:cs="Times New Roman"/>
                <w:b/>
                <w:sz w:val="24"/>
              </w:rPr>
            </w:pPr>
          </w:p>
        </w:tc>
        <w:tc>
          <w:tcPr>
            <w:tcW w:w="8541" w:type="dxa"/>
          </w:tcPr>
          <w:p w14:paraId="517118D3">
            <w:pPr>
              <w:spacing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一、废气排放标准</w:t>
            </w:r>
          </w:p>
          <w:p w14:paraId="7AD23BF4">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废气排放标准执行《大气污染物综合排放标准》（GB16297-1996）表2中二级排放限值。</w:t>
            </w:r>
          </w:p>
          <w:p w14:paraId="6E52EFA8">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表4-4 《大气污染物综合排放标准》（GB16297-1996）单位：mg/m</w:t>
            </w:r>
            <w:r>
              <w:rPr>
                <w:rFonts w:ascii="Times New Roman" w:hAnsi="Times New Roman" w:eastAsia="宋体" w:cs="Times New Roman"/>
                <w:snapToGrid w:val="0"/>
                <w:kern w:val="0"/>
                <w:sz w:val="24"/>
                <w:szCs w:val="24"/>
                <w:vertAlign w:val="superscript"/>
              </w:rPr>
              <w:t>3</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2"/>
              <w:gridCol w:w="1693"/>
              <w:gridCol w:w="1691"/>
              <w:gridCol w:w="1691"/>
              <w:gridCol w:w="1688"/>
            </w:tblGrid>
            <w:tr w14:paraId="12D08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933" w:type="pct"/>
                  <w:vMerge w:val="restart"/>
                  <w:vAlign w:val="center"/>
                </w:tcPr>
                <w:p w14:paraId="7EC0EF25">
                  <w:pPr>
                    <w:snapToGrid w:val="0"/>
                    <w:spacing w:line="276" w:lineRule="auto"/>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1018" w:type="pct"/>
                  <w:vMerge w:val="restart"/>
                  <w:vAlign w:val="center"/>
                </w:tcPr>
                <w:p w14:paraId="4AA36D08">
                  <w:pPr>
                    <w:snapToGrid w:val="0"/>
                    <w:spacing w:line="276" w:lineRule="auto"/>
                    <w:jc w:val="center"/>
                    <w:rPr>
                      <w:rFonts w:ascii="Times New Roman" w:hAnsi="Times New Roman" w:eastAsia="宋体" w:cs="Times New Roman"/>
                      <w:szCs w:val="21"/>
                    </w:rPr>
                  </w:pPr>
                  <w:r>
                    <w:rPr>
                      <w:rFonts w:ascii="Times New Roman" w:hAnsi="Times New Roman" w:eastAsia="宋体" w:cs="Times New Roman"/>
                      <w:szCs w:val="21"/>
                    </w:rPr>
                    <w:t>最高允许排放浓度（mg/m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2034" w:type="pct"/>
                  <w:gridSpan w:val="2"/>
                  <w:vAlign w:val="center"/>
                </w:tcPr>
                <w:p w14:paraId="7A9A98DB">
                  <w:pPr>
                    <w:snapToGrid w:val="0"/>
                    <w:spacing w:line="276" w:lineRule="auto"/>
                    <w:jc w:val="center"/>
                    <w:rPr>
                      <w:rFonts w:ascii="Times New Roman" w:hAnsi="Times New Roman" w:eastAsia="宋体" w:cs="Times New Roman"/>
                      <w:szCs w:val="21"/>
                    </w:rPr>
                  </w:pPr>
                  <w:r>
                    <w:rPr>
                      <w:rFonts w:hint="eastAsia" w:ascii="Times New Roman" w:hAnsi="Times New Roman" w:eastAsia="宋体" w:cs="Times New Roman"/>
                      <w:szCs w:val="21"/>
                    </w:rPr>
                    <w:t>最高允许排放速率，kg</w:t>
                  </w:r>
                  <w:r>
                    <w:rPr>
                      <w:rFonts w:ascii="Times New Roman" w:hAnsi="Times New Roman" w:eastAsia="宋体" w:cs="Times New Roman"/>
                      <w:szCs w:val="21"/>
                    </w:rPr>
                    <w:t>/</w:t>
                  </w:r>
                  <w:r>
                    <w:rPr>
                      <w:rFonts w:hint="eastAsia" w:ascii="Times New Roman" w:hAnsi="Times New Roman" w:eastAsia="宋体" w:cs="Times New Roman"/>
                      <w:szCs w:val="21"/>
                    </w:rPr>
                    <w:t>h</w:t>
                  </w:r>
                </w:p>
              </w:tc>
              <w:tc>
                <w:tcPr>
                  <w:tcW w:w="1015" w:type="pct"/>
                  <w:vMerge w:val="restart"/>
                  <w:vAlign w:val="center"/>
                </w:tcPr>
                <w:p w14:paraId="17E6F84E">
                  <w:pPr>
                    <w:snapToGrid w:val="0"/>
                    <w:spacing w:line="276" w:lineRule="auto"/>
                    <w:jc w:val="center"/>
                    <w:rPr>
                      <w:rFonts w:ascii="Times New Roman" w:hAnsi="Times New Roman" w:eastAsia="宋体" w:cs="Times New Roman"/>
                      <w:szCs w:val="21"/>
                    </w:rPr>
                  </w:pPr>
                  <w:r>
                    <w:rPr>
                      <w:rFonts w:ascii="Times New Roman" w:hAnsi="Times New Roman" w:eastAsia="宋体" w:cs="Times New Roman"/>
                      <w:szCs w:val="21"/>
                    </w:rPr>
                    <w:t>无组织排放限值（mg/m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r>
            <w:tr w14:paraId="5D4F2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933" w:type="pct"/>
                  <w:vMerge w:val="continue"/>
                  <w:vAlign w:val="center"/>
                </w:tcPr>
                <w:p w14:paraId="65DC8D32">
                  <w:pPr>
                    <w:snapToGrid w:val="0"/>
                    <w:spacing w:line="276" w:lineRule="auto"/>
                    <w:jc w:val="center"/>
                    <w:rPr>
                      <w:rFonts w:ascii="Times New Roman" w:hAnsi="Times New Roman" w:eastAsia="宋体" w:cs="Times New Roman"/>
                      <w:szCs w:val="21"/>
                    </w:rPr>
                  </w:pPr>
                </w:p>
              </w:tc>
              <w:tc>
                <w:tcPr>
                  <w:tcW w:w="1018" w:type="pct"/>
                  <w:vMerge w:val="continue"/>
                  <w:vAlign w:val="center"/>
                </w:tcPr>
                <w:p w14:paraId="592198F2">
                  <w:pPr>
                    <w:snapToGrid w:val="0"/>
                    <w:spacing w:line="276" w:lineRule="auto"/>
                    <w:jc w:val="center"/>
                    <w:rPr>
                      <w:rFonts w:ascii="Times New Roman" w:hAnsi="Times New Roman" w:eastAsia="宋体" w:cs="Times New Roman"/>
                      <w:szCs w:val="21"/>
                    </w:rPr>
                  </w:pPr>
                </w:p>
              </w:tc>
              <w:tc>
                <w:tcPr>
                  <w:tcW w:w="1017" w:type="pct"/>
                  <w:vAlign w:val="center"/>
                </w:tcPr>
                <w:p w14:paraId="78F55753">
                  <w:pPr>
                    <w:snapToGrid w:val="0"/>
                    <w:spacing w:line="276" w:lineRule="auto"/>
                    <w:jc w:val="center"/>
                    <w:rPr>
                      <w:rFonts w:ascii="Times New Roman" w:hAnsi="Times New Roman" w:eastAsia="宋体" w:cs="Times New Roman"/>
                      <w:szCs w:val="21"/>
                    </w:rPr>
                  </w:pPr>
                  <w:r>
                    <w:rPr>
                      <w:rFonts w:hint="eastAsia" w:ascii="Times New Roman" w:hAnsi="Times New Roman" w:eastAsia="宋体" w:cs="Times New Roman"/>
                      <w:szCs w:val="21"/>
                    </w:rPr>
                    <w:t>排气筒高度m</w:t>
                  </w:r>
                </w:p>
              </w:tc>
              <w:tc>
                <w:tcPr>
                  <w:tcW w:w="1017" w:type="pct"/>
                  <w:vAlign w:val="center"/>
                </w:tcPr>
                <w:p w14:paraId="7723FC11">
                  <w:pPr>
                    <w:snapToGrid w:val="0"/>
                    <w:spacing w:line="276" w:lineRule="auto"/>
                    <w:jc w:val="center"/>
                    <w:rPr>
                      <w:rFonts w:ascii="Times New Roman" w:hAnsi="Times New Roman" w:eastAsia="宋体" w:cs="Times New Roman"/>
                      <w:szCs w:val="21"/>
                    </w:rPr>
                  </w:pPr>
                  <w:r>
                    <w:rPr>
                      <w:rFonts w:hint="eastAsia" w:ascii="Times New Roman" w:hAnsi="Times New Roman" w:eastAsia="宋体" w:cs="Times New Roman"/>
                      <w:szCs w:val="21"/>
                    </w:rPr>
                    <w:t>二级</w:t>
                  </w:r>
                </w:p>
              </w:tc>
              <w:tc>
                <w:tcPr>
                  <w:tcW w:w="1015" w:type="pct"/>
                  <w:vMerge w:val="continue"/>
                  <w:vAlign w:val="center"/>
                </w:tcPr>
                <w:p w14:paraId="3A8A0E30">
                  <w:pPr>
                    <w:snapToGrid w:val="0"/>
                    <w:spacing w:line="276" w:lineRule="auto"/>
                    <w:jc w:val="center"/>
                    <w:rPr>
                      <w:rFonts w:ascii="Times New Roman" w:hAnsi="Times New Roman" w:eastAsia="宋体" w:cs="Times New Roman"/>
                      <w:szCs w:val="21"/>
                    </w:rPr>
                  </w:pPr>
                </w:p>
              </w:tc>
            </w:tr>
            <w:tr w14:paraId="190AF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933" w:type="pct"/>
                  <w:vAlign w:val="center"/>
                </w:tcPr>
                <w:p w14:paraId="403AECC6">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1018" w:type="pct"/>
                  <w:vAlign w:val="center"/>
                </w:tcPr>
                <w:p w14:paraId="2F9A4BCF">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120</w:t>
                  </w:r>
                </w:p>
              </w:tc>
              <w:tc>
                <w:tcPr>
                  <w:tcW w:w="1017" w:type="pct"/>
                  <w:vAlign w:val="center"/>
                </w:tcPr>
                <w:p w14:paraId="4D5B22E8">
                  <w:pPr>
                    <w:spacing w:line="276" w:lineRule="auto"/>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5</w:t>
                  </w:r>
                </w:p>
              </w:tc>
              <w:tc>
                <w:tcPr>
                  <w:tcW w:w="1017" w:type="pct"/>
                  <w:vAlign w:val="center"/>
                </w:tcPr>
                <w:p w14:paraId="3C570EE6">
                  <w:pPr>
                    <w:spacing w:line="276" w:lineRule="auto"/>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.5</w:t>
                  </w:r>
                </w:p>
              </w:tc>
              <w:tc>
                <w:tcPr>
                  <w:tcW w:w="1015" w:type="pct"/>
                  <w:vAlign w:val="center"/>
                </w:tcPr>
                <w:p w14:paraId="72E3679E">
                  <w:pPr>
                    <w:spacing w:line="276" w:lineRule="auto"/>
                    <w:jc w:val="center"/>
                    <w:rPr>
                      <w:rFonts w:ascii="Times New Roman" w:hAnsi="Times New Roman" w:eastAsia="宋体" w:cs="Times New Roman"/>
                      <w:szCs w:val="21"/>
                    </w:rPr>
                  </w:pPr>
                  <w:r>
                    <w:rPr>
                      <w:rFonts w:ascii="Times New Roman" w:hAnsi="Times New Roman" w:eastAsia="宋体" w:cs="Times New Roman"/>
                      <w:szCs w:val="21"/>
                    </w:rPr>
                    <w:t>1.0</w:t>
                  </w:r>
                </w:p>
              </w:tc>
            </w:tr>
          </w:tbl>
          <w:p w14:paraId="55E489EC">
            <w:pPr>
              <w:spacing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二、废水排放标准</w:t>
            </w:r>
          </w:p>
          <w:p w14:paraId="3B8BF90D">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本项目无生产废水</w:t>
            </w:r>
            <w:r>
              <w:rPr>
                <w:rFonts w:hint="eastAsia" w:ascii="Times New Roman" w:hAnsi="Times New Roman" w:eastAsia="宋体" w:cs="Times New Roman"/>
                <w:sz w:val="24"/>
              </w:rPr>
              <w:t>外排；生活污水经二级生化池处理后回用农肥处理，</w:t>
            </w:r>
            <w:r>
              <w:rPr>
                <w:rFonts w:ascii="Times New Roman" w:hAnsi="Times New Roman" w:eastAsia="宋体" w:cs="Times New Roman"/>
                <w:sz w:val="24"/>
              </w:rPr>
              <w:t>不外排</w:t>
            </w:r>
            <w:r>
              <w:rPr>
                <w:rFonts w:hint="eastAsia" w:ascii="Times New Roman" w:hAnsi="Times New Roman" w:eastAsia="宋体" w:cs="Times New Roman"/>
                <w:sz w:val="24"/>
              </w:rPr>
              <w:t>，禁止直接排入地表水</w:t>
            </w:r>
            <w:r>
              <w:rPr>
                <w:rFonts w:ascii="Times New Roman" w:hAnsi="Times New Roman" w:eastAsia="宋体" w:cs="Times New Roman"/>
                <w:sz w:val="24"/>
              </w:rPr>
              <w:t>。</w:t>
            </w:r>
          </w:p>
          <w:p w14:paraId="03DE4B28">
            <w:pPr>
              <w:spacing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三、噪声执行标准</w:t>
            </w:r>
          </w:p>
          <w:p w14:paraId="01F5F26F">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施工期：执行《建筑施工场界环境噪声排放标准》(GB12523-2011</w:t>
            </w:r>
            <w:r>
              <w:rPr>
                <w:rFonts w:hint="eastAsia" w:ascii="Times New Roman" w:hAnsi="Times New Roman" w:eastAsia="宋体" w:cs="Times New Roman"/>
                <w:sz w:val="24"/>
                <w:lang w:eastAsia="zh-CN"/>
              </w:rPr>
              <w:t>）</w:t>
            </w:r>
            <w:r>
              <w:rPr>
                <w:rFonts w:ascii="Times New Roman" w:hAnsi="Times New Roman" w:eastAsia="宋体" w:cs="Times New Roman"/>
                <w:sz w:val="24"/>
              </w:rPr>
              <w:t>中相关标准；营运期：执行国家《工业企业厂界环境噪声排放标准》(GB12348-2008</w:t>
            </w:r>
            <w:r>
              <w:rPr>
                <w:rFonts w:hint="eastAsia" w:ascii="Times New Roman" w:hAnsi="Times New Roman" w:eastAsia="宋体" w:cs="Times New Roman"/>
                <w:sz w:val="24"/>
                <w:lang w:eastAsia="zh-CN"/>
              </w:rPr>
              <w:t>）</w:t>
            </w:r>
            <w:r>
              <w:rPr>
                <w:rFonts w:ascii="Times New Roman" w:hAnsi="Times New Roman" w:eastAsia="宋体" w:cs="Times New Roman"/>
                <w:sz w:val="24"/>
              </w:rPr>
              <w:t>中的2类标准；</w:t>
            </w:r>
            <w:r>
              <w:rPr>
                <w:rFonts w:ascii="Times New Roman" w:hAnsi="Times New Roman" w:eastAsia="宋体" w:cs="Times New Roman"/>
                <w:bCs/>
                <w:sz w:val="24"/>
              </w:rPr>
              <w:t>标准限值见表4-5。</w:t>
            </w:r>
          </w:p>
          <w:p w14:paraId="536248F1">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表4-5  项目噪声执行标准单位：dB(A)</w:t>
            </w:r>
          </w:p>
          <w:tbl>
            <w:tblPr>
              <w:tblStyle w:val="26"/>
              <w:tblW w:w="8284"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3095"/>
              <w:gridCol w:w="2008"/>
              <w:gridCol w:w="3181"/>
            </w:tblGrid>
            <w:tr w14:paraId="3A733F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exact"/>
                <w:jc w:val="center"/>
              </w:trPr>
              <w:tc>
                <w:tcPr>
                  <w:tcW w:w="3095" w:type="dxa"/>
                  <w:tcBorders>
                    <w:top w:val="single" w:color="auto" w:sz="6" w:space="0"/>
                    <w:left w:val="single" w:color="auto" w:sz="6" w:space="0"/>
                    <w:bottom w:val="single" w:color="auto" w:sz="6" w:space="0"/>
                    <w:right w:val="single" w:color="auto" w:sz="6" w:space="0"/>
                  </w:tcBorders>
                  <w:vAlign w:val="center"/>
                </w:tcPr>
                <w:p w14:paraId="7C951D5E">
                  <w:pPr>
                    <w:spacing w:line="276" w:lineRule="auto"/>
                    <w:ind w:left="-59"/>
                    <w:jc w:val="center"/>
                    <w:rPr>
                      <w:rFonts w:ascii="Times New Roman" w:hAnsi="Times New Roman" w:eastAsia="宋体" w:cs="Times New Roman"/>
                      <w:caps/>
                      <w:szCs w:val="21"/>
                    </w:rPr>
                  </w:pPr>
                  <w:r>
                    <w:rPr>
                      <w:rFonts w:ascii="Times New Roman" w:hAnsi="Times New Roman" w:eastAsia="宋体" w:cs="Times New Roman"/>
                      <w:caps/>
                      <w:szCs w:val="21"/>
                    </w:rPr>
                    <w:t>类别</w:t>
                  </w:r>
                </w:p>
              </w:tc>
              <w:tc>
                <w:tcPr>
                  <w:tcW w:w="2008" w:type="dxa"/>
                  <w:tcBorders>
                    <w:top w:val="single" w:color="auto" w:sz="6" w:space="0"/>
                    <w:left w:val="single" w:color="auto" w:sz="6" w:space="0"/>
                    <w:bottom w:val="single" w:color="auto" w:sz="6" w:space="0"/>
                    <w:right w:val="single" w:color="auto" w:sz="6" w:space="0"/>
                  </w:tcBorders>
                  <w:vAlign w:val="center"/>
                </w:tcPr>
                <w:p w14:paraId="7F948B7E">
                  <w:pPr>
                    <w:spacing w:line="276" w:lineRule="auto"/>
                    <w:ind w:left="43"/>
                    <w:jc w:val="center"/>
                    <w:rPr>
                      <w:rFonts w:ascii="Times New Roman" w:hAnsi="Times New Roman" w:eastAsia="宋体" w:cs="Times New Roman"/>
                      <w:caps/>
                      <w:szCs w:val="21"/>
                    </w:rPr>
                  </w:pPr>
                  <w:r>
                    <w:rPr>
                      <w:rFonts w:ascii="Times New Roman" w:hAnsi="Times New Roman" w:eastAsia="宋体" w:cs="Times New Roman"/>
                      <w:caps/>
                      <w:szCs w:val="21"/>
                    </w:rPr>
                    <w:t>昼间</w:t>
                  </w:r>
                </w:p>
              </w:tc>
              <w:tc>
                <w:tcPr>
                  <w:tcW w:w="3181" w:type="dxa"/>
                  <w:tcBorders>
                    <w:top w:val="single" w:color="auto" w:sz="6" w:space="0"/>
                    <w:left w:val="single" w:color="auto" w:sz="6" w:space="0"/>
                    <w:bottom w:val="single" w:color="auto" w:sz="6" w:space="0"/>
                    <w:right w:val="single" w:color="auto" w:sz="6" w:space="0"/>
                  </w:tcBorders>
                  <w:vAlign w:val="center"/>
                </w:tcPr>
                <w:p w14:paraId="00B853CB">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夜间</w:t>
                  </w:r>
                </w:p>
              </w:tc>
            </w:tr>
            <w:tr w14:paraId="7B9F354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exact"/>
                <w:jc w:val="center"/>
              </w:trPr>
              <w:tc>
                <w:tcPr>
                  <w:tcW w:w="3095" w:type="dxa"/>
                  <w:tcBorders>
                    <w:top w:val="single" w:color="auto" w:sz="6" w:space="0"/>
                    <w:left w:val="single" w:color="auto" w:sz="6" w:space="0"/>
                    <w:bottom w:val="single" w:color="auto" w:sz="6" w:space="0"/>
                    <w:right w:val="single" w:color="auto" w:sz="6" w:space="0"/>
                  </w:tcBorders>
                  <w:vAlign w:val="center"/>
                </w:tcPr>
                <w:p w14:paraId="72515646">
                  <w:pPr>
                    <w:spacing w:line="276" w:lineRule="auto"/>
                    <w:ind w:left="-59"/>
                    <w:jc w:val="center"/>
                    <w:rPr>
                      <w:rFonts w:ascii="Times New Roman" w:hAnsi="Times New Roman" w:eastAsia="宋体" w:cs="Times New Roman"/>
                      <w:caps/>
                      <w:szCs w:val="21"/>
                    </w:rPr>
                  </w:pPr>
                  <w:r>
                    <w:rPr>
                      <w:rFonts w:ascii="Times New Roman" w:hAnsi="Times New Roman" w:eastAsia="宋体" w:cs="Times New Roman"/>
                      <w:caps/>
                      <w:szCs w:val="21"/>
                    </w:rPr>
                    <w:t>2类标准</w:t>
                  </w:r>
                </w:p>
              </w:tc>
              <w:tc>
                <w:tcPr>
                  <w:tcW w:w="2008" w:type="dxa"/>
                  <w:tcBorders>
                    <w:top w:val="single" w:color="auto" w:sz="6" w:space="0"/>
                    <w:left w:val="single" w:color="auto" w:sz="6" w:space="0"/>
                    <w:bottom w:val="single" w:color="auto" w:sz="6" w:space="0"/>
                    <w:right w:val="single" w:color="auto" w:sz="6" w:space="0"/>
                  </w:tcBorders>
                  <w:vAlign w:val="center"/>
                </w:tcPr>
                <w:p w14:paraId="3567C227">
                  <w:pPr>
                    <w:spacing w:line="276" w:lineRule="auto"/>
                    <w:ind w:left="43"/>
                    <w:jc w:val="center"/>
                    <w:rPr>
                      <w:rFonts w:ascii="Times New Roman" w:hAnsi="Times New Roman" w:eastAsia="宋体" w:cs="Times New Roman"/>
                      <w:caps/>
                      <w:szCs w:val="21"/>
                    </w:rPr>
                  </w:pPr>
                  <w:r>
                    <w:rPr>
                      <w:rFonts w:ascii="Times New Roman" w:hAnsi="Times New Roman" w:eastAsia="宋体" w:cs="Times New Roman"/>
                      <w:caps/>
                      <w:szCs w:val="21"/>
                    </w:rPr>
                    <w:t>60</w:t>
                  </w:r>
                </w:p>
              </w:tc>
              <w:tc>
                <w:tcPr>
                  <w:tcW w:w="3181" w:type="dxa"/>
                  <w:tcBorders>
                    <w:top w:val="single" w:color="auto" w:sz="6" w:space="0"/>
                    <w:left w:val="single" w:color="auto" w:sz="6" w:space="0"/>
                    <w:bottom w:val="single" w:color="auto" w:sz="6" w:space="0"/>
                    <w:right w:val="single" w:color="auto" w:sz="6" w:space="0"/>
                  </w:tcBorders>
                  <w:vAlign w:val="center"/>
                </w:tcPr>
                <w:p w14:paraId="68901C6B">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50</w:t>
                  </w:r>
                </w:p>
              </w:tc>
            </w:tr>
            <w:tr w14:paraId="11B2383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exact"/>
                <w:jc w:val="center"/>
              </w:trPr>
              <w:tc>
                <w:tcPr>
                  <w:tcW w:w="3095" w:type="dxa"/>
                  <w:tcBorders>
                    <w:top w:val="single" w:color="auto" w:sz="6" w:space="0"/>
                    <w:left w:val="single" w:color="auto" w:sz="6" w:space="0"/>
                    <w:bottom w:val="single" w:color="auto" w:sz="6" w:space="0"/>
                    <w:right w:val="single" w:color="auto" w:sz="6" w:space="0"/>
                  </w:tcBorders>
                  <w:vAlign w:val="center"/>
                </w:tcPr>
                <w:p w14:paraId="25CC8B30">
                  <w:pPr>
                    <w:spacing w:line="276" w:lineRule="auto"/>
                    <w:ind w:left="-59"/>
                    <w:jc w:val="center"/>
                    <w:rPr>
                      <w:rFonts w:ascii="Times New Roman" w:hAnsi="Times New Roman" w:eastAsia="宋体" w:cs="Times New Roman"/>
                      <w:caps/>
                      <w:szCs w:val="21"/>
                    </w:rPr>
                  </w:pPr>
                  <w:r>
                    <w:rPr>
                      <w:rFonts w:ascii="Times New Roman" w:hAnsi="Times New Roman" w:eastAsia="宋体" w:cs="Times New Roman"/>
                      <w:szCs w:val="21"/>
                    </w:rPr>
                    <w:t>建筑施工场界环境噪声限值</w:t>
                  </w:r>
                </w:p>
              </w:tc>
              <w:tc>
                <w:tcPr>
                  <w:tcW w:w="2008" w:type="dxa"/>
                  <w:tcBorders>
                    <w:top w:val="single" w:color="auto" w:sz="6" w:space="0"/>
                    <w:left w:val="single" w:color="auto" w:sz="6" w:space="0"/>
                    <w:bottom w:val="single" w:color="auto" w:sz="6" w:space="0"/>
                    <w:right w:val="single" w:color="auto" w:sz="6" w:space="0"/>
                  </w:tcBorders>
                  <w:vAlign w:val="center"/>
                </w:tcPr>
                <w:p w14:paraId="33047D8A">
                  <w:pPr>
                    <w:spacing w:line="276" w:lineRule="auto"/>
                    <w:ind w:left="43"/>
                    <w:jc w:val="center"/>
                    <w:rPr>
                      <w:rFonts w:ascii="Times New Roman" w:hAnsi="Times New Roman" w:eastAsia="宋体" w:cs="Times New Roman"/>
                      <w:caps/>
                      <w:szCs w:val="21"/>
                    </w:rPr>
                  </w:pPr>
                  <w:r>
                    <w:rPr>
                      <w:rFonts w:ascii="Times New Roman" w:hAnsi="Times New Roman" w:eastAsia="宋体" w:cs="Times New Roman"/>
                      <w:caps/>
                      <w:szCs w:val="21"/>
                    </w:rPr>
                    <w:t>70</w:t>
                  </w:r>
                </w:p>
              </w:tc>
              <w:tc>
                <w:tcPr>
                  <w:tcW w:w="3181" w:type="dxa"/>
                  <w:tcBorders>
                    <w:top w:val="single" w:color="auto" w:sz="6" w:space="0"/>
                    <w:left w:val="single" w:color="auto" w:sz="6" w:space="0"/>
                    <w:bottom w:val="single" w:color="auto" w:sz="6" w:space="0"/>
                    <w:right w:val="single" w:color="auto" w:sz="6" w:space="0"/>
                  </w:tcBorders>
                  <w:vAlign w:val="center"/>
                </w:tcPr>
                <w:p w14:paraId="4E50ED73">
                  <w:pPr>
                    <w:spacing w:line="276" w:lineRule="auto"/>
                    <w:jc w:val="center"/>
                    <w:rPr>
                      <w:rFonts w:ascii="Times New Roman" w:hAnsi="Times New Roman" w:eastAsia="宋体" w:cs="Times New Roman"/>
                      <w:caps/>
                      <w:szCs w:val="21"/>
                    </w:rPr>
                  </w:pPr>
                  <w:r>
                    <w:rPr>
                      <w:rFonts w:ascii="Times New Roman" w:hAnsi="Times New Roman" w:eastAsia="宋体" w:cs="Times New Roman"/>
                      <w:caps/>
                      <w:szCs w:val="21"/>
                    </w:rPr>
                    <w:t>55</w:t>
                  </w:r>
                </w:p>
              </w:tc>
            </w:tr>
          </w:tbl>
          <w:p w14:paraId="7D232483">
            <w:pPr>
              <w:spacing w:line="480" w:lineRule="exact"/>
              <w:rPr>
                <w:rFonts w:ascii="Times New Roman" w:hAnsi="Times New Roman" w:eastAsia="宋体" w:cs="Times New Roman"/>
                <w:b/>
                <w:sz w:val="24"/>
                <w:szCs w:val="24"/>
              </w:rPr>
            </w:pPr>
            <w:r>
              <w:rPr>
                <w:rFonts w:ascii="Times New Roman" w:hAnsi="Times New Roman" w:eastAsia="宋体" w:cs="Times New Roman"/>
                <w:b/>
                <w:sz w:val="24"/>
                <w:szCs w:val="24"/>
              </w:rPr>
              <w:t>三、固体废弃物排放标准</w:t>
            </w:r>
          </w:p>
          <w:p w14:paraId="483CBEEF">
            <w:pPr>
              <w:widowControl/>
              <w:adjustRightInd w:val="0"/>
              <w:snapToGrid w:val="0"/>
              <w:spacing w:line="480" w:lineRule="exact"/>
              <w:ind w:right="92" w:rightChars="44"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项目一般固废执行《一般工业固体废弃物储存、处置场污染控制标准》（GB12523-2001）及修改清单相关标准；危险固体废物储存、处置按《危险废物贮存污染物控制标准》（GB 18597-2001）及2013年修改清单标准执行。</w:t>
            </w:r>
          </w:p>
        </w:tc>
      </w:tr>
      <w:tr w14:paraId="5F1F1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dxa"/>
            <w:vAlign w:val="center"/>
          </w:tcPr>
          <w:p w14:paraId="06BC7ECC">
            <w:pPr>
              <w:spacing w:line="400" w:lineRule="exact"/>
              <w:rPr>
                <w:rFonts w:ascii="Times New Roman" w:hAnsi="Times New Roman" w:eastAsia="宋体" w:cs="Times New Roman"/>
                <w:b/>
                <w:sz w:val="28"/>
                <w:szCs w:val="28"/>
              </w:rPr>
            </w:pPr>
            <w:r>
              <w:rPr>
                <w:rFonts w:ascii="Times New Roman" w:hAnsi="Times New Roman" w:eastAsia="宋体" w:cs="Times New Roman"/>
                <w:b/>
                <w:sz w:val="28"/>
                <w:szCs w:val="28"/>
              </w:rPr>
              <w:t>总</w:t>
            </w:r>
          </w:p>
          <w:p w14:paraId="08590332">
            <w:pPr>
              <w:spacing w:line="400" w:lineRule="exact"/>
              <w:rPr>
                <w:rFonts w:ascii="Times New Roman" w:hAnsi="Times New Roman" w:eastAsia="宋体" w:cs="Times New Roman"/>
                <w:b/>
                <w:sz w:val="28"/>
                <w:szCs w:val="28"/>
              </w:rPr>
            </w:pPr>
            <w:r>
              <w:rPr>
                <w:rFonts w:ascii="Times New Roman" w:hAnsi="Times New Roman" w:eastAsia="宋体" w:cs="Times New Roman"/>
                <w:b/>
                <w:sz w:val="28"/>
                <w:szCs w:val="28"/>
              </w:rPr>
              <w:t>量</w:t>
            </w:r>
          </w:p>
          <w:p w14:paraId="59DC59A6">
            <w:pPr>
              <w:spacing w:line="400" w:lineRule="exact"/>
              <w:rPr>
                <w:rFonts w:ascii="Times New Roman" w:hAnsi="Times New Roman" w:eastAsia="宋体" w:cs="Times New Roman"/>
                <w:b/>
                <w:sz w:val="28"/>
                <w:szCs w:val="28"/>
              </w:rPr>
            </w:pPr>
            <w:r>
              <w:rPr>
                <w:rFonts w:ascii="Times New Roman" w:hAnsi="Times New Roman" w:eastAsia="宋体" w:cs="Times New Roman"/>
                <w:b/>
                <w:sz w:val="28"/>
                <w:szCs w:val="28"/>
              </w:rPr>
              <w:t>控</w:t>
            </w:r>
          </w:p>
          <w:p w14:paraId="75680FE4">
            <w:pPr>
              <w:spacing w:line="400" w:lineRule="exact"/>
              <w:rPr>
                <w:rFonts w:ascii="Times New Roman" w:hAnsi="Times New Roman" w:eastAsia="宋体" w:cs="Times New Roman"/>
                <w:b/>
                <w:sz w:val="28"/>
                <w:szCs w:val="28"/>
              </w:rPr>
            </w:pPr>
            <w:r>
              <w:rPr>
                <w:rFonts w:ascii="Times New Roman" w:hAnsi="Times New Roman" w:eastAsia="宋体" w:cs="Times New Roman"/>
                <w:b/>
                <w:sz w:val="28"/>
                <w:szCs w:val="28"/>
              </w:rPr>
              <w:t>制</w:t>
            </w:r>
          </w:p>
          <w:p w14:paraId="34368ED2">
            <w:pPr>
              <w:spacing w:line="400" w:lineRule="exact"/>
              <w:rPr>
                <w:rFonts w:ascii="Times New Roman" w:hAnsi="Times New Roman" w:eastAsia="宋体" w:cs="Times New Roman"/>
                <w:b/>
                <w:sz w:val="28"/>
                <w:szCs w:val="28"/>
              </w:rPr>
            </w:pPr>
            <w:r>
              <w:rPr>
                <w:rFonts w:ascii="Times New Roman" w:hAnsi="Times New Roman" w:eastAsia="宋体" w:cs="Times New Roman"/>
                <w:b/>
                <w:sz w:val="28"/>
                <w:szCs w:val="28"/>
              </w:rPr>
              <w:t>指</w:t>
            </w:r>
          </w:p>
          <w:p w14:paraId="2C11E4D5">
            <w:pPr>
              <w:spacing w:line="400" w:lineRule="exact"/>
              <w:rPr>
                <w:rFonts w:ascii="Times New Roman" w:hAnsi="Times New Roman" w:eastAsia="宋体" w:cs="Times New Roman"/>
                <w:sz w:val="24"/>
              </w:rPr>
            </w:pPr>
            <w:r>
              <w:rPr>
                <w:rFonts w:ascii="Times New Roman" w:hAnsi="Times New Roman" w:eastAsia="宋体" w:cs="Times New Roman"/>
                <w:b/>
                <w:sz w:val="28"/>
                <w:szCs w:val="28"/>
              </w:rPr>
              <w:t>标</w:t>
            </w:r>
          </w:p>
        </w:tc>
        <w:tc>
          <w:tcPr>
            <w:tcW w:w="8541" w:type="dxa"/>
          </w:tcPr>
          <w:p w14:paraId="4584915A">
            <w:pPr>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根据本项目的具体情况，结合国家污染物排放总量控制原则，项目无生产废水外排，生活污水</w:t>
            </w:r>
            <w:r>
              <w:rPr>
                <w:rFonts w:hint="eastAsia" w:ascii="Times New Roman" w:hAnsi="Times New Roman" w:eastAsia="宋体" w:cs="Times New Roman"/>
                <w:bCs/>
                <w:sz w:val="24"/>
              </w:rPr>
              <w:t>利用</w:t>
            </w:r>
            <w:r>
              <w:rPr>
                <w:rFonts w:hint="eastAsia" w:ascii="Times New Roman" w:hAnsi="Times New Roman" w:eastAsia="宋体" w:cs="Times New Roman"/>
                <w:sz w:val="24"/>
                <w:szCs w:val="24"/>
              </w:rPr>
              <w:t>二级生化处理设施</w:t>
            </w:r>
            <w:r>
              <w:rPr>
                <w:rFonts w:ascii="Times New Roman" w:hAnsi="Times New Roman" w:eastAsia="宋体" w:cs="Times New Roman"/>
                <w:sz w:val="24"/>
              </w:rPr>
              <w:t>收集处理后</w:t>
            </w:r>
            <w:r>
              <w:rPr>
                <w:rFonts w:hint="eastAsia" w:ascii="Times New Roman" w:hAnsi="Times New Roman" w:eastAsia="宋体" w:cs="Times New Roman"/>
                <w:sz w:val="24"/>
              </w:rPr>
              <w:t>回用农灌处理</w:t>
            </w:r>
            <w:r>
              <w:rPr>
                <w:rFonts w:ascii="Times New Roman" w:hAnsi="Times New Roman" w:eastAsia="宋体" w:cs="Times New Roman"/>
                <w:sz w:val="24"/>
              </w:rPr>
              <w:t>；</w:t>
            </w:r>
            <w:r>
              <w:rPr>
                <w:rFonts w:hint="eastAsia" w:ascii="Times New Roman" w:hAnsi="Times New Roman" w:eastAsia="宋体" w:cs="Times New Roman"/>
                <w:sz w:val="24"/>
              </w:rPr>
              <w:t>同时，</w:t>
            </w:r>
            <w:r>
              <w:rPr>
                <w:rFonts w:hint="eastAsia" w:ascii="Times New Roman" w:hAnsi="Times New Roman" w:eastAsia="宋体" w:cs="Times New Roman"/>
                <w:b/>
                <w:sz w:val="24"/>
              </w:rPr>
              <w:t>根据《固定污染源排污许可分类管理名录（2</w:t>
            </w:r>
            <w:r>
              <w:rPr>
                <w:rFonts w:ascii="Times New Roman" w:hAnsi="Times New Roman" w:eastAsia="宋体" w:cs="Times New Roman"/>
                <w:b/>
                <w:sz w:val="24"/>
              </w:rPr>
              <w:t>019</w:t>
            </w:r>
            <w:r>
              <w:rPr>
                <w:rFonts w:hint="eastAsia" w:ascii="Times New Roman" w:hAnsi="Times New Roman" w:eastAsia="宋体" w:cs="Times New Roman"/>
                <w:b/>
                <w:sz w:val="24"/>
              </w:rPr>
              <w:t>年版）》，本项目属于“三十七、废弃资源综合利用业</w:t>
            </w:r>
            <w:r>
              <w:rPr>
                <w:rFonts w:ascii="Times New Roman" w:hAnsi="Times New Roman" w:eastAsia="宋体" w:cs="Times New Roman"/>
                <w:b/>
                <w:sz w:val="24"/>
              </w:rPr>
              <w:t xml:space="preserve">  </w:t>
            </w:r>
            <w:r>
              <w:rPr>
                <w:rFonts w:hint="eastAsia" w:ascii="Times New Roman" w:hAnsi="Times New Roman" w:eastAsia="宋体" w:cs="Times New Roman"/>
                <w:b/>
                <w:sz w:val="24"/>
              </w:rPr>
              <w:t>非金属废料和碎屑加工处理”为登记管理类项目，不核发总量</w:t>
            </w:r>
            <w:r>
              <w:rPr>
                <w:rFonts w:ascii="Times New Roman" w:hAnsi="Times New Roman" w:eastAsia="宋体" w:cs="Times New Roman"/>
                <w:bCs/>
                <w:sz w:val="24"/>
              </w:rPr>
              <w:t>。</w:t>
            </w:r>
          </w:p>
          <w:p w14:paraId="09C8F899">
            <w:pPr>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上述指标仅供环保管理部门在制定区域总量控制计划时参考。</w:t>
            </w:r>
          </w:p>
          <w:p w14:paraId="7DF5C352">
            <w:pPr>
              <w:spacing w:line="480" w:lineRule="exact"/>
              <w:ind w:firstLine="480" w:firstLineChars="200"/>
              <w:rPr>
                <w:rFonts w:ascii="Times New Roman" w:hAnsi="Times New Roman" w:eastAsia="宋体" w:cs="Times New Roman"/>
                <w:bCs/>
                <w:sz w:val="24"/>
              </w:rPr>
            </w:pPr>
          </w:p>
          <w:p w14:paraId="58531467">
            <w:pPr>
              <w:spacing w:line="480" w:lineRule="exact"/>
              <w:ind w:firstLine="480" w:firstLineChars="200"/>
              <w:rPr>
                <w:rFonts w:ascii="Times New Roman" w:hAnsi="Times New Roman" w:eastAsia="宋体" w:cs="Times New Roman"/>
                <w:bCs/>
                <w:sz w:val="24"/>
              </w:rPr>
            </w:pPr>
          </w:p>
          <w:p w14:paraId="064297C0">
            <w:pPr>
              <w:spacing w:line="480" w:lineRule="exact"/>
              <w:ind w:firstLine="480" w:firstLineChars="200"/>
              <w:rPr>
                <w:rFonts w:ascii="Times New Roman" w:hAnsi="Times New Roman" w:eastAsia="宋体" w:cs="Times New Roman"/>
                <w:bCs/>
                <w:sz w:val="24"/>
              </w:rPr>
            </w:pPr>
          </w:p>
          <w:p w14:paraId="43C45C8B">
            <w:pPr>
              <w:spacing w:line="480" w:lineRule="exact"/>
              <w:ind w:firstLine="480" w:firstLineChars="200"/>
              <w:rPr>
                <w:rFonts w:ascii="Times New Roman" w:hAnsi="Times New Roman" w:eastAsia="宋体" w:cs="Times New Roman"/>
                <w:bCs/>
                <w:sz w:val="24"/>
              </w:rPr>
            </w:pPr>
          </w:p>
        </w:tc>
      </w:tr>
    </w:tbl>
    <w:p w14:paraId="12F0D613">
      <w:pPr>
        <w:outlineLvl w:val="0"/>
        <w:rPr>
          <w:rFonts w:ascii="Times New Roman" w:hAnsi="Times New Roman" w:eastAsia="宋体" w:cs="Times New Roman"/>
          <w:b/>
          <w:sz w:val="30"/>
          <w:szCs w:val="30"/>
        </w:rPr>
        <w:sectPr>
          <w:footerReference r:id="rId6" w:type="default"/>
          <w:pgSz w:w="11906" w:h="16838"/>
          <w:pgMar w:top="1814" w:right="1474" w:bottom="1474" w:left="1474" w:header="851" w:footer="958" w:gutter="0"/>
          <w:pgNumType w:start="1"/>
          <w:cols w:space="720" w:num="1"/>
          <w:docGrid w:linePitch="312" w:charSpace="0"/>
        </w:sectPr>
      </w:pPr>
    </w:p>
    <w:p w14:paraId="1CB4F73E">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t>建设项目工程分析（表五）</w:t>
      </w:r>
    </w:p>
    <w:tbl>
      <w:tblPr>
        <w:tblStyle w:val="26"/>
        <w:tblW w:w="8528"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8528"/>
      </w:tblGrid>
      <w:tr w14:paraId="61FB7C5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8528" w:type="dxa"/>
            <w:tcBorders>
              <w:top w:val="single" w:color="auto" w:sz="4" w:space="0"/>
              <w:bottom w:val="single" w:color="auto" w:sz="4" w:space="0"/>
            </w:tcBorders>
          </w:tcPr>
          <w:p w14:paraId="657DCA02">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一、工艺流程简述（图示）</w:t>
            </w:r>
          </w:p>
          <w:p w14:paraId="25BB8951">
            <w:pPr>
              <w:spacing w:line="276"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（一）施工期</w:t>
            </w:r>
          </w:p>
          <w:p w14:paraId="268FB30E">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本项目利用现有平整场地进行改扩建。施工期主要为厂房的建设、生产设备的安装、环保设施的安装，</w:t>
            </w:r>
            <w:r>
              <w:rPr>
                <w:rFonts w:ascii="Times New Roman" w:hAnsi="Times New Roman" w:eastAsia="宋体" w:cs="Times New Roman"/>
                <w:bCs/>
                <w:sz w:val="24"/>
                <w:szCs w:val="24"/>
              </w:rPr>
              <w:t>不修建永久建筑物，</w:t>
            </w:r>
            <w:r>
              <w:rPr>
                <w:rFonts w:ascii="Times New Roman" w:hAnsi="Times New Roman" w:eastAsia="宋体" w:cs="Times New Roman"/>
                <w:sz w:val="24"/>
              </w:rPr>
              <w:t>不涉及大规模建筑施工过程。由于施工期较短，对周边环境影响较小。项目施工基本工艺流程及产污情况详见图5-1。</w:t>
            </w:r>
          </w:p>
          <w:p w14:paraId="71D4F6A0">
            <w:pPr>
              <w:spacing w:line="360" w:lineRule="auto"/>
              <w:ind w:firstLine="420" w:firstLineChars="200"/>
              <w:jc w:val="center"/>
              <w:rPr>
                <w:rFonts w:ascii="Times New Roman" w:hAnsi="Times New Roman" w:eastAsia="宋体" w:cs="Times New Roman"/>
                <w:sz w:val="24"/>
              </w:rPr>
            </w:pPr>
            <w:r>
              <w:rPr>
                <w:rFonts w:ascii="Times New Roman" w:hAnsi="Times New Roman" w:eastAsia="宋体" w:cs="Times New Roman"/>
              </w:rPr>
              <w:object>
                <v:shape id="_x0000_i1025" o:spt="75" type="#_x0000_t75" style="height:155.25pt;width:330pt;" o:ole="t" filled="f" o:preferrelative="t" stroked="f" coordsize="21600,21600">
                  <v:path/>
                  <v:fill on="f" focussize="0,0"/>
                  <v:stroke on="f" joinstyle="miter"/>
                  <v:imagedata r:id="rId12" o:title=""/>
                  <o:lock v:ext="edit" aspectratio="t"/>
                  <w10:wrap type="none"/>
                  <w10:anchorlock/>
                </v:shape>
                <o:OLEObject Type="Embed" ProgID="Visio.Drawing.11" ShapeID="_x0000_i1025" DrawAspect="Content" ObjectID="_1468075725" r:id="rId11">
                  <o:LockedField>false</o:LockedField>
                </o:OLEObject>
              </w:object>
            </w:r>
          </w:p>
          <w:p w14:paraId="12065077">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（二）运营期</w:t>
            </w:r>
          </w:p>
          <w:p w14:paraId="5B00C308">
            <w:pPr>
              <w:spacing w:line="360" w:lineRule="auto"/>
              <w:ind w:firstLine="422" w:firstLineChars="176"/>
              <w:rPr>
                <w:rFonts w:ascii="Times New Roman" w:hAnsi="Times New Roman" w:eastAsia="宋体" w:cs="Times New Roman"/>
                <w:sz w:val="24"/>
              </w:rPr>
            </w:pPr>
            <w:r>
              <w:rPr>
                <w:rFonts w:ascii="Times New Roman" w:hAnsi="Times New Roman" w:eastAsia="宋体" w:cs="Times New Roman"/>
                <w:sz w:val="24"/>
              </w:rPr>
              <w:t>本项目为</w:t>
            </w:r>
            <w:r>
              <w:rPr>
                <w:rFonts w:hint="eastAsia" w:ascii="Times New Roman" w:hAnsi="Times New Roman" w:eastAsia="宋体" w:cs="Times New Roman"/>
                <w:sz w:val="24"/>
                <w:szCs w:val="24"/>
              </w:rPr>
              <w:t>非金属废料和碎屑加工处理</w:t>
            </w:r>
            <w:r>
              <w:rPr>
                <w:rFonts w:ascii="Times New Roman" w:hAnsi="Times New Roman" w:eastAsia="宋体" w:cs="Times New Roman"/>
                <w:sz w:val="24"/>
              </w:rPr>
              <w:t>项目，产品为</w:t>
            </w:r>
            <w:r>
              <w:rPr>
                <w:rFonts w:hint="eastAsia" w:ascii="Times New Roman" w:hAnsi="Times New Roman" w:eastAsia="宋体" w:cs="Times New Roman"/>
                <w:sz w:val="24"/>
              </w:rPr>
              <w:t>建筑垃圾骨料</w:t>
            </w:r>
            <w:r>
              <w:rPr>
                <w:rFonts w:ascii="Times New Roman" w:hAnsi="Times New Roman" w:eastAsia="宋体" w:cs="Times New Roman"/>
                <w:sz w:val="24"/>
              </w:rPr>
              <w:t>，加工能力为20万t/a。本项目生产工艺流程简述如下：营运期生产工艺流程及污染物产生环节见下图5-2。</w:t>
            </w:r>
          </w:p>
          <w:p w14:paraId="7BD63C0C">
            <w:pPr>
              <w:spacing w:line="360" w:lineRule="auto"/>
              <w:ind w:firstLine="482" w:firstLineChars="200"/>
              <w:rPr>
                <w:rFonts w:ascii="Times New Roman" w:hAnsi="Times New Roman" w:eastAsia="宋体" w:cs="Times New Roman"/>
                <w:b/>
                <w:bCs/>
                <w:sz w:val="24"/>
              </w:rPr>
            </w:pPr>
            <w:r>
              <w:rPr>
                <w:rFonts w:hint="eastAsia" w:ascii="Times New Roman" w:hAnsi="Times New Roman" w:eastAsia="宋体" w:cs="Times New Roman"/>
                <w:b/>
                <w:bCs/>
                <w:sz w:val="24"/>
              </w:rPr>
              <w:t>工艺流程简述：</w:t>
            </w:r>
          </w:p>
          <w:p w14:paraId="64CA83BB">
            <w:pPr>
              <w:spacing w:line="360" w:lineRule="auto"/>
              <w:ind w:firstLine="482" w:firstLineChars="200"/>
              <w:rPr>
                <w:rFonts w:ascii="Times New Roman" w:hAnsi="Times New Roman" w:eastAsia="宋体" w:cs="Times New Roman"/>
                <w:sz w:val="24"/>
              </w:rPr>
            </w:pPr>
            <w:r>
              <w:rPr>
                <w:rFonts w:hint="eastAsia" w:ascii="Times New Roman" w:hAnsi="Times New Roman" w:eastAsia="宋体" w:cs="Times New Roman"/>
                <w:b/>
                <w:bCs/>
                <w:sz w:val="24"/>
              </w:rPr>
              <w:t>垃圾分类：</w:t>
            </w:r>
            <w:r>
              <w:rPr>
                <w:rFonts w:hint="eastAsia" w:ascii="Times New Roman" w:hAnsi="Times New Roman" w:eastAsia="宋体" w:cs="Times New Roman"/>
                <w:sz w:val="24"/>
              </w:rPr>
              <w:t>通过人工清分的方法将建筑垃圾中的木头等杂物清分出来，作为一般工业固废处理。</w:t>
            </w:r>
          </w:p>
          <w:p w14:paraId="482C8203">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此过程会产生固体废物。</w:t>
            </w:r>
          </w:p>
          <w:p w14:paraId="6E848833">
            <w:pPr>
              <w:spacing w:line="360" w:lineRule="auto"/>
              <w:ind w:firstLine="482" w:firstLineChars="200"/>
              <w:rPr>
                <w:rFonts w:ascii="Times New Roman" w:hAnsi="Times New Roman" w:eastAsia="宋体" w:cs="Times New Roman"/>
                <w:sz w:val="24"/>
              </w:rPr>
            </w:pPr>
            <w:r>
              <w:rPr>
                <w:rFonts w:hint="eastAsia" w:ascii="Times New Roman" w:hAnsi="Times New Roman" w:eastAsia="宋体" w:cs="Times New Roman"/>
                <w:b/>
                <w:bCs/>
                <w:sz w:val="24"/>
              </w:rPr>
              <w:t>给料：</w:t>
            </w:r>
            <w:r>
              <w:rPr>
                <w:rFonts w:hint="eastAsia" w:ascii="Times New Roman" w:hAnsi="Times New Roman" w:eastAsia="宋体" w:cs="Times New Roman"/>
                <w:sz w:val="24"/>
              </w:rPr>
              <w:t>原料由装载机直接送到料仓，由料仓进入振动给料机，由给料机将物料均匀送入破碎机中；过程中喷水降尘。</w:t>
            </w:r>
          </w:p>
          <w:p w14:paraId="6D6A07EF">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此过程会产生废水、粉尘、噪声。</w:t>
            </w:r>
          </w:p>
          <w:p w14:paraId="17BF3BF6">
            <w:pPr>
              <w:spacing w:line="360" w:lineRule="auto"/>
              <w:ind w:firstLine="482" w:firstLineChars="200"/>
              <w:rPr>
                <w:rFonts w:ascii="Times New Roman" w:hAnsi="Times New Roman" w:eastAsia="宋体" w:cs="Times New Roman"/>
                <w:sz w:val="24"/>
              </w:rPr>
            </w:pPr>
            <w:r>
              <w:rPr>
                <w:rFonts w:hint="eastAsia" w:ascii="Times New Roman" w:hAnsi="Times New Roman" w:eastAsia="宋体" w:cs="Times New Roman"/>
                <w:b/>
                <w:bCs/>
                <w:sz w:val="24"/>
              </w:rPr>
              <w:t>破碎：</w:t>
            </w:r>
            <w:r>
              <w:rPr>
                <w:rFonts w:hint="eastAsia" w:ascii="Times New Roman" w:hAnsi="Times New Roman" w:eastAsia="宋体" w:cs="Times New Roman"/>
                <w:sz w:val="24"/>
              </w:rPr>
              <w:t>物料由给料机送至颚式破碎机进行破碎，粉碎至平均粒径3mm以下。</w:t>
            </w:r>
          </w:p>
          <w:p w14:paraId="1E6C01A5">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此过程会产生废水、粉尘、噪声。</w:t>
            </w:r>
          </w:p>
          <w:p w14:paraId="3087D00A">
            <w:pPr>
              <w:spacing w:line="360" w:lineRule="auto"/>
              <w:ind w:firstLine="424" w:firstLineChars="176"/>
              <w:rPr>
                <w:rFonts w:ascii="Times New Roman" w:hAnsi="Times New Roman" w:eastAsia="宋体" w:cs="Times New Roman"/>
                <w:sz w:val="24"/>
              </w:rPr>
            </w:pPr>
            <w:r>
              <w:rPr>
                <w:rFonts w:hint="eastAsia" w:ascii="Times New Roman" w:hAnsi="Times New Roman" w:eastAsia="宋体" w:cs="Times New Roman"/>
                <w:b/>
                <w:bCs/>
                <w:sz w:val="24"/>
              </w:rPr>
              <w:t>强磁除铁：</w:t>
            </w:r>
            <w:r>
              <w:rPr>
                <w:rFonts w:hint="eastAsia" w:ascii="Times New Roman" w:hAnsi="Times New Roman" w:eastAsia="宋体" w:cs="Times New Roman"/>
                <w:sz w:val="24"/>
              </w:rPr>
              <w:t>破碎后的物料经输送带输送，在输送过程中使用吸铁石对物料进行磁选，剔除其中的金属废料。</w:t>
            </w:r>
          </w:p>
          <w:p w14:paraId="6544D2D7">
            <w:pPr>
              <w:spacing w:line="360" w:lineRule="auto"/>
              <w:ind w:firstLine="422" w:firstLineChars="176"/>
              <w:rPr>
                <w:rFonts w:ascii="Times New Roman" w:hAnsi="Times New Roman" w:eastAsia="宋体" w:cs="Times New Roman"/>
                <w:sz w:val="24"/>
              </w:rPr>
            </w:pPr>
            <w:r>
              <w:rPr>
                <w:rFonts w:hint="eastAsia" w:ascii="Times New Roman" w:hAnsi="Times New Roman" w:eastAsia="宋体" w:cs="Times New Roman"/>
                <w:sz w:val="24"/>
              </w:rPr>
              <w:t>此过程会产生噪声、粉尘、固废、废水。</w:t>
            </w:r>
          </w:p>
          <w:p w14:paraId="1C597FB0">
            <w:pPr>
              <w:spacing w:line="360" w:lineRule="auto"/>
              <w:ind w:firstLine="424" w:firstLineChars="176"/>
              <w:rPr>
                <w:rFonts w:ascii="Times New Roman" w:hAnsi="Times New Roman" w:eastAsia="宋体" w:cs="Times New Roman"/>
                <w:sz w:val="24"/>
              </w:rPr>
            </w:pPr>
            <w:r>
              <w:rPr>
                <w:rFonts w:hint="eastAsia" w:ascii="Times New Roman" w:hAnsi="Times New Roman" w:eastAsia="宋体" w:cs="Times New Roman"/>
                <w:b/>
                <w:bCs/>
                <w:sz w:val="24"/>
              </w:rPr>
              <w:t>筛分：</w:t>
            </w:r>
            <w:r>
              <w:rPr>
                <w:rFonts w:hint="eastAsia" w:ascii="Times New Roman" w:hAnsi="Times New Roman" w:eastAsia="宋体" w:cs="Times New Roman"/>
                <w:sz w:val="24"/>
              </w:rPr>
              <w:t>破碎后的物料经高效振动筛筛分成3种规格：0</w:t>
            </w:r>
            <w:r>
              <w:rPr>
                <w:rFonts w:ascii="Times New Roman" w:hAnsi="Times New Roman" w:eastAsia="宋体" w:cs="Times New Roman"/>
                <w:sz w:val="24"/>
              </w:rPr>
              <w:t>.5</w:t>
            </w:r>
            <w:r>
              <w:rPr>
                <w:rFonts w:hint="eastAsia" w:ascii="Times New Roman" w:hAnsi="Times New Roman" w:eastAsia="宋体" w:cs="Times New Roman"/>
                <w:sz w:val="24"/>
              </w:rPr>
              <w:t>mm、1</w:t>
            </w:r>
            <w:r>
              <w:rPr>
                <w:rFonts w:ascii="Times New Roman" w:hAnsi="Times New Roman" w:eastAsia="宋体" w:cs="Times New Roman"/>
                <w:sz w:val="24"/>
              </w:rPr>
              <w:t>2</w:t>
            </w:r>
            <w:r>
              <w:rPr>
                <w:rFonts w:hint="eastAsia" w:ascii="Times New Roman" w:hAnsi="Times New Roman" w:eastAsia="宋体" w:cs="Times New Roman"/>
                <w:sz w:val="24"/>
              </w:rPr>
              <w:t>mm和2</w:t>
            </w:r>
            <w:r>
              <w:rPr>
                <w:rFonts w:ascii="Times New Roman" w:hAnsi="Times New Roman" w:eastAsia="宋体" w:cs="Times New Roman"/>
                <w:sz w:val="24"/>
              </w:rPr>
              <w:t>.4</w:t>
            </w:r>
            <w:r>
              <w:rPr>
                <w:rFonts w:hint="eastAsia" w:ascii="Times New Roman" w:hAnsi="Times New Roman" w:eastAsia="宋体" w:cs="Times New Roman"/>
                <w:sz w:val="24"/>
              </w:rPr>
              <w:t>mm。</w:t>
            </w:r>
          </w:p>
          <w:p w14:paraId="308446E6">
            <w:pPr>
              <w:spacing w:line="360" w:lineRule="auto"/>
              <w:ind w:firstLine="422" w:firstLineChars="176"/>
              <w:rPr>
                <w:rFonts w:ascii="Times New Roman" w:hAnsi="Times New Roman" w:eastAsia="宋体" w:cs="Times New Roman"/>
                <w:sz w:val="24"/>
              </w:rPr>
            </w:pPr>
            <w:r>
              <w:rPr>
                <w:rFonts w:hint="eastAsia" w:ascii="Times New Roman" w:hAnsi="Times New Roman" w:eastAsia="宋体" w:cs="Times New Roman"/>
                <w:sz w:val="24"/>
              </w:rPr>
              <w:t>此过程会产生噪声、粉尘、废水。</w:t>
            </w:r>
          </w:p>
          <w:p w14:paraId="5DA0B5BA">
            <w:pPr>
              <w:spacing w:line="360" w:lineRule="auto"/>
              <w:ind w:firstLine="424" w:firstLineChars="176"/>
              <w:rPr>
                <w:rFonts w:ascii="Times New Roman" w:hAnsi="Times New Roman" w:eastAsia="宋体" w:cs="Times New Roman"/>
                <w:sz w:val="24"/>
              </w:rPr>
            </w:pPr>
            <w:r>
              <w:rPr>
                <w:rFonts w:hint="eastAsia" w:ascii="Times New Roman" w:hAnsi="Times New Roman" w:eastAsia="宋体" w:cs="Times New Roman"/>
                <w:b/>
                <w:bCs/>
                <w:sz w:val="24"/>
              </w:rPr>
              <w:t>制砂：</w:t>
            </w:r>
            <w:r>
              <w:rPr>
                <w:rFonts w:hint="eastAsia" w:ascii="Times New Roman" w:hAnsi="Times New Roman" w:eastAsia="宋体" w:cs="Times New Roman"/>
                <w:sz w:val="24"/>
              </w:rPr>
              <w:t>破碎筛分后的物料经制砂机将碎石物料制成砂石粒料。</w:t>
            </w:r>
          </w:p>
          <w:p w14:paraId="7968880B">
            <w:pPr>
              <w:spacing w:line="360" w:lineRule="auto"/>
              <w:ind w:firstLine="422" w:firstLineChars="176"/>
              <w:rPr>
                <w:rFonts w:ascii="Times New Roman" w:hAnsi="Times New Roman" w:eastAsia="宋体" w:cs="Times New Roman"/>
                <w:sz w:val="24"/>
              </w:rPr>
            </w:pPr>
            <w:r>
              <w:rPr>
                <w:rFonts w:hint="eastAsia" w:ascii="Times New Roman" w:hAnsi="Times New Roman" w:eastAsia="宋体" w:cs="Times New Roman"/>
                <w:sz w:val="24"/>
              </w:rPr>
              <w:t>此过程会产生噪声、粉尘、废水。</w:t>
            </w:r>
          </w:p>
          <w:p w14:paraId="3A380848">
            <w:pPr>
              <w:spacing w:line="360" w:lineRule="auto"/>
              <w:jc w:val="center"/>
              <w:rPr>
                <w:rFonts w:ascii="Times New Roman" w:hAnsi="Times New Roman" w:eastAsia="宋体" w:cs="Times New Roman"/>
                <w:sz w:val="24"/>
              </w:rPr>
            </w:pPr>
            <w:r>
              <w:object>
                <v:shape id="_x0000_i1026" o:spt="75" type="#_x0000_t75" style="height:357pt;width:302.25pt;" o:ole="t" filled="f" o:preferrelative="t" stroked="f" coordsize="21600,21600">
                  <v:path/>
                  <v:fill on="f" focussize="0,0"/>
                  <v:stroke on="f" joinstyle="miter"/>
                  <v:imagedata r:id="rId14" o:title=""/>
                  <o:lock v:ext="edit" aspectratio="t"/>
                  <w10:wrap type="none"/>
                  <w10:anchorlock/>
                </v:shape>
                <o:OLEObject Type="Embed" ProgID="Visio.Drawing.15" ShapeID="_x0000_i1026" DrawAspect="Content" ObjectID="_1468075726" r:id="rId13">
                  <o:LockedField>false</o:LockedField>
                </o:OLEObject>
              </w:object>
            </w:r>
          </w:p>
          <w:p w14:paraId="12A2766B">
            <w:pPr>
              <w:spacing w:line="360" w:lineRule="auto"/>
              <w:ind w:firstLine="422" w:firstLineChars="176"/>
              <w:jc w:val="center"/>
              <w:rPr>
                <w:rFonts w:ascii="Times New Roman" w:hAnsi="Times New Roman" w:eastAsia="宋体" w:cs="Times New Roman"/>
                <w:b/>
                <w:sz w:val="24"/>
              </w:rPr>
            </w:pPr>
            <w:r>
              <w:rPr>
                <w:rFonts w:ascii="Times New Roman" w:hAnsi="Times New Roman" w:eastAsia="宋体" w:cs="Times New Roman"/>
                <w:sz w:val="24"/>
                <w:szCs w:val="24"/>
              </w:rPr>
              <w:t>图5-2 项目生产工艺流程及产污节点图</w:t>
            </w:r>
          </w:p>
          <w:p w14:paraId="7DA5AC8D">
            <w:pPr>
              <w:spacing w:line="360" w:lineRule="auto"/>
              <w:rPr>
                <w:rFonts w:ascii="Times New Roman" w:hAnsi="Times New Roman" w:eastAsia="宋体" w:cs="Times New Roman"/>
                <w:b/>
                <w:sz w:val="28"/>
                <w:szCs w:val="28"/>
              </w:rPr>
            </w:pPr>
            <w:r>
              <w:rPr>
                <w:rFonts w:ascii="Times New Roman" w:hAnsi="Times New Roman" w:eastAsia="宋体" w:cs="Times New Roman"/>
                <w:b/>
                <w:sz w:val="28"/>
                <w:szCs w:val="28"/>
              </w:rPr>
              <w:t>二、主要污染工序</w:t>
            </w:r>
          </w:p>
          <w:p w14:paraId="57D99A94">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本工程建设施工期和营运期主要产污工序分述如下：</w:t>
            </w:r>
          </w:p>
          <w:p w14:paraId="520BF542">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（一）施工期</w:t>
            </w:r>
          </w:p>
          <w:p w14:paraId="2FCCC87C">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施工期污染工序主要为扬尘、施工机械废气、噪声、固废等。施工期主要包括</w:t>
            </w:r>
            <w:r>
              <w:rPr>
                <w:rFonts w:hint="eastAsia" w:ascii="Times New Roman" w:hAnsi="Times New Roman" w:eastAsia="宋体" w:cs="Times New Roman"/>
                <w:sz w:val="24"/>
                <w:szCs w:val="24"/>
              </w:rPr>
              <w:t>工程施工、</w:t>
            </w:r>
            <w:r>
              <w:rPr>
                <w:rFonts w:ascii="Times New Roman" w:hAnsi="Times New Roman" w:eastAsia="宋体" w:cs="Times New Roman"/>
                <w:sz w:val="24"/>
                <w:szCs w:val="24"/>
              </w:rPr>
              <w:t>装修工程、设备安装、工程验收等，施工期产生的污染物主要为：</w:t>
            </w:r>
          </w:p>
          <w:p w14:paraId="5E33F8EA">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施工废水：主要为施工人员生活污水和生产废水。</w:t>
            </w:r>
          </w:p>
          <w:p w14:paraId="0AE107DF">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施工废气：主要有施工扬尘、汽车、机械设备尾气等。</w:t>
            </w:r>
          </w:p>
          <w:p w14:paraId="75F7A7D6">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施工噪声：主要来源于施工现场各类机械设备和物料运输车辆的噪声。</w:t>
            </w:r>
          </w:p>
          <w:p w14:paraId="38EEB4EE">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施工固废：施工固废主要为建筑垃圾、生活垃圾等。</w:t>
            </w:r>
          </w:p>
          <w:p w14:paraId="389FCF6D">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（二）运营期</w:t>
            </w:r>
          </w:p>
          <w:p w14:paraId="65E54E94">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结合项目原辅料用量和生产工艺，本项目生产过程中主要污染因子如下表所示：</w:t>
            </w:r>
          </w:p>
          <w:p w14:paraId="290476A2">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表5-1  污染因子分析表</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94"/>
              <w:gridCol w:w="2546"/>
              <w:gridCol w:w="4742"/>
            </w:tblGrid>
            <w:tr w14:paraId="0D4714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Align w:val="center"/>
                </w:tcPr>
                <w:p w14:paraId="2B47E9CA">
                  <w:pPr>
                    <w:jc w:val="center"/>
                    <w:rPr>
                      <w:rFonts w:ascii="Times New Roman" w:hAnsi="Times New Roman" w:eastAsia="宋体" w:cs="Times New Roman"/>
                      <w:szCs w:val="21"/>
                    </w:rPr>
                  </w:pPr>
                  <w:r>
                    <w:rPr>
                      <w:rFonts w:ascii="Times New Roman" w:hAnsi="Times New Roman" w:eastAsia="宋体" w:cs="Times New Roman"/>
                      <w:szCs w:val="21"/>
                    </w:rPr>
                    <w:t>项目</w:t>
                  </w:r>
                </w:p>
              </w:tc>
              <w:tc>
                <w:tcPr>
                  <w:tcW w:w="1537" w:type="pct"/>
                  <w:vAlign w:val="center"/>
                </w:tcPr>
                <w:p w14:paraId="00E0A20F">
                  <w:pPr>
                    <w:jc w:val="center"/>
                    <w:rPr>
                      <w:rFonts w:ascii="Times New Roman" w:hAnsi="Times New Roman" w:eastAsia="宋体" w:cs="Times New Roman"/>
                      <w:szCs w:val="21"/>
                    </w:rPr>
                  </w:pPr>
                  <w:r>
                    <w:rPr>
                      <w:rFonts w:ascii="Times New Roman" w:hAnsi="Times New Roman" w:eastAsia="宋体" w:cs="Times New Roman"/>
                      <w:szCs w:val="21"/>
                    </w:rPr>
                    <w:t>污染工序</w:t>
                  </w:r>
                </w:p>
              </w:tc>
              <w:tc>
                <w:tcPr>
                  <w:tcW w:w="2863" w:type="pct"/>
                  <w:vAlign w:val="center"/>
                </w:tcPr>
                <w:p w14:paraId="44B5CB5A">
                  <w:pPr>
                    <w:jc w:val="center"/>
                    <w:rPr>
                      <w:rFonts w:ascii="Times New Roman" w:hAnsi="Times New Roman" w:eastAsia="宋体" w:cs="Times New Roman"/>
                      <w:szCs w:val="21"/>
                    </w:rPr>
                  </w:pPr>
                  <w:r>
                    <w:rPr>
                      <w:rFonts w:ascii="Times New Roman" w:hAnsi="Times New Roman" w:eastAsia="宋体" w:cs="Times New Roman"/>
                      <w:szCs w:val="21"/>
                    </w:rPr>
                    <w:t>污染因子</w:t>
                  </w:r>
                </w:p>
              </w:tc>
            </w:tr>
            <w:tr w14:paraId="7A772A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restart"/>
                  <w:vAlign w:val="center"/>
                </w:tcPr>
                <w:p w14:paraId="7AE9C7B6">
                  <w:pPr>
                    <w:jc w:val="center"/>
                    <w:rPr>
                      <w:rFonts w:ascii="Times New Roman" w:hAnsi="Times New Roman" w:eastAsia="宋体" w:cs="Times New Roman"/>
                      <w:szCs w:val="21"/>
                    </w:rPr>
                  </w:pPr>
                  <w:r>
                    <w:rPr>
                      <w:rFonts w:ascii="Times New Roman" w:hAnsi="Times New Roman" w:eastAsia="宋体" w:cs="Times New Roman"/>
                      <w:szCs w:val="21"/>
                    </w:rPr>
                    <w:t>废气</w:t>
                  </w:r>
                </w:p>
              </w:tc>
              <w:tc>
                <w:tcPr>
                  <w:tcW w:w="1537" w:type="pct"/>
                  <w:vAlign w:val="center"/>
                </w:tcPr>
                <w:p w14:paraId="759F9C2E">
                  <w:pPr>
                    <w:jc w:val="center"/>
                    <w:rPr>
                      <w:rFonts w:ascii="Times New Roman" w:hAnsi="Times New Roman" w:eastAsia="宋体" w:cs="Times New Roman"/>
                      <w:szCs w:val="21"/>
                    </w:rPr>
                  </w:pPr>
                  <w:r>
                    <w:rPr>
                      <w:rFonts w:ascii="Times New Roman" w:hAnsi="Times New Roman" w:eastAsia="宋体" w:cs="Times New Roman"/>
                      <w:szCs w:val="21"/>
                    </w:rPr>
                    <w:t>生产车间</w:t>
                  </w:r>
                </w:p>
              </w:tc>
              <w:tc>
                <w:tcPr>
                  <w:tcW w:w="2863" w:type="pct"/>
                  <w:vAlign w:val="center"/>
                </w:tcPr>
                <w:p w14:paraId="073795B6">
                  <w:pPr>
                    <w:jc w:val="center"/>
                    <w:rPr>
                      <w:rFonts w:ascii="Times New Roman" w:hAnsi="Times New Roman" w:eastAsia="宋体" w:cs="Times New Roman"/>
                      <w:szCs w:val="21"/>
                    </w:rPr>
                  </w:pPr>
                  <w:r>
                    <w:rPr>
                      <w:rFonts w:ascii="Times New Roman" w:hAnsi="Times New Roman" w:eastAsia="宋体" w:cs="Times New Roman"/>
                      <w:szCs w:val="21"/>
                    </w:rPr>
                    <w:t>粉尘</w:t>
                  </w:r>
                </w:p>
              </w:tc>
            </w:tr>
            <w:tr w14:paraId="40035A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continue"/>
                  <w:vAlign w:val="center"/>
                </w:tcPr>
                <w:p w14:paraId="48A56F79">
                  <w:pPr>
                    <w:jc w:val="center"/>
                    <w:rPr>
                      <w:rFonts w:ascii="Times New Roman" w:hAnsi="Times New Roman" w:eastAsia="宋体" w:cs="Times New Roman"/>
                      <w:szCs w:val="21"/>
                    </w:rPr>
                  </w:pPr>
                </w:p>
              </w:tc>
              <w:tc>
                <w:tcPr>
                  <w:tcW w:w="1537" w:type="pct"/>
                  <w:vAlign w:val="center"/>
                </w:tcPr>
                <w:p w14:paraId="0DB25731">
                  <w:pPr>
                    <w:jc w:val="center"/>
                    <w:rPr>
                      <w:rFonts w:ascii="Times New Roman" w:hAnsi="Times New Roman" w:eastAsia="宋体" w:cs="Times New Roman"/>
                      <w:szCs w:val="21"/>
                    </w:rPr>
                  </w:pPr>
                  <w:r>
                    <w:rPr>
                      <w:rFonts w:ascii="Times New Roman" w:hAnsi="Times New Roman" w:eastAsia="宋体" w:cs="Times New Roman"/>
                      <w:szCs w:val="21"/>
                    </w:rPr>
                    <w:t>机械转运</w:t>
                  </w:r>
                </w:p>
              </w:tc>
              <w:tc>
                <w:tcPr>
                  <w:tcW w:w="2863" w:type="pct"/>
                  <w:vAlign w:val="center"/>
                </w:tcPr>
                <w:p w14:paraId="0DC7AB4D">
                  <w:pPr>
                    <w:jc w:val="center"/>
                    <w:rPr>
                      <w:rFonts w:ascii="Times New Roman" w:hAnsi="Times New Roman" w:eastAsia="宋体" w:cs="Times New Roman"/>
                      <w:kern w:val="0"/>
                      <w:szCs w:val="21"/>
                    </w:rPr>
                  </w:pPr>
                  <w:r>
                    <w:rPr>
                      <w:rFonts w:hint="eastAsia" w:ascii="Times New Roman" w:hAnsi="Times New Roman" w:eastAsia="宋体" w:cs="Times New Roman"/>
                      <w:szCs w:val="21"/>
                    </w:rPr>
                    <w:t>汽车转运</w:t>
                  </w:r>
                  <w:r>
                    <w:rPr>
                      <w:rFonts w:ascii="Times New Roman" w:hAnsi="Times New Roman" w:eastAsia="宋体" w:cs="Times New Roman"/>
                      <w:szCs w:val="21"/>
                    </w:rPr>
                    <w:t>尾气</w:t>
                  </w:r>
                  <w:r>
                    <w:rPr>
                      <w:rFonts w:hint="eastAsia" w:ascii="Times New Roman" w:hAnsi="Times New Roman" w:eastAsia="宋体" w:cs="Times New Roman"/>
                      <w:szCs w:val="21"/>
                    </w:rPr>
                    <w:t>、机械废气</w:t>
                  </w:r>
                </w:p>
              </w:tc>
            </w:tr>
            <w:tr w14:paraId="3B528B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continue"/>
                  <w:vAlign w:val="center"/>
                </w:tcPr>
                <w:p w14:paraId="5BBF3C4B">
                  <w:pPr>
                    <w:jc w:val="center"/>
                    <w:rPr>
                      <w:rFonts w:ascii="Times New Roman" w:hAnsi="Times New Roman" w:eastAsia="宋体" w:cs="Times New Roman"/>
                      <w:szCs w:val="21"/>
                    </w:rPr>
                  </w:pPr>
                </w:p>
              </w:tc>
              <w:tc>
                <w:tcPr>
                  <w:tcW w:w="1537" w:type="pct"/>
                  <w:vAlign w:val="center"/>
                </w:tcPr>
                <w:p w14:paraId="5278F092">
                  <w:pPr>
                    <w:jc w:val="center"/>
                    <w:rPr>
                      <w:rFonts w:ascii="Times New Roman" w:hAnsi="Times New Roman" w:eastAsia="宋体" w:cs="Times New Roman"/>
                      <w:szCs w:val="21"/>
                    </w:rPr>
                  </w:pPr>
                  <w:r>
                    <w:rPr>
                      <w:rFonts w:hint="eastAsia" w:ascii="Times New Roman" w:hAnsi="Times New Roman" w:eastAsia="宋体" w:cs="Times New Roman"/>
                      <w:szCs w:val="21"/>
                    </w:rPr>
                    <w:t>装卸</w:t>
                  </w:r>
                </w:p>
              </w:tc>
              <w:tc>
                <w:tcPr>
                  <w:tcW w:w="2863" w:type="pct"/>
                  <w:vAlign w:val="center"/>
                </w:tcPr>
                <w:p w14:paraId="04B1FD64">
                  <w:pPr>
                    <w:jc w:val="center"/>
                    <w:rPr>
                      <w:rFonts w:ascii="Times New Roman" w:hAnsi="Times New Roman" w:eastAsia="宋体" w:cs="Times New Roman"/>
                      <w:szCs w:val="21"/>
                    </w:rPr>
                  </w:pPr>
                  <w:r>
                    <w:rPr>
                      <w:rFonts w:hint="eastAsia" w:ascii="Times New Roman" w:hAnsi="Times New Roman" w:eastAsia="宋体" w:cs="Times New Roman"/>
                      <w:szCs w:val="21"/>
                    </w:rPr>
                    <w:t>粉尘</w:t>
                  </w:r>
                </w:p>
              </w:tc>
            </w:tr>
            <w:tr w14:paraId="7F2831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restart"/>
                  <w:vAlign w:val="center"/>
                </w:tcPr>
                <w:p w14:paraId="68BD3F87">
                  <w:pPr>
                    <w:jc w:val="center"/>
                    <w:rPr>
                      <w:rFonts w:ascii="Times New Roman" w:hAnsi="Times New Roman" w:eastAsia="宋体" w:cs="Times New Roman"/>
                      <w:szCs w:val="21"/>
                    </w:rPr>
                  </w:pPr>
                  <w:r>
                    <w:rPr>
                      <w:rFonts w:ascii="Times New Roman" w:hAnsi="Times New Roman" w:eastAsia="宋体" w:cs="Times New Roman"/>
                      <w:szCs w:val="21"/>
                    </w:rPr>
                    <w:t>废水</w:t>
                  </w:r>
                </w:p>
              </w:tc>
              <w:tc>
                <w:tcPr>
                  <w:tcW w:w="1537" w:type="pct"/>
                  <w:vAlign w:val="center"/>
                </w:tcPr>
                <w:p w14:paraId="3F3AFC14">
                  <w:pPr>
                    <w:jc w:val="center"/>
                    <w:rPr>
                      <w:rFonts w:ascii="Times New Roman" w:hAnsi="Times New Roman" w:eastAsia="宋体" w:cs="Times New Roman"/>
                      <w:szCs w:val="21"/>
                    </w:rPr>
                  </w:pPr>
                  <w:r>
                    <w:rPr>
                      <w:rFonts w:ascii="Times New Roman" w:hAnsi="Times New Roman" w:eastAsia="宋体" w:cs="Times New Roman"/>
                      <w:szCs w:val="21"/>
                    </w:rPr>
                    <w:t>办公生活区等</w:t>
                  </w:r>
                </w:p>
              </w:tc>
              <w:tc>
                <w:tcPr>
                  <w:tcW w:w="2863" w:type="pct"/>
                  <w:vAlign w:val="center"/>
                </w:tcPr>
                <w:p w14:paraId="54E56388">
                  <w:pPr>
                    <w:jc w:val="center"/>
                    <w:rPr>
                      <w:rFonts w:ascii="Times New Roman" w:hAnsi="Times New Roman" w:eastAsia="宋体" w:cs="Times New Roman"/>
                      <w:szCs w:val="21"/>
                    </w:rPr>
                  </w:pPr>
                  <w:r>
                    <w:rPr>
                      <w:rFonts w:ascii="Times New Roman" w:hAnsi="Times New Roman" w:eastAsia="宋体" w:cs="Times New Roman"/>
                      <w:szCs w:val="21"/>
                    </w:rPr>
                    <w:t>员工生活污水</w:t>
                  </w:r>
                </w:p>
              </w:tc>
            </w:tr>
            <w:tr w14:paraId="0EF0E5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continue"/>
                  <w:vAlign w:val="center"/>
                </w:tcPr>
                <w:p w14:paraId="43F42E5F">
                  <w:pPr>
                    <w:jc w:val="center"/>
                    <w:rPr>
                      <w:rFonts w:ascii="Times New Roman" w:hAnsi="Times New Roman" w:eastAsia="宋体" w:cs="Times New Roman"/>
                      <w:szCs w:val="21"/>
                    </w:rPr>
                  </w:pPr>
                </w:p>
              </w:tc>
              <w:tc>
                <w:tcPr>
                  <w:tcW w:w="1537" w:type="pct"/>
                  <w:vAlign w:val="center"/>
                </w:tcPr>
                <w:p w14:paraId="09A3B8DF">
                  <w:pPr>
                    <w:jc w:val="center"/>
                    <w:rPr>
                      <w:rFonts w:ascii="Times New Roman" w:hAnsi="Times New Roman" w:eastAsia="宋体" w:cs="Times New Roman"/>
                      <w:szCs w:val="21"/>
                    </w:rPr>
                  </w:pPr>
                  <w:r>
                    <w:rPr>
                      <w:rFonts w:hint="eastAsia" w:ascii="Times New Roman" w:hAnsi="Times New Roman" w:eastAsia="宋体" w:cs="Times New Roman"/>
                      <w:szCs w:val="21"/>
                    </w:rPr>
                    <w:t>生产车间（沉淀池）</w:t>
                  </w:r>
                </w:p>
              </w:tc>
              <w:tc>
                <w:tcPr>
                  <w:tcW w:w="2863" w:type="pct"/>
                  <w:vAlign w:val="center"/>
                </w:tcPr>
                <w:p w14:paraId="68F80BFD">
                  <w:pPr>
                    <w:jc w:val="center"/>
                    <w:rPr>
                      <w:rFonts w:ascii="Times New Roman" w:hAnsi="Times New Roman" w:eastAsia="宋体" w:cs="Times New Roman"/>
                      <w:szCs w:val="21"/>
                    </w:rPr>
                  </w:pPr>
                  <w:r>
                    <w:rPr>
                      <w:rFonts w:hint="eastAsia" w:ascii="Times New Roman" w:hAnsi="Times New Roman" w:eastAsia="宋体" w:cs="Times New Roman"/>
                      <w:szCs w:val="21"/>
                    </w:rPr>
                    <w:t>生产废水</w:t>
                  </w:r>
                </w:p>
              </w:tc>
            </w:tr>
            <w:tr w14:paraId="1489F4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continue"/>
                  <w:vAlign w:val="center"/>
                </w:tcPr>
                <w:p w14:paraId="4AB314A3">
                  <w:pPr>
                    <w:jc w:val="center"/>
                    <w:rPr>
                      <w:rFonts w:ascii="Times New Roman" w:hAnsi="Times New Roman" w:eastAsia="宋体" w:cs="Times New Roman"/>
                      <w:szCs w:val="21"/>
                    </w:rPr>
                  </w:pPr>
                </w:p>
              </w:tc>
              <w:tc>
                <w:tcPr>
                  <w:tcW w:w="1537" w:type="pct"/>
                  <w:vAlign w:val="center"/>
                </w:tcPr>
                <w:p w14:paraId="532B9E3C">
                  <w:pPr>
                    <w:jc w:val="center"/>
                    <w:rPr>
                      <w:rFonts w:ascii="Times New Roman" w:hAnsi="Times New Roman" w:eastAsia="宋体" w:cs="Times New Roman"/>
                      <w:szCs w:val="21"/>
                    </w:rPr>
                  </w:pPr>
                  <w:r>
                    <w:rPr>
                      <w:rFonts w:hint="eastAsia" w:ascii="Times New Roman" w:hAnsi="Times New Roman" w:eastAsia="宋体" w:cs="Times New Roman"/>
                      <w:szCs w:val="21"/>
                    </w:rPr>
                    <w:t>喷雾降尘</w:t>
                  </w:r>
                </w:p>
              </w:tc>
              <w:tc>
                <w:tcPr>
                  <w:tcW w:w="2863" w:type="pct"/>
                  <w:vAlign w:val="center"/>
                </w:tcPr>
                <w:p w14:paraId="4B6248A6">
                  <w:pPr>
                    <w:jc w:val="center"/>
                    <w:rPr>
                      <w:rFonts w:ascii="Times New Roman" w:hAnsi="Times New Roman" w:eastAsia="宋体" w:cs="Times New Roman"/>
                      <w:szCs w:val="21"/>
                    </w:rPr>
                  </w:pPr>
                  <w:r>
                    <w:rPr>
                      <w:rFonts w:hint="eastAsia" w:ascii="Times New Roman" w:hAnsi="Times New Roman" w:eastAsia="宋体" w:cs="Times New Roman"/>
                      <w:szCs w:val="21"/>
                    </w:rPr>
                    <w:t>降尘废水</w:t>
                  </w:r>
                </w:p>
              </w:tc>
            </w:tr>
            <w:tr w14:paraId="271524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continue"/>
                  <w:vAlign w:val="center"/>
                </w:tcPr>
                <w:p w14:paraId="0B8416C9">
                  <w:pPr>
                    <w:jc w:val="center"/>
                    <w:rPr>
                      <w:rFonts w:ascii="Times New Roman" w:hAnsi="Times New Roman" w:eastAsia="宋体" w:cs="Times New Roman"/>
                      <w:szCs w:val="21"/>
                    </w:rPr>
                  </w:pPr>
                </w:p>
              </w:tc>
              <w:tc>
                <w:tcPr>
                  <w:tcW w:w="1537" w:type="pct"/>
                  <w:vAlign w:val="center"/>
                </w:tcPr>
                <w:p w14:paraId="656AD597">
                  <w:pPr>
                    <w:jc w:val="center"/>
                    <w:rPr>
                      <w:rFonts w:ascii="Times New Roman" w:hAnsi="Times New Roman" w:eastAsia="宋体" w:cs="Times New Roman"/>
                      <w:szCs w:val="21"/>
                    </w:rPr>
                  </w:pPr>
                  <w:r>
                    <w:rPr>
                      <w:rFonts w:hint="eastAsia" w:ascii="Times New Roman" w:hAnsi="Times New Roman" w:eastAsia="宋体" w:cs="Times New Roman"/>
                      <w:szCs w:val="21"/>
                    </w:rPr>
                    <w:t>轮胎冲洗池</w:t>
                  </w:r>
                </w:p>
              </w:tc>
              <w:tc>
                <w:tcPr>
                  <w:tcW w:w="2863" w:type="pct"/>
                  <w:vAlign w:val="center"/>
                </w:tcPr>
                <w:p w14:paraId="4E90E104">
                  <w:pPr>
                    <w:jc w:val="center"/>
                    <w:rPr>
                      <w:rFonts w:ascii="Times New Roman" w:hAnsi="Times New Roman" w:eastAsia="宋体" w:cs="Times New Roman"/>
                      <w:szCs w:val="21"/>
                    </w:rPr>
                  </w:pPr>
                  <w:r>
                    <w:rPr>
                      <w:rFonts w:hint="eastAsia" w:ascii="Times New Roman" w:hAnsi="Times New Roman" w:eastAsia="宋体" w:cs="Times New Roman"/>
                      <w:szCs w:val="21"/>
                    </w:rPr>
                    <w:t>轮胎冲洗废水</w:t>
                  </w:r>
                </w:p>
              </w:tc>
            </w:tr>
            <w:tr w14:paraId="14297F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Align w:val="center"/>
                </w:tcPr>
                <w:p w14:paraId="7118D3DE">
                  <w:pPr>
                    <w:jc w:val="center"/>
                    <w:rPr>
                      <w:rFonts w:ascii="Times New Roman" w:hAnsi="Times New Roman" w:eastAsia="宋体" w:cs="Times New Roman"/>
                      <w:szCs w:val="21"/>
                    </w:rPr>
                  </w:pPr>
                  <w:r>
                    <w:rPr>
                      <w:rFonts w:ascii="Times New Roman" w:hAnsi="Times New Roman" w:eastAsia="宋体" w:cs="Times New Roman"/>
                      <w:szCs w:val="21"/>
                    </w:rPr>
                    <w:t>噪声</w:t>
                  </w:r>
                </w:p>
              </w:tc>
              <w:tc>
                <w:tcPr>
                  <w:tcW w:w="1537" w:type="pct"/>
                  <w:vAlign w:val="center"/>
                </w:tcPr>
                <w:p w14:paraId="6084D479">
                  <w:pPr>
                    <w:jc w:val="center"/>
                    <w:rPr>
                      <w:rFonts w:ascii="Times New Roman" w:hAnsi="Times New Roman" w:eastAsia="宋体" w:cs="Times New Roman"/>
                      <w:szCs w:val="21"/>
                    </w:rPr>
                  </w:pPr>
                  <w:r>
                    <w:rPr>
                      <w:rFonts w:ascii="Times New Roman" w:hAnsi="Times New Roman" w:eastAsia="宋体" w:cs="Times New Roman"/>
                      <w:szCs w:val="21"/>
                    </w:rPr>
                    <w:t>设备运行</w:t>
                  </w:r>
                </w:p>
              </w:tc>
              <w:tc>
                <w:tcPr>
                  <w:tcW w:w="2863" w:type="pct"/>
                  <w:vAlign w:val="center"/>
                </w:tcPr>
                <w:p w14:paraId="62D8044A">
                  <w:pPr>
                    <w:jc w:val="center"/>
                    <w:rPr>
                      <w:rFonts w:ascii="Times New Roman" w:hAnsi="Times New Roman" w:eastAsia="宋体" w:cs="Times New Roman"/>
                      <w:szCs w:val="21"/>
                    </w:rPr>
                  </w:pPr>
                  <w:r>
                    <w:rPr>
                      <w:rFonts w:ascii="Times New Roman" w:hAnsi="Times New Roman" w:eastAsia="宋体" w:cs="Times New Roman"/>
                      <w:szCs w:val="21"/>
                    </w:rPr>
                    <w:t>等效声级</w:t>
                  </w:r>
                </w:p>
              </w:tc>
            </w:tr>
            <w:tr w14:paraId="1FCD43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restart"/>
                  <w:vAlign w:val="center"/>
                </w:tcPr>
                <w:p w14:paraId="16FAD17D">
                  <w:pPr>
                    <w:jc w:val="center"/>
                    <w:rPr>
                      <w:rFonts w:ascii="Times New Roman" w:hAnsi="Times New Roman" w:eastAsia="宋体" w:cs="Times New Roman"/>
                      <w:szCs w:val="21"/>
                    </w:rPr>
                  </w:pPr>
                  <w:r>
                    <w:rPr>
                      <w:rFonts w:ascii="Times New Roman" w:hAnsi="Times New Roman" w:eastAsia="宋体" w:cs="Times New Roman"/>
                      <w:szCs w:val="21"/>
                    </w:rPr>
                    <w:t>固废</w:t>
                  </w:r>
                </w:p>
              </w:tc>
              <w:tc>
                <w:tcPr>
                  <w:tcW w:w="1537" w:type="pct"/>
                  <w:vAlign w:val="center"/>
                </w:tcPr>
                <w:p w14:paraId="2F4366C0">
                  <w:pPr>
                    <w:adjustRightInd w:val="0"/>
                    <w:snapToGrid w:val="0"/>
                    <w:spacing w:line="320" w:lineRule="exact"/>
                    <w:jc w:val="center"/>
                    <w:rPr>
                      <w:rFonts w:ascii="Times New Roman" w:hAnsi="Times New Roman" w:eastAsia="宋体" w:cs="Times New Roman"/>
                      <w:bCs/>
                      <w:szCs w:val="21"/>
                    </w:rPr>
                  </w:pPr>
                  <w:r>
                    <w:rPr>
                      <w:rFonts w:hint="eastAsia" w:ascii="Times New Roman" w:hAnsi="Times New Roman" w:eastAsia="宋体" w:cs="Times New Roman"/>
                      <w:szCs w:val="21"/>
                    </w:rPr>
                    <w:t>办公生活区</w:t>
                  </w:r>
                </w:p>
              </w:tc>
              <w:tc>
                <w:tcPr>
                  <w:tcW w:w="2863" w:type="pct"/>
                  <w:vAlign w:val="center"/>
                </w:tcPr>
                <w:p w14:paraId="47C9B262">
                  <w:pPr>
                    <w:adjustRightInd w:val="0"/>
                    <w:snapToGrid w:val="0"/>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生活垃圾</w:t>
                  </w:r>
                </w:p>
              </w:tc>
            </w:tr>
            <w:tr w14:paraId="5BBF47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continue"/>
                  <w:vAlign w:val="center"/>
                </w:tcPr>
                <w:p w14:paraId="2099CC70">
                  <w:pPr>
                    <w:jc w:val="center"/>
                    <w:rPr>
                      <w:rFonts w:ascii="Times New Roman" w:hAnsi="Times New Roman" w:eastAsia="宋体" w:cs="Times New Roman"/>
                      <w:szCs w:val="21"/>
                    </w:rPr>
                  </w:pPr>
                </w:p>
              </w:tc>
              <w:tc>
                <w:tcPr>
                  <w:tcW w:w="1537" w:type="pct"/>
                  <w:vAlign w:val="center"/>
                </w:tcPr>
                <w:p w14:paraId="4744A487">
                  <w:pPr>
                    <w:adjustRightInd w:val="0"/>
                    <w:snapToGrid w:val="0"/>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废水处理系统</w:t>
                  </w:r>
                </w:p>
              </w:tc>
              <w:tc>
                <w:tcPr>
                  <w:tcW w:w="2863" w:type="pct"/>
                  <w:vAlign w:val="center"/>
                </w:tcPr>
                <w:p w14:paraId="2F689F98">
                  <w:pPr>
                    <w:adjustRightInd w:val="0"/>
                    <w:snapToGrid w:val="0"/>
                    <w:spacing w:line="320" w:lineRule="exact"/>
                    <w:jc w:val="center"/>
                    <w:rPr>
                      <w:rFonts w:ascii="Times New Roman" w:hAnsi="Times New Roman" w:eastAsia="宋体" w:cs="Times New Roman"/>
                    </w:rPr>
                  </w:pPr>
                  <w:r>
                    <w:rPr>
                      <w:rFonts w:ascii="Times New Roman" w:hAnsi="Times New Roman" w:eastAsia="宋体" w:cs="Times New Roman"/>
                      <w:szCs w:val="21"/>
                    </w:rPr>
                    <w:t>淤泥</w:t>
                  </w:r>
                </w:p>
              </w:tc>
            </w:tr>
            <w:tr w14:paraId="3759DD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00" w:type="pct"/>
                  <w:vMerge w:val="continue"/>
                  <w:vAlign w:val="center"/>
                </w:tcPr>
                <w:p w14:paraId="5432B5E0">
                  <w:pPr>
                    <w:jc w:val="center"/>
                    <w:rPr>
                      <w:rFonts w:ascii="Times New Roman" w:hAnsi="Times New Roman" w:eastAsia="宋体" w:cs="Times New Roman"/>
                      <w:szCs w:val="21"/>
                    </w:rPr>
                  </w:pPr>
                </w:p>
              </w:tc>
              <w:tc>
                <w:tcPr>
                  <w:tcW w:w="1537" w:type="pct"/>
                  <w:vAlign w:val="center"/>
                </w:tcPr>
                <w:p w14:paraId="38783EDF">
                  <w:pPr>
                    <w:adjustRightInd w:val="0"/>
                    <w:snapToGrid w:val="0"/>
                    <w:spacing w:line="320" w:lineRule="exact"/>
                    <w:jc w:val="center"/>
                    <w:rPr>
                      <w:rFonts w:ascii="Times New Roman" w:hAnsi="Times New Roman" w:eastAsia="宋体" w:cs="Times New Roman"/>
                      <w:bCs/>
                      <w:szCs w:val="21"/>
                    </w:rPr>
                  </w:pPr>
                  <w:r>
                    <w:rPr>
                      <w:rFonts w:ascii="Times New Roman" w:hAnsi="Times New Roman" w:eastAsia="宋体" w:cs="Times New Roman"/>
                      <w:szCs w:val="21"/>
                    </w:rPr>
                    <w:t>生产车间设备</w:t>
                  </w:r>
                </w:p>
              </w:tc>
              <w:tc>
                <w:tcPr>
                  <w:tcW w:w="2863" w:type="pct"/>
                  <w:vAlign w:val="center"/>
                </w:tcPr>
                <w:p w14:paraId="7810CB72">
                  <w:pPr>
                    <w:adjustRightInd w:val="0"/>
                    <w:snapToGrid w:val="0"/>
                    <w:spacing w:line="320" w:lineRule="exact"/>
                    <w:jc w:val="center"/>
                    <w:rPr>
                      <w:rFonts w:ascii="Times New Roman" w:hAnsi="Times New Roman" w:eastAsia="宋体" w:cs="Times New Roman"/>
                    </w:rPr>
                  </w:pPr>
                  <w:r>
                    <w:rPr>
                      <w:rFonts w:hint="eastAsia" w:ascii="Times New Roman" w:hAnsi="Times New Roman" w:eastAsia="宋体" w:cs="Times New Roman"/>
                      <w:szCs w:val="21"/>
                    </w:rPr>
                    <w:t>磁选废铁渣、维修废物</w:t>
                  </w:r>
                </w:p>
              </w:tc>
            </w:tr>
          </w:tbl>
          <w:p w14:paraId="0DA01351">
            <w:pPr>
              <w:spacing w:line="360" w:lineRule="auto"/>
              <w:rPr>
                <w:rFonts w:ascii="Times New Roman" w:hAnsi="Times New Roman" w:eastAsia="宋体" w:cs="Times New Roman"/>
                <w:sz w:val="24"/>
                <w:szCs w:val="24"/>
              </w:rPr>
            </w:pPr>
            <w:r>
              <w:rPr>
                <w:rFonts w:ascii="Times New Roman" w:hAnsi="Times New Roman" w:eastAsia="宋体" w:cs="Times New Roman"/>
                <w:b/>
                <w:sz w:val="28"/>
                <w:szCs w:val="28"/>
              </w:rPr>
              <w:t>三、污染物的排放及治理</w:t>
            </w:r>
          </w:p>
          <w:p w14:paraId="5111C339">
            <w:pPr>
              <w:spacing w:line="360" w:lineRule="auto"/>
              <w:ind w:firstLine="482" w:firstLineChars="200"/>
              <w:rPr>
                <w:rFonts w:ascii="Times New Roman" w:hAnsi="Times New Roman" w:eastAsia="宋体" w:cs="Times New Roman"/>
                <w:b/>
                <w:sz w:val="24"/>
              </w:rPr>
            </w:pPr>
            <w:r>
              <w:rPr>
                <w:rFonts w:ascii="Times New Roman" w:hAnsi="Times New Roman" w:eastAsia="宋体" w:cs="Times New Roman"/>
                <w:b/>
                <w:sz w:val="24"/>
              </w:rPr>
              <w:t>（一）施工期污染物排放及治理</w:t>
            </w:r>
          </w:p>
          <w:p w14:paraId="317B2F69">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1、施工废气</w:t>
            </w:r>
          </w:p>
          <w:p w14:paraId="5DD6907B">
            <w:pPr>
              <w:adjustRightInd w:val="0"/>
              <w:snapToGrid w:val="0"/>
              <w:spacing w:line="360" w:lineRule="auto"/>
              <w:ind w:firstLine="424" w:firstLineChars="177"/>
              <w:rPr>
                <w:rFonts w:ascii="Times New Roman" w:hAnsi="Times New Roman" w:eastAsia="宋体" w:cs="Times New Roman"/>
                <w:sz w:val="24"/>
              </w:rPr>
            </w:pPr>
            <w:r>
              <w:rPr>
                <w:rFonts w:ascii="Times New Roman" w:hAnsi="Times New Roman" w:eastAsia="宋体" w:cs="Times New Roman"/>
                <w:sz w:val="24"/>
              </w:rPr>
              <w:t>本项目施工期废气的主要来源为施工扬尘、施工机械运行产生的无组织排放的废气，其中以施工扬尘对空气环境质量影响最大。</w:t>
            </w:r>
          </w:p>
          <w:p w14:paraId="0B71A783">
            <w:pPr>
              <w:adjustRightInd w:val="0"/>
              <w:snapToGrid w:val="0"/>
              <w:spacing w:line="360" w:lineRule="auto"/>
              <w:ind w:firstLine="426" w:firstLineChars="177"/>
              <w:rPr>
                <w:rFonts w:ascii="Times New Roman" w:hAnsi="Times New Roman" w:eastAsia="宋体" w:cs="Times New Roman"/>
                <w:b/>
                <w:sz w:val="24"/>
              </w:rPr>
            </w:pPr>
            <w:r>
              <w:rPr>
                <w:rFonts w:hint="eastAsia" w:ascii="宋体" w:hAnsi="宋体" w:eastAsia="宋体" w:cs="宋体"/>
                <w:b/>
                <w:sz w:val="24"/>
              </w:rPr>
              <w:t>①</w:t>
            </w:r>
            <w:r>
              <w:rPr>
                <w:rFonts w:ascii="Times New Roman" w:hAnsi="Times New Roman" w:eastAsia="宋体" w:cs="Times New Roman"/>
                <w:b/>
                <w:sz w:val="24"/>
              </w:rPr>
              <w:t>施工扬尘</w:t>
            </w:r>
          </w:p>
          <w:p w14:paraId="2234047D">
            <w:pPr>
              <w:adjustRightInd w:val="0"/>
              <w:snapToGrid w:val="0"/>
              <w:spacing w:line="360" w:lineRule="auto"/>
              <w:ind w:firstLine="424" w:firstLineChars="177"/>
              <w:rPr>
                <w:rFonts w:ascii="Times New Roman" w:hAnsi="Times New Roman" w:eastAsia="宋体" w:cs="Times New Roman"/>
                <w:sz w:val="24"/>
              </w:rPr>
            </w:pPr>
            <w:r>
              <w:rPr>
                <w:rFonts w:ascii="Times New Roman" w:hAnsi="Times New Roman" w:eastAsia="宋体" w:cs="Times New Roman"/>
                <w:sz w:val="24"/>
              </w:rPr>
              <w:t>项目在建设施工过程中的大气污染主要</w:t>
            </w:r>
            <w:r>
              <w:rPr>
                <w:rFonts w:hint="eastAsia" w:ascii="Times New Roman" w:hAnsi="Times New Roman" w:eastAsia="宋体" w:cs="Times New Roman"/>
                <w:sz w:val="24"/>
                <w:lang w:eastAsia="zh-CN"/>
              </w:rPr>
              <w:t>来自</w:t>
            </w:r>
            <w:r>
              <w:rPr>
                <w:rFonts w:ascii="Times New Roman" w:hAnsi="Times New Roman" w:eastAsia="宋体" w:cs="Times New Roman"/>
                <w:sz w:val="24"/>
              </w:rPr>
              <w:t>施工场地的扬尘。在整个施工期，产生扬尘的作业有建材运输、露天堆放、装卸等过程，如遇干旱无雨季节，加上大风，施工扬尘将更严重。</w:t>
            </w:r>
          </w:p>
          <w:p w14:paraId="409CF638">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为防止和减少施工期间废气和扬尘的污染，施工单位应加强统一</w:t>
            </w:r>
            <w:r>
              <w:rPr>
                <w:rFonts w:ascii="Times New Roman" w:hAnsi="Times New Roman" w:eastAsia="宋体" w:cs="Times New Roman"/>
                <w:sz w:val="24"/>
              </w:rPr>
              <w:t>、严格、规范</w:t>
            </w:r>
            <w:r>
              <w:rPr>
                <w:rFonts w:hint="eastAsia" w:ascii="Times New Roman" w:hAnsi="Times New Roman" w:eastAsia="宋体" w:cs="Times New Roman"/>
                <w:sz w:val="24"/>
              </w:rPr>
              <w:t>管理制度和措施，纳入本单位环保管理程序。建议采取如下措施：</w:t>
            </w:r>
          </w:p>
          <w:p w14:paraId="609E8EC5">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①施工场地非雨天时适时洒水，包括正在施工的场地、材料加工场所和主要道路等。</w:t>
            </w:r>
          </w:p>
          <w:p w14:paraId="3DD7FFE5">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②材料运输禁止超载，装高不得超过车厢板，并采取盖篷布等防尘措施，严禁沿途</w:t>
            </w:r>
            <w:r>
              <w:rPr>
                <w:rFonts w:hint="eastAsia" w:ascii="Times New Roman" w:hAnsi="Times New Roman" w:eastAsia="宋体" w:cs="Times New Roman"/>
                <w:sz w:val="24"/>
                <w:lang w:eastAsia="zh-CN"/>
              </w:rPr>
              <w:t>洒落</w:t>
            </w:r>
            <w:r>
              <w:rPr>
                <w:rFonts w:hint="eastAsia" w:ascii="Times New Roman" w:hAnsi="Times New Roman" w:eastAsia="宋体" w:cs="Times New Roman"/>
                <w:sz w:val="24"/>
              </w:rPr>
              <w:t>。</w:t>
            </w:r>
          </w:p>
          <w:p w14:paraId="2280D659">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③材料堆放和加工场所应设在当地主导风向的下风向，并采取密闭、围挡或覆盖等有效防尘措施，同时定期洒水。</w:t>
            </w:r>
          </w:p>
          <w:p w14:paraId="43ABEC39">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④建筑主体施工时用密目安全网围护，施工场地建施工围栏。</w:t>
            </w:r>
          </w:p>
          <w:p w14:paraId="35922305">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⑤风速四级及以上易产生扬尘时，建议施工单位暂停土石方开挖，同时采取覆盖、湿润等措施降低扬尘污染。</w:t>
            </w:r>
          </w:p>
          <w:p w14:paraId="42564843">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⑥及时清理施工场地废弃物，暂时不能清运的应采取覆盖措施，运输沙、石、水泥和土方等易产生扬尘的车辆必须封闭严密，严禁洒漏。</w:t>
            </w:r>
          </w:p>
          <w:p w14:paraId="031F1D31">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⑦施工期间，应在渣土、垃圾运输车辆的出口内侧设置洗车平台，车辆驶离工地前，应在洗车平台清洗轮胎及车身，不得带泥上路。同时，洗车废水应设沉淀池进行处理，并回用，不得随意外排。</w:t>
            </w:r>
          </w:p>
          <w:p w14:paraId="5BAF9506">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⑧对施工场地的车辆进出路面进行硬化；对进出车辆的轮胎用水冲洗干净。</w:t>
            </w:r>
          </w:p>
          <w:p w14:paraId="79F4F82C">
            <w:pPr>
              <w:adjustRightInd w:val="0"/>
              <w:snapToGrid w:val="0"/>
              <w:spacing w:line="360"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⑨扬尘管理六不准六必须：必须打围作业、必须硬化道路、必须设置冲洗设施、必须湿法作业、必须配齐保洁人员、必须定时清扫施工现场；不准车辆带泥出门、不准高空抛撒建渣、不准现场搅拌混凝土、不准场地积水、不准现场焚烧废弃物、不准现场堆放未覆盖的裸土。</w:t>
            </w:r>
          </w:p>
          <w:p w14:paraId="45E19D88">
            <w:pPr>
              <w:adjustRightInd w:val="0"/>
              <w:snapToGrid w:val="0"/>
              <w:spacing w:line="360" w:lineRule="auto"/>
              <w:ind w:firstLine="424" w:firstLineChars="177"/>
              <w:rPr>
                <w:rFonts w:ascii="Times New Roman" w:hAnsi="Times New Roman" w:eastAsia="宋体" w:cs="Times New Roman"/>
                <w:bCs/>
                <w:sz w:val="24"/>
              </w:rPr>
            </w:pPr>
            <w:r>
              <w:rPr>
                <w:rFonts w:ascii="Times New Roman" w:hAnsi="Times New Roman" w:eastAsia="宋体" w:cs="Times New Roman"/>
                <w:sz w:val="24"/>
              </w:rPr>
              <w:t>另，根据乐山市打赢蓝天保卫战实施方案要求，</w:t>
            </w:r>
            <w:r>
              <w:rPr>
                <w:rFonts w:ascii="Times New Roman" w:hAnsi="Times New Roman" w:eastAsia="宋体" w:cs="Times New Roman"/>
                <w:bCs/>
                <w:sz w:val="24"/>
              </w:rPr>
              <w:t>建筑施工工地全部做到工地周边围挡、物料堆放覆盖、土方开挖湿法作业、路面硬化、出入车辆清洗、渣土车辆密闭运输“六个百分之百”。</w:t>
            </w:r>
          </w:p>
          <w:p w14:paraId="7B653375">
            <w:pPr>
              <w:adjustRightInd w:val="0"/>
              <w:snapToGrid w:val="0"/>
              <w:spacing w:line="360" w:lineRule="auto"/>
              <w:ind w:firstLine="426" w:firstLineChars="177"/>
              <w:rPr>
                <w:rFonts w:ascii="Times New Roman" w:hAnsi="Times New Roman" w:eastAsia="宋体" w:cs="Times New Roman"/>
                <w:sz w:val="24"/>
              </w:rPr>
            </w:pPr>
            <w:r>
              <w:rPr>
                <w:rFonts w:hint="eastAsia" w:ascii="宋体" w:hAnsi="宋体" w:eastAsia="宋体" w:cs="宋体"/>
                <w:b/>
                <w:sz w:val="24"/>
              </w:rPr>
              <w:t>②</w:t>
            </w:r>
            <w:r>
              <w:rPr>
                <w:rFonts w:ascii="Times New Roman" w:hAnsi="Times New Roman" w:eastAsia="宋体" w:cs="Times New Roman"/>
                <w:b/>
                <w:sz w:val="24"/>
              </w:rPr>
              <w:t>其他废气</w:t>
            </w:r>
          </w:p>
          <w:p w14:paraId="74741386">
            <w:pPr>
              <w:adjustRightInd w:val="0"/>
              <w:snapToGrid w:val="0"/>
              <w:spacing w:line="360" w:lineRule="auto"/>
              <w:ind w:firstLine="424" w:firstLineChars="177"/>
              <w:rPr>
                <w:rFonts w:ascii="Times New Roman" w:hAnsi="Times New Roman" w:eastAsia="宋体" w:cs="Times New Roman"/>
                <w:sz w:val="24"/>
              </w:rPr>
            </w:pPr>
            <w:r>
              <w:rPr>
                <w:rFonts w:ascii="Times New Roman" w:hAnsi="Times New Roman" w:eastAsia="宋体" w:cs="Times New Roman"/>
                <w:kern w:val="28"/>
                <w:sz w:val="24"/>
                <w:szCs w:val="28"/>
              </w:rPr>
              <w:t>本项目施工期废气的另一来源是施工机械排放的燃油废气。</w:t>
            </w:r>
          </w:p>
          <w:p w14:paraId="241DFDFB">
            <w:pPr>
              <w:adjustRightInd w:val="0"/>
              <w:snapToGrid w:val="0"/>
              <w:spacing w:line="360" w:lineRule="auto"/>
              <w:ind w:firstLine="424" w:firstLineChars="177"/>
              <w:rPr>
                <w:rFonts w:ascii="Times New Roman" w:hAnsi="Times New Roman" w:eastAsia="宋体" w:cs="Times New Roman"/>
                <w:sz w:val="24"/>
              </w:rPr>
            </w:pPr>
            <w:r>
              <w:rPr>
                <w:rFonts w:ascii="Times New Roman" w:hAnsi="Times New Roman" w:eastAsia="宋体" w:cs="Times New Roman"/>
                <w:sz w:val="24"/>
              </w:rPr>
              <w:t>施工期间，使用机动车运送原材料、设备和建筑机械将会排放一定量的CO、NO</w:t>
            </w:r>
            <w:r>
              <w:rPr>
                <w:rFonts w:ascii="Times New Roman" w:hAnsi="Times New Roman" w:eastAsia="宋体" w:cs="Times New Roman"/>
                <w:sz w:val="24"/>
                <w:vertAlign w:val="subscript"/>
              </w:rPr>
              <w:t>2</w:t>
            </w:r>
            <w:r>
              <w:rPr>
                <w:rFonts w:ascii="Times New Roman" w:hAnsi="Times New Roman" w:eastAsia="宋体" w:cs="Times New Roman"/>
                <w:sz w:val="24"/>
              </w:rPr>
              <w:t>以及未完全燃烧的HC等，其特点是排放量小，属于间断性排放，加之项目施工场地扩散条件良好，这些废气可</w:t>
            </w:r>
            <w:r>
              <w:rPr>
                <w:rFonts w:hint="eastAsia" w:ascii="Times New Roman" w:hAnsi="Times New Roman" w:eastAsia="宋体" w:cs="Times New Roman"/>
                <w:sz w:val="24"/>
                <w:lang w:eastAsia="zh-CN"/>
              </w:rPr>
              <w:t>得到有效的</w:t>
            </w:r>
            <w:r>
              <w:rPr>
                <w:rFonts w:ascii="Times New Roman" w:hAnsi="Times New Roman" w:eastAsia="宋体" w:cs="Times New Roman"/>
                <w:sz w:val="24"/>
              </w:rPr>
              <w:t>稀释扩散，能够达标排放，对此，建设方要做好施工现场的交通组织，避免因施工造成的交通阻塞，减少运输车辆怠速产生的废气排放，从而可以在一定程</w:t>
            </w:r>
            <w:r>
              <w:rPr>
                <w:rFonts w:hint="eastAsia" w:ascii="Times New Roman" w:hAnsi="Times New Roman" w:eastAsia="宋体" w:cs="Times New Roman"/>
                <w:sz w:val="24"/>
                <w:lang w:eastAsia="zh-CN"/>
              </w:rPr>
              <w:t>度上</w:t>
            </w:r>
            <w:r>
              <w:rPr>
                <w:rFonts w:ascii="Times New Roman" w:hAnsi="Times New Roman" w:eastAsia="宋体" w:cs="Times New Roman"/>
                <w:sz w:val="24"/>
              </w:rPr>
              <w:t>进一步降低其对外界环境的影响。</w:t>
            </w:r>
          </w:p>
          <w:p w14:paraId="2DA55B3B">
            <w:pPr>
              <w:spacing w:line="360" w:lineRule="auto"/>
              <w:ind w:firstLine="480" w:firstLineChars="200"/>
              <w:rPr>
                <w:rFonts w:ascii="Times New Roman" w:hAnsi="Times New Roman" w:eastAsia="宋体" w:cs="Times New Roman"/>
                <w:sz w:val="24"/>
                <w:szCs w:val="24"/>
              </w:rPr>
            </w:pPr>
            <w:r>
              <w:rPr>
                <w:rFonts w:hint="eastAsia" w:ascii="宋体" w:hAnsi="宋体" w:eastAsia="宋体" w:cs="宋体"/>
                <w:sz w:val="24"/>
                <w:szCs w:val="24"/>
              </w:rPr>
              <w:t>③</w:t>
            </w:r>
            <w:r>
              <w:rPr>
                <w:rFonts w:ascii="Times New Roman" w:hAnsi="Times New Roman" w:eastAsia="宋体" w:cs="Times New Roman"/>
                <w:sz w:val="24"/>
                <w:szCs w:val="24"/>
              </w:rPr>
              <w:t>小结</w:t>
            </w:r>
          </w:p>
          <w:p w14:paraId="3BA9A021">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综上所述，采取以上废气的污染防治措施后，可有效控制施工废气对周围环境及施工作业人员的影响。</w:t>
            </w:r>
          </w:p>
          <w:p w14:paraId="7570E694">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2、施工期废水</w:t>
            </w:r>
          </w:p>
          <w:p w14:paraId="074ABEBE">
            <w:pPr>
              <w:adjustRightInd w:val="0"/>
              <w:snapToGrid w:val="0"/>
              <w:spacing w:line="360" w:lineRule="auto"/>
              <w:ind w:firstLine="424" w:firstLineChars="177"/>
              <w:rPr>
                <w:rFonts w:ascii="Times New Roman" w:hAnsi="Times New Roman" w:eastAsia="宋体" w:cs="Times New Roman"/>
                <w:sz w:val="24"/>
              </w:rPr>
            </w:pPr>
            <w:r>
              <w:rPr>
                <w:rFonts w:ascii="Times New Roman" w:hAnsi="Times New Roman" w:eastAsia="宋体" w:cs="Times New Roman"/>
                <w:sz w:val="24"/>
              </w:rPr>
              <w:t>废水来源于两部分：一是场址建筑施工产生的生产废水，这部分废水含泥沙等悬浮物很高，一般呈碱性，部分废水还带少量油污；二是场地施工人员的生活污水，主要含CODcr、BOD</w:t>
            </w:r>
            <w:r>
              <w:rPr>
                <w:rFonts w:ascii="Times New Roman" w:hAnsi="Times New Roman" w:eastAsia="宋体" w:cs="Times New Roman"/>
                <w:sz w:val="24"/>
                <w:vertAlign w:val="subscript"/>
              </w:rPr>
              <w:t>5</w:t>
            </w:r>
            <w:r>
              <w:rPr>
                <w:rFonts w:ascii="Times New Roman" w:hAnsi="Times New Roman" w:eastAsia="宋体" w:cs="Times New Roman"/>
                <w:sz w:val="24"/>
              </w:rPr>
              <w:t>、NH</w:t>
            </w:r>
            <w:r>
              <w:rPr>
                <w:rFonts w:ascii="Times New Roman" w:hAnsi="Times New Roman" w:eastAsia="宋体" w:cs="Times New Roman"/>
                <w:sz w:val="24"/>
                <w:vertAlign w:val="subscript"/>
              </w:rPr>
              <w:t>3</w:t>
            </w:r>
            <w:r>
              <w:rPr>
                <w:rFonts w:ascii="Times New Roman" w:hAnsi="Times New Roman" w:eastAsia="宋体" w:cs="Times New Roman"/>
                <w:sz w:val="24"/>
              </w:rPr>
              <w:t>-N、SS等污染物质。</w:t>
            </w:r>
          </w:p>
          <w:p w14:paraId="598445FB">
            <w:pPr>
              <w:adjustRightInd w:val="0"/>
              <w:snapToGrid w:val="0"/>
              <w:spacing w:line="360" w:lineRule="auto"/>
              <w:ind w:firstLine="426" w:firstLineChars="177"/>
              <w:rPr>
                <w:rFonts w:ascii="Times New Roman" w:hAnsi="Times New Roman" w:eastAsia="宋体" w:cs="Times New Roman"/>
                <w:sz w:val="24"/>
              </w:rPr>
            </w:pPr>
            <w:r>
              <w:rPr>
                <w:rFonts w:ascii="Times New Roman" w:hAnsi="Times New Roman" w:eastAsia="宋体" w:cs="Times New Roman"/>
                <w:b/>
                <w:sz w:val="24"/>
              </w:rPr>
              <w:fldChar w:fldCharType="begin"/>
            </w:r>
            <w:r>
              <w:rPr>
                <w:rFonts w:ascii="Times New Roman" w:hAnsi="Times New Roman" w:eastAsia="宋体" w:cs="Times New Roman"/>
                <w:b/>
                <w:sz w:val="24"/>
              </w:rPr>
              <w:instrText xml:space="preserve"> = 1 \* GB3 </w:instrText>
            </w:r>
            <w:r>
              <w:rPr>
                <w:rFonts w:ascii="Times New Roman" w:hAnsi="Times New Roman" w:eastAsia="宋体" w:cs="Times New Roman"/>
                <w:b/>
                <w:sz w:val="24"/>
              </w:rPr>
              <w:fldChar w:fldCharType="separate"/>
            </w:r>
            <w:r>
              <w:rPr>
                <w:rFonts w:hint="eastAsia" w:ascii="宋体" w:hAnsi="宋体" w:eastAsia="宋体" w:cs="宋体"/>
                <w:b/>
                <w:sz w:val="24"/>
              </w:rPr>
              <w:t>①</w:t>
            </w:r>
            <w:r>
              <w:rPr>
                <w:rFonts w:ascii="Times New Roman" w:hAnsi="Times New Roman" w:eastAsia="宋体" w:cs="Times New Roman"/>
                <w:b/>
                <w:sz w:val="24"/>
              </w:rPr>
              <w:fldChar w:fldCharType="end"/>
            </w:r>
            <w:r>
              <w:rPr>
                <w:rFonts w:ascii="Times New Roman" w:hAnsi="Times New Roman" w:eastAsia="宋体" w:cs="Times New Roman"/>
                <w:b/>
                <w:sz w:val="24"/>
              </w:rPr>
              <w:t>施工废水</w:t>
            </w:r>
          </w:p>
          <w:p w14:paraId="427D888C">
            <w:pPr>
              <w:adjustRightInd w:val="0"/>
              <w:snapToGrid w:val="0"/>
              <w:spacing w:line="348" w:lineRule="auto"/>
              <w:ind w:firstLine="424" w:firstLineChars="177"/>
              <w:rPr>
                <w:rFonts w:ascii="Times New Roman" w:hAnsi="Times New Roman" w:eastAsia="宋体" w:cs="Times New Roman"/>
                <w:sz w:val="24"/>
              </w:rPr>
            </w:pPr>
            <w:r>
              <w:rPr>
                <w:rFonts w:ascii="Times New Roman" w:hAnsi="Times New Roman" w:eastAsia="宋体" w:cs="Times New Roman"/>
                <w:sz w:val="24"/>
              </w:rPr>
              <w:t>施工废水主要施工生产废水和机械及车辆冲洗废水。</w:t>
            </w:r>
          </w:p>
          <w:p w14:paraId="64EC3EF2">
            <w:pPr>
              <w:adjustRightInd w:val="0"/>
              <w:snapToGrid w:val="0"/>
              <w:spacing w:line="348" w:lineRule="auto"/>
              <w:ind w:firstLine="424" w:firstLineChars="177"/>
              <w:rPr>
                <w:rFonts w:ascii="Times New Roman" w:hAnsi="Times New Roman" w:eastAsia="宋体" w:cs="Times New Roman"/>
                <w:sz w:val="24"/>
              </w:rPr>
            </w:pPr>
            <w:r>
              <w:rPr>
                <w:rFonts w:ascii="Times New Roman" w:hAnsi="Times New Roman" w:eastAsia="宋体" w:cs="Times New Roman"/>
                <w:sz w:val="24"/>
              </w:rPr>
              <w:t>在工程的整个施工期，预计每天产生施工废水0.5m</w:t>
            </w:r>
            <w:r>
              <w:rPr>
                <w:rFonts w:ascii="Times New Roman" w:hAnsi="Times New Roman" w:eastAsia="宋体" w:cs="Times New Roman"/>
                <w:sz w:val="24"/>
                <w:vertAlign w:val="superscript"/>
              </w:rPr>
              <w:t>3</w:t>
            </w:r>
            <w:r>
              <w:rPr>
                <w:rFonts w:ascii="Times New Roman" w:hAnsi="Times New Roman" w:eastAsia="宋体" w:cs="Times New Roman"/>
                <w:sz w:val="24"/>
              </w:rPr>
              <w:t>，其中废水中主要以SS污染为主，其值为400～1000mg/l。本次环评针对施工废水水量少，废水排放不连续，悬浮物浓度和pH值较高等特点</w:t>
            </w:r>
            <w:r>
              <w:rPr>
                <w:rFonts w:hint="eastAsia" w:ascii="Times New Roman" w:hAnsi="Times New Roman" w:eastAsia="宋体" w:cs="Times New Roman"/>
                <w:sz w:val="24"/>
              </w:rPr>
              <w:t>，施工废水经</w:t>
            </w:r>
            <w:r>
              <w:rPr>
                <w:rFonts w:ascii="Times New Roman" w:hAnsi="Times New Roman" w:eastAsia="宋体" w:cs="Times New Roman"/>
                <w:sz w:val="24"/>
              </w:rPr>
              <w:t>沉淀池收集处理后回用生产，以充分利用水资源。</w:t>
            </w:r>
          </w:p>
          <w:p w14:paraId="5637ACD2">
            <w:pPr>
              <w:adjustRightInd w:val="0"/>
              <w:snapToGrid w:val="0"/>
              <w:spacing w:line="348" w:lineRule="auto"/>
              <w:ind w:firstLine="426" w:firstLineChars="177"/>
              <w:rPr>
                <w:rFonts w:ascii="Times New Roman" w:hAnsi="Times New Roman" w:eastAsia="宋体" w:cs="Times New Roman"/>
                <w:b/>
                <w:sz w:val="24"/>
              </w:rPr>
            </w:pPr>
            <w:r>
              <w:rPr>
                <w:rFonts w:ascii="Times New Roman" w:hAnsi="Times New Roman" w:eastAsia="宋体" w:cs="Times New Roman"/>
                <w:b/>
                <w:sz w:val="24"/>
              </w:rPr>
              <w:fldChar w:fldCharType="begin"/>
            </w:r>
            <w:r>
              <w:rPr>
                <w:rFonts w:ascii="Times New Roman" w:hAnsi="Times New Roman" w:eastAsia="宋体" w:cs="Times New Roman"/>
                <w:b/>
                <w:sz w:val="24"/>
              </w:rPr>
              <w:instrText xml:space="preserve"> = 2 \* GB3 </w:instrText>
            </w:r>
            <w:r>
              <w:rPr>
                <w:rFonts w:ascii="Times New Roman" w:hAnsi="Times New Roman" w:eastAsia="宋体" w:cs="Times New Roman"/>
                <w:b/>
                <w:sz w:val="24"/>
              </w:rPr>
              <w:fldChar w:fldCharType="separate"/>
            </w:r>
            <w:r>
              <w:rPr>
                <w:rFonts w:hint="eastAsia" w:ascii="宋体" w:hAnsi="宋体" w:eastAsia="宋体" w:cs="宋体"/>
                <w:b/>
                <w:sz w:val="24"/>
              </w:rPr>
              <w:t>②</w:t>
            </w:r>
            <w:r>
              <w:rPr>
                <w:rFonts w:ascii="Times New Roman" w:hAnsi="Times New Roman" w:eastAsia="宋体" w:cs="Times New Roman"/>
                <w:b/>
                <w:sz w:val="24"/>
              </w:rPr>
              <w:fldChar w:fldCharType="end"/>
            </w:r>
            <w:r>
              <w:rPr>
                <w:rFonts w:ascii="Times New Roman" w:hAnsi="Times New Roman" w:eastAsia="宋体" w:cs="Times New Roman"/>
                <w:b/>
                <w:sz w:val="24"/>
              </w:rPr>
              <w:t>施工工人生活污水</w:t>
            </w:r>
          </w:p>
          <w:p w14:paraId="30EDC523">
            <w:pPr>
              <w:adjustRightInd w:val="0"/>
              <w:snapToGrid w:val="0"/>
              <w:spacing w:line="348" w:lineRule="auto"/>
              <w:ind w:firstLine="424" w:firstLineChars="177"/>
              <w:rPr>
                <w:rFonts w:ascii="Times New Roman" w:hAnsi="Times New Roman" w:eastAsia="宋体" w:cs="Times New Roman"/>
                <w:sz w:val="24"/>
              </w:rPr>
            </w:pPr>
            <w:r>
              <w:rPr>
                <w:rFonts w:ascii="Times New Roman" w:hAnsi="Times New Roman" w:eastAsia="宋体" w:cs="Times New Roman"/>
                <w:sz w:val="24"/>
              </w:rPr>
              <w:t>根据类比分析，估算本项目施工高峰期有施工人员及工地管理人员10人左右，生活废水排放按0.05m</w:t>
            </w:r>
            <w:r>
              <w:rPr>
                <w:rFonts w:ascii="Times New Roman" w:hAnsi="Times New Roman" w:eastAsia="宋体" w:cs="Times New Roman"/>
                <w:sz w:val="24"/>
                <w:vertAlign w:val="superscript"/>
              </w:rPr>
              <w:t>3</w:t>
            </w:r>
            <w:r>
              <w:rPr>
                <w:rFonts w:ascii="Times New Roman" w:hAnsi="Times New Roman" w:eastAsia="宋体" w:cs="Times New Roman"/>
                <w:sz w:val="24"/>
              </w:rPr>
              <w:t>/人·d计算，排污系数取0.8，则施工人员生活废水产生量约为0.4m</w:t>
            </w:r>
            <w:r>
              <w:rPr>
                <w:rFonts w:ascii="Times New Roman" w:hAnsi="Times New Roman" w:eastAsia="宋体" w:cs="Times New Roman"/>
                <w:sz w:val="24"/>
                <w:vertAlign w:val="superscript"/>
              </w:rPr>
              <w:t>3</w:t>
            </w:r>
            <w:r>
              <w:rPr>
                <w:rFonts w:ascii="Times New Roman" w:hAnsi="Times New Roman" w:eastAsia="宋体" w:cs="Times New Roman"/>
                <w:sz w:val="24"/>
              </w:rPr>
              <w:t>/d。主要污染物浓度为：COD</w:t>
            </w:r>
            <w:r>
              <w:rPr>
                <w:rFonts w:ascii="Times New Roman" w:hAnsi="Times New Roman" w:eastAsia="宋体" w:cs="Times New Roman"/>
                <w:sz w:val="24"/>
                <w:vertAlign w:val="subscript"/>
              </w:rPr>
              <w:t xml:space="preserve">cr </w:t>
            </w:r>
            <w:r>
              <w:rPr>
                <w:rFonts w:ascii="Times New Roman" w:hAnsi="Times New Roman" w:eastAsia="宋体" w:cs="Times New Roman"/>
                <w:sz w:val="24"/>
              </w:rPr>
              <w:t>400mg/L、BOD</w:t>
            </w:r>
            <w:r>
              <w:rPr>
                <w:rFonts w:ascii="Times New Roman" w:hAnsi="Times New Roman" w:eastAsia="宋体" w:cs="Times New Roman"/>
                <w:sz w:val="24"/>
                <w:vertAlign w:val="subscript"/>
              </w:rPr>
              <w:t>5</w:t>
            </w:r>
            <w:r>
              <w:rPr>
                <w:rFonts w:ascii="Times New Roman" w:hAnsi="Times New Roman" w:eastAsia="宋体" w:cs="Times New Roman"/>
                <w:sz w:val="24"/>
              </w:rPr>
              <w:t>200mg/L、SS 250mg/L，氨氮40mg/L，动植物油30 mg/L。由于本项目施工人员主要为当地居民，不在施工场所内食宿，产生的生活废水</w:t>
            </w:r>
            <w:r>
              <w:rPr>
                <w:rFonts w:hint="eastAsia" w:ascii="Times New Roman" w:hAnsi="Times New Roman" w:eastAsia="宋体" w:cs="Times New Roman"/>
                <w:sz w:val="24"/>
              </w:rPr>
              <w:t>利用</w:t>
            </w:r>
            <w:r>
              <w:rPr>
                <w:rFonts w:hint="eastAsia" w:ascii="Times New Roman" w:hAnsi="Times New Roman" w:eastAsia="宋体" w:cs="Times New Roman"/>
                <w:sz w:val="24"/>
                <w:szCs w:val="24"/>
              </w:rPr>
              <w:t>二级生化处理设施</w:t>
            </w:r>
            <w:r>
              <w:rPr>
                <w:rFonts w:ascii="Times New Roman" w:hAnsi="Times New Roman" w:eastAsia="宋体" w:cs="Times New Roman"/>
                <w:sz w:val="24"/>
              </w:rPr>
              <w:t>处理回用农肥。</w:t>
            </w:r>
          </w:p>
          <w:p w14:paraId="2CB0A92E">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3、施工期噪声</w:t>
            </w:r>
          </w:p>
          <w:p w14:paraId="10571EE8">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施工期的噪声主要来源于施工现场的各类机械设</w:t>
            </w:r>
            <w:r>
              <w:rPr>
                <w:rFonts w:hint="eastAsia" w:ascii="Times New Roman" w:hAnsi="Times New Roman" w:eastAsia="宋体" w:cs="Times New Roman"/>
                <w:sz w:val="24"/>
                <w:lang w:eastAsia="zh-CN"/>
              </w:rPr>
              <w:t>备的</w:t>
            </w:r>
            <w:r>
              <w:rPr>
                <w:rFonts w:hint="eastAsia" w:ascii="Times New Roman" w:hAnsi="Times New Roman" w:eastAsia="宋体" w:cs="Times New Roman"/>
                <w:sz w:val="24"/>
              </w:rPr>
              <w:t>噪声，不同施工阶段和不同施工机械发出的噪声水平是不同的。</w:t>
            </w:r>
          </w:p>
          <w:p w14:paraId="794971E9">
            <w:pPr>
              <w:adjustRightInd w:val="0"/>
              <w:snapToGrid w:val="0"/>
              <w:spacing w:line="348" w:lineRule="auto"/>
              <w:ind w:firstLine="424" w:firstLineChars="177"/>
              <w:jc w:val="center"/>
              <w:rPr>
                <w:rFonts w:ascii="Times New Roman" w:hAnsi="Times New Roman" w:eastAsia="宋体" w:cs="Times New Roman"/>
                <w:sz w:val="24"/>
              </w:rPr>
            </w:pPr>
            <w:r>
              <w:rPr>
                <w:rFonts w:hint="eastAsia" w:ascii="Times New Roman" w:hAnsi="Times New Roman" w:eastAsia="宋体" w:cs="Times New Roman"/>
                <w:sz w:val="24"/>
              </w:rPr>
              <w:t>表5</w:t>
            </w:r>
            <w:r>
              <w:rPr>
                <w:rFonts w:ascii="Times New Roman" w:hAnsi="Times New Roman" w:eastAsia="宋体" w:cs="Times New Roman"/>
                <w:sz w:val="24"/>
              </w:rPr>
              <w:t xml:space="preserve">-2 </w:t>
            </w:r>
            <w:r>
              <w:rPr>
                <w:rFonts w:hint="eastAsia" w:ascii="Times New Roman" w:hAnsi="Times New Roman" w:eastAsia="宋体" w:cs="Times New Roman"/>
                <w:sz w:val="24"/>
              </w:rPr>
              <w:t>交通运输车辆噪声</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761"/>
              <w:gridCol w:w="2761"/>
              <w:gridCol w:w="2760"/>
            </w:tblGrid>
            <w:tr w14:paraId="587BA0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7" w:type="pct"/>
                  <w:shd w:val="clear" w:color="auto" w:fill="auto"/>
                  <w:vAlign w:val="center"/>
                </w:tcPr>
                <w:p w14:paraId="11A3EA5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施工阶段</w:t>
                  </w:r>
                </w:p>
              </w:tc>
              <w:tc>
                <w:tcPr>
                  <w:tcW w:w="1667" w:type="pct"/>
                  <w:shd w:val="clear" w:color="auto" w:fill="auto"/>
                  <w:vAlign w:val="center"/>
                </w:tcPr>
                <w:p w14:paraId="5862A8D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设备名称</w:t>
                  </w:r>
                </w:p>
              </w:tc>
              <w:tc>
                <w:tcPr>
                  <w:tcW w:w="1666" w:type="pct"/>
                  <w:shd w:val="clear" w:color="auto" w:fill="auto"/>
                  <w:vAlign w:val="center"/>
                </w:tcPr>
                <w:p w14:paraId="5BF4C6C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噪声级d</w:t>
                  </w:r>
                  <w:r>
                    <w:rPr>
                      <w:rFonts w:ascii="Times New Roman" w:hAnsi="Times New Roman" w:eastAsia="宋体" w:cs="Times New Roman"/>
                      <w:szCs w:val="21"/>
                    </w:rPr>
                    <w:t>B</w:t>
                  </w:r>
                  <w:r>
                    <w:rPr>
                      <w:rFonts w:hint="eastAsia" w:ascii="Times New Roman" w:hAnsi="Times New Roman" w:eastAsia="宋体" w:cs="Times New Roman"/>
                      <w:szCs w:val="21"/>
                    </w:rPr>
                    <w:t>（A）</w:t>
                  </w:r>
                </w:p>
              </w:tc>
            </w:tr>
            <w:tr w14:paraId="476EA3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7" w:type="pct"/>
                  <w:vMerge w:val="restart"/>
                  <w:shd w:val="clear" w:color="auto" w:fill="auto"/>
                  <w:vAlign w:val="center"/>
                </w:tcPr>
                <w:p w14:paraId="19BED7A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基础阶段的主要噪声源</w:t>
                  </w:r>
                </w:p>
              </w:tc>
              <w:tc>
                <w:tcPr>
                  <w:tcW w:w="1667" w:type="pct"/>
                  <w:shd w:val="clear" w:color="auto" w:fill="auto"/>
                  <w:vAlign w:val="center"/>
                </w:tcPr>
                <w:p w14:paraId="4963911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移动式空压机</w:t>
                  </w:r>
                </w:p>
              </w:tc>
              <w:tc>
                <w:tcPr>
                  <w:tcW w:w="1666" w:type="pct"/>
                  <w:shd w:val="clear" w:color="auto" w:fill="auto"/>
                  <w:vAlign w:val="center"/>
                </w:tcPr>
                <w:p w14:paraId="0BC2B38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7</w:t>
                  </w:r>
                  <w:r>
                    <w:rPr>
                      <w:rFonts w:hint="eastAsia" w:ascii="Times New Roman" w:hAnsi="Times New Roman" w:eastAsia="宋体" w:cs="Times New Roman"/>
                      <w:szCs w:val="21"/>
                    </w:rPr>
                    <w:t>~</w:t>
                  </w:r>
                  <w:r>
                    <w:rPr>
                      <w:rFonts w:ascii="Times New Roman" w:hAnsi="Times New Roman" w:eastAsia="宋体" w:cs="Times New Roman"/>
                      <w:szCs w:val="21"/>
                    </w:rPr>
                    <w:t>92</w:t>
                  </w:r>
                </w:p>
              </w:tc>
            </w:tr>
            <w:tr w14:paraId="1E633C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7" w:type="pct"/>
                  <w:vMerge w:val="continue"/>
                  <w:shd w:val="clear" w:color="auto" w:fill="auto"/>
                  <w:vAlign w:val="center"/>
                </w:tcPr>
                <w:p w14:paraId="7A77D535">
                  <w:pPr>
                    <w:adjustRightInd w:val="0"/>
                    <w:snapToGrid w:val="0"/>
                    <w:jc w:val="center"/>
                    <w:rPr>
                      <w:rFonts w:ascii="Times New Roman" w:hAnsi="Times New Roman" w:eastAsia="宋体" w:cs="Times New Roman"/>
                      <w:szCs w:val="21"/>
                    </w:rPr>
                  </w:pPr>
                </w:p>
              </w:tc>
              <w:tc>
                <w:tcPr>
                  <w:tcW w:w="1667" w:type="pct"/>
                  <w:shd w:val="clear" w:color="auto" w:fill="auto"/>
                  <w:vAlign w:val="center"/>
                </w:tcPr>
                <w:p w14:paraId="623B51D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吊车</w:t>
                  </w:r>
                </w:p>
              </w:tc>
              <w:tc>
                <w:tcPr>
                  <w:tcW w:w="1666" w:type="pct"/>
                  <w:shd w:val="clear" w:color="auto" w:fill="auto"/>
                  <w:vAlign w:val="center"/>
                </w:tcPr>
                <w:p w14:paraId="18C0254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1</w:t>
                  </w:r>
                  <w:r>
                    <w:rPr>
                      <w:rFonts w:hint="eastAsia" w:ascii="Times New Roman" w:hAnsi="Times New Roman" w:eastAsia="宋体" w:cs="Times New Roman"/>
                      <w:szCs w:val="21"/>
                    </w:rPr>
                    <w:t>~</w:t>
                  </w:r>
                  <w:r>
                    <w:rPr>
                      <w:rFonts w:ascii="Times New Roman" w:hAnsi="Times New Roman" w:eastAsia="宋体" w:cs="Times New Roman"/>
                      <w:szCs w:val="21"/>
                    </w:rPr>
                    <w:t>73</w:t>
                  </w:r>
                </w:p>
              </w:tc>
            </w:tr>
            <w:tr w14:paraId="792667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7" w:type="pct"/>
                  <w:vMerge w:val="restart"/>
                  <w:shd w:val="clear" w:color="auto" w:fill="auto"/>
                  <w:vAlign w:val="center"/>
                </w:tcPr>
                <w:p w14:paraId="6014282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结构阶段的主要噪声源</w:t>
                  </w:r>
                </w:p>
              </w:tc>
              <w:tc>
                <w:tcPr>
                  <w:tcW w:w="1667" w:type="pct"/>
                  <w:shd w:val="clear" w:color="auto" w:fill="auto"/>
                  <w:vAlign w:val="center"/>
                </w:tcPr>
                <w:p w14:paraId="0055487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混凝土搅拌机</w:t>
                  </w:r>
                </w:p>
              </w:tc>
              <w:tc>
                <w:tcPr>
                  <w:tcW w:w="1666" w:type="pct"/>
                  <w:shd w:val="clear" w:color="auto" w:fill="auto"/>
                  <w:vAlign w:val="center"/>
                </w:tcPr>
                <w:p w14:paraId="62C9F77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8</w:t>
                  </w:r>
                  <w:r>
                    <w:rPr>
                      <w:rFonts w:hint="eastAsia" w:ascii="Times New Roman" w:hAnsi="Times New Roman" w:eastAsia="宋体" w:cs="Times New Roman"/>
                      <w:szCs w:val="21"/>
                    </w:rPr>
                    <w:t>~</w:t>
                  </w:r>
                  <w:r>
                    <w:rPr>
                      <w:rFonts w:ascii="Times New Roman" w:hAnsi="Times New Roman" w:eastAsia="宋体" w:cs="Times New Roman"/>
                      <w:szCs w:val="21"/>
                    </w:rPr>
                    <w:t>89</w:t>
                  </w:r>
                </w:p>
              </w:tc>
            </w:tr>
            <w:tr w14:paraId="6078C1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7" w:type="pct"/>
                  <w:vMerge w:val="continue"/>
                  <w:shd w:val="clear" w:color="auto" w:fill="auto"/>
                  <w:vAlign w:val="center"/>
                </w:tcPr>
                <w:p w14:paraId="51577329">
                  <w:pPr>
                    <w:adjustRightInd w:val="0"/>
                    <w:snapToGrid w:val="0"/>
                    <w:jc w:val="center"/>
                    <w:rPr>
                      <w:rFonts w:ascii="Times New Roman" w:hAnsi="Times New Roman" w:eastAsia="宋体" w:cs="Times New Roman"/>
                      <w:szCs w:val="21"/>
                    </w:rPr>
                  </w:pPr>
                </w:p>
              </w:tc>
              <w:tc>
                <w:tcPr>
                  <w:tcW w:w="1667" w:type="pct"/>
                  <w:shd w:val="clear" w:color="auto" w:fill="auto"/>
                  <w:vAlign w:val="center"/>
                </w:tcPr>
                <w:p w14:paraId="22E9BDC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汽车吊车</w:t>
                  </w:r>
                </w:p>
              </w:tc>
              <w:tc>
                <w:tcPr>
                  <w:tcW w:w="1666" w:type="pct"/>
                  <w:shd w:val="clear" w:color="auto" w:fill="auto"/>
                  <w:vAlign w:val="center"/>
                </w:tcPr>
                <w:p w14:paraId="7C22DCA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1</w:t>
                  </w:r>
                  <w:r>
                    <w:rPr>
                      <w:rFonts w:hint="eastAsia" w:ascii="Times New Roman" w:hAnsi="Times New Roman" w:eastAsia="宋体" w:cs="Times New Roman"/>
                      <w:szCs w:val="21"/>
                    </w:rPr>
                    <w:t>~</w:t>
                  </w:r>
                  <w:r>
                    <w:rPr>
                      <w:rFonts w:ascii="Times New Roman" w:hAnsi="Times New Roman" w:eastAsia="宋体" w:cs="Times New Roman"/>
                      <w:szCs w:val="21"/>
                    </w:rPr>
                    <w:t>86</w:t>
                  </w:r>
                </w:p>
              </w:tc>
            </w:tr>
            <w:tr w14:paraId="1CB0D7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667" w:type="pct"/>
                  <w:vMerge w:val="continue"/>
                  <w:shd w:val="clear" w:color="auto" w:fill="auto"/>
                  <w:vAlign w:val="center"/>
                </w:tcPr>
                <w:p w14:paraId="1393C2DB">
                  <w:pPr>
                    <w:adjustRightInd w:val="0"/>
                    <w:snapToGrid w:val="0"/>
                    <w:jc w:val="center"/>
                    <w:rPr>
                      <w:rFonts w:ascii="Times New Roman" w:hAnsi="Times New Roman" w:eastAsia="宋体" w:cs="Times New Roman"/>
                      <w:szCs w:val="21"/>
                    </w:rPr>
                  </w:pPr>
                </w:p>
              </w:tc>
              <w:tc>
                <w:tcPr>
                  <w:tcW w:w="1667" w:type="pct"/>
                  <w:shd w:val="clear" w:color="auto" w:fill="auto"/>
                  <w:vAlign w:val="center"/>
                </w:tcPr>
                <w:p w14:paraId="26A713F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混凝土搅拌车</w:t>
                  </w:r>
                </w:p>
              </w:tc>
              <w:tc>
                <w:tcPr>
                  <w:tcW w:w="1666" w:type="pct"/>
                  <w:shd w:val="clear" w:color="auto" w:fill="auto"/>
                  <w:vAlign w:val="center"/>
                </w:tcPr>
                <w:p w14:paraId="72B4C9D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3</w:t>
                  </w:r>
                  <w:r>
                    <w:rPr>
                      <w:rFonts w:hint="eastAsia" w:ascii="Times New Roman" w:hAnsi="Times New Roman" w:eastAsia="宋体" w:cs="Times New Roman"/>
                      <w:szCs w:val="21"/>
                    </w:rPr>
                    <w:t>~</w:t>
                  </w:r>
                  <w:r>
                    <w:rPr>
                      <w:rFonts w:ascii="Times New Roman" w:hAnsi="Times New Roman" w:eastAsia="宋体" w:cs="Times New Roman"/>
                      <w:szCs w:val="21"/>
                    </w:rPr>
                    <w:t>91</w:t>
                  </w:r>
                </w:p>
              </w:tc>
            </w:tr>
          </w:tbl>
          <w:p w14:paraId="4745A759">
            <w:pPr>
              <w:adjustRightInd w:val="0"/>
              <w:snapToGrid w:val="0"/>
              <w:spacing w:line="360" w:lineRule="auto"/>
              <w:ind w:firstLine="480" w:firstLineChars="200"/>
              <w:jc w:val="center"/>
              <w:rPr>
                <w:rFonts w:ascii="Times New Roman" w:hAnsi="Times New Roman" w:eastAsia="宋体" w:cs="Times New Roman"/>
                <w:sz w:val="24"/>
              </w:rPr>
            </w:pPr>
            <w:r>
              <w:rPr>
                <w:rFonts w:hint="eastAsia" w:ascii="Times New Roman" w:hAnsi="Times New Roman" w:eastAsia="宋体" w:cs="Times New Roman"/>
                <w:sz w:val="24"/>
              </w:rPr>
              <w:t>表5</w:t>
            </w:r>
            <w:r>
              <w:rPr>
                <w:rFonts w:ascii="Times New Roman" w:hAnsi="Times New Roman" w:eastAsia="宋体" w:cs="Times New Roman"/>
                <w:sz w:val="24"/>
              </w:rPr>
              <w:t xml:space="preserve">-3 </w:t>
            </w:r>
            <w:r>
              <w:rPr>
                <w:rFonts w:hint="eastAsia" w:ascii="Times New Roman" w:hAnsi="Times New Roman" w:eastAsia="宋体" w:cs="Times New Roman"/>
                <w:sz w:val="24"/>
              </w:rPr>
              <w:t>施工机械噪声声源强度表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82"/>
              <w:gridCol w:w="1183"/>
              <w:gridCol w:w="1184"/>
              <w:gridCol w:w="1183"/>
              <w:gridCol w:w="1182"/>
              <w:gridCol w:w="1184"/>
              <w:gridCol w:w="1184"/>
            </w:tblGrid>
            <w:tr w14:paraId="72A032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85" w:type="dxa"/>
                  <w:vMerge w:val="restart"/>
                  <w:shd w:val="clear" w:color="auto" w:fill="auto"/>
                  <w:vAlign w:val="center"/>
                </w:tcPr>
                <w:p w14:paraId="5631DBF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施工阶段</w:t>
                  </w:r>
                </w:p>
              </w:tc>
              <w:tc>
                <w:tcPr>
                  <w:tcW w:w="1185" w:type="dxa"/>
                  <w:vMerge w:val="restart"/>
                  <w:shd w:val="clear" w:color="auto" w:fill="auto"/>
                  <w:vAlign w:val="center"/>
                </w:tcPr>
                <w:p w14:paraId="51D1973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声源</w:t>
                  </w:r>
                </w:p>
              </w:tc>
              <w:tc>
                <w:tcPr>
                  <w:tcW w:w="1185" w:type="dxa"/>
                  <w:vMerge w:val="restart"/>
                  <w:shd w:val="clear" w:color="auto" w:fill="auto"/>
                  <w:vAlign w:val="center"/>
                </w:tcPr>
                <w:p w14:paraId="70A3AB3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声源强度[d</w:t>
                  </w:r>
                  <w:r>
                    <w:rPr>
                      <w:rFonts w:ascii="Times New Roman" w:hAnsi="Times New Roman" w:eastAsia="宋体" w:cs="Times New Roman"/>
                      <w:szCs w:val="21"/>
                    </w:rPr>
                    <w:t>B</w:t>
                  </w:r>
                  <w:r>
                    <w:rPr>
                      <w:rFonts w:hint="eastAsia" w:ascii="Times New Roman" w:hAnsi="Times New Roman" w:eastAsia="宋体" w:cs="Times New Roman"/>
                      <w:szCs w:val="21"/>
                    </w:rPr>
                    <w:t>（A）</w:t>
                  </w:r>
                  <w:r>
                    <w:rPr>
                      <w:rFonts w:ascii="Times New Roman" w:hAnsi="Times New Roman" w:eastAsia="宋体" w:cs="Times New Roman"/>
                      <w:szCs w:val="21"/>
                    </w:rPr>
                    <w:t>]</w:t>
                  </w:r>
                </w:p>
              </w:tc>
              <w:tc>
                <w:tcPr>
                  <w:tcW w:w="4742" w:type="dxa"/>
                  <w:gridSpan w:val="4"/>
                  <w:shd w:val="clear" w:color="auto" w:fill="auto"/>
                  <w:vAlign w:val="center"/>
                </w:tcPr>
                <w:p w14:paraId="51EC55B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厂界噪声d</w:t>
                  </w:r>
                  <w:r>
                    <w:rPr>
                      <w:rFonts w:ascii="Times New Roman" w:hAnsi="Times New Roman" w:eastAsia="宋体" w:cs="Times New Roman"/>
                      <w:szCs w:val="21"/>
                    </w:rPr>
                    <w:t>B</w:t>
                  </w:r>
                  <w:r>
                    <w:rPr>
                      <w:rFonts w:hint="eastAsia" w:ascii="Times New Roman" w:hAnsi="Times New Roman" w:eastAsia="宋体" w:cs="Times New Roman"/>
                      <w:szCs w:val="21"/>
                    </w:rPr>
                    <w:t>（A）</w:t>
                  </w:r>
                </w:p>
              </w:tc>
            </w:tr>
            <w:tr w14:paraId="6DCB43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85" w:type="dxa"/>
                  <w:vMerge w:val="continue"/>
                  <w:shd w:val="clear" w:color="auto" w:fill="auto"/>
                  <w:vAlign w:val="center"/>
                </w:tcPr>
                <w:p w14:paraId="06C7EC96">
                  <w:pPr>
                    <w:adjustRightInd w:val="0"/>
                    <w:snapToGrid w:val="0"/>
                    <w:jc w:val="center"/>
                    <w:rPr>
                      <w:rFonts w:ascii="Times New Roman" w:hAnsi="Times New Roman" w:eastAsia="宋体" w:cs="Times New Roman"/>
                      <w:szCs w:val="21"/>
                    </w:rPr>
                  </w:pPr>
                </w:p>
              </w:tc>
              <w:tc>
                <w:tcPr>
                  <w:tcW w:w="1185" w:type="dxa"/>
                  <w:vMerge w:val="continue"/>
                  <w:shd w:val="clear" w:color="auto" w:fill="auto"/>
                  <w:vAlign w:val="center"/>
                </w:tcPr>
                <w:p w14:paraId="3ECBDB48">
                  <w:pPr>
                    <w:adjustRightInd w:val="0"/>
                    <w:snapToGrid w:val="0"/>
                    <w:jc w:val="center"/>
                    <w:rPr>
                      <w:rFonts w:ascii="Times New Roman" w:hAnsi="Times New Roman" w:eastAsia="宋体" w:cs="Times New Roman"/>
                      <w:szCs w:val="21"/>
                    </w:rPr>
                  </w:pPr>
                </w:p>
              </w:tc>
              <w:tc>
                <w:tcPr>
                  <w:tcW w:w="1185" w:type="dxa"/>
                  <w:vMerge w:val="continue"/>
                  <w:shd w:val="clear" w:color="auto" w:fill="auto"/>
                  <w:vAlign w:val="center"/>
                </w:tcPr>
                <w:p w14:paraId="2DA83A1D">
                  <w:pPr>
                    <w:adjustRightInd w:val="0"/>
                    <w:snapToGrid w:val="0"/>
                    <w:jc w:val="center"/>
                    <w:rPr>
                      <w:rFonts w:ascii="Times New Roman" w:hAnsi="Times New Roman" w:eastAsia="宋体" w:cs="Times New Roman"/>
                      <w:szCs w:val="21"/>
                    </w:rPr>
                  </w:pPr>
                </w:p>
              </w:tc>
              <w:tc>
                <w:tcPr>
                  <w:tcW w:w="1185" w:type="dxa"/>
                  <w:shd w:val="clear" w:color="auto" w:fill="auto"/>
                  <w:vAlign w:val="center"/>
                </w:tcPr>
                <w:p w14:paraId="29CA460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昼间</w:t>
                  </w:r>
                </w:p>
              </w:tc>
              <w:tc>
                <w:tcPr>
                  <w:tcW w:w="1185" w:type="dxa"/>
                  <w:shd w:val="clear" w:color="auto" w:fill="auto"/>
                  <w:vAlign w:val="center"/>
                </w:tcPr>
                <w:p w14:paraId="4FED25B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标准</w:t>
                  </w:r>
                </w:p>
              </w:tc>
              <w:tc>
                <w:tcPr>
                  <w:tcW w:w="1186" w:type="dxa"/>
                  <w:shd w:val="clear" w:color="auto" w:fill="auto"/>
                  <w:vAlign w:val="center"/>
                </w:tcPr>
                <w:p w14:paraId="57CC35D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夜间</w:t>
                  </w:r>
                </w:p>
              </w:tc>
              <w:tc>
                <w:tcPr>
                  <w:tcW w:w="1186" w:type="dxa"/>
                  <w:shd w:val="clear" w:color="auto" w:fill="auto"/>
                  <w:vAlign w:val="center"/>
                </w:tcPr>
                <w:p w14:paraId="503A75E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标准</w:t>
                  </w:r>
                </w:p>
              </w:tc>
            </w:tr>
            <w:tr w14:paraId="0DB486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85" w:type="dxa"/>
                  <w:shd w:val="clear" w:color="auto" w:fill="auto"/>
                  <w:vAlign w:val="center"/>
                </w:tcPr>
                <w:p w14:paraId="29DD81D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底板与结构阶段</w:t>
                  </w:r>
                </w:p>
              </w:tc>
              <w:tc>
                <w:tcPr>
                  <w:tcW w:w="1185" w:type="dxa"/>
                  <w:shd w:val="clear" w:color="auto" w:fill="auto"/>
                  <w:vAlign w:val="center"/>
                </w:tcPr>
                <w:p w14:paraId="31CA390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电锯</w:t>
                  </w:r>
                </w:p>
              </w:tc>
              <w:tc>
                <w:tcPr>
                  <w:tcW w:w="1185" w:type="dxa"/>
                  <w:shd w:val="clear" w:color="auto" w:fill="auto"/>
                  <w:vAlign w:val="center"/>
                </w:tcPr>
                <w:p w14:paraId="35FA459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00</w:t>
                  </w:r>
                  <w:r>
                    <w:rPr>
                      <w:rFonts w:hint="eastAsia" w:ascii="Times New Roman" w:hAnsi="Times New Roman" w:eastAsia="宋体" w:cs="Times New Roman"/>
                      <w:szCs w:val="21"/>
                    </w:rPr>
                    <w:t>~</w:t>
                  </w:r>
                  <w:r>
                    <w:rPr>
                      <w:rFonts w:ascii="Times New Roman" w:hAnsi="Times New Roman" w:eastAsia="宋体" w:cs="Times New Roman"/>
                      <w:szCs w:val="21"/>
                    </w:rPr>
                    <w:t>105</w:t>
                  </w:r>
                </w:p>
              </w:tc>
              <w:tc>
                <w:tcPr>
                  <w:tcW w:w="1185" w:type="dxa"/>
                  <w:shd w:val="clear" w:color="auto" w:fill="auto"/>
                  <w:vAlign w:val="center"/>
                </w:tcPr>
                <w:p w14:paraId="5D4C845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0</w:t>
                  </w:r>
                  <w:r>
                    <w:rPr>
                      <w:rFonts w:hint="eastAsia" w:ascii="Times New Roman" w:hAnsi="Times New Roman" w:eastAsia="宋体" w:cs="Times New Roman"/>
                      <w:szCs w:val="21"/>
                    </w:rPr>
                    <w:t>~</w:t>
                  </w:r>
                  <w:r>
                    <w:rPr>
                      <w:rFonts w:ascii="Times New Roman" w:hAnsi="Times New Roman" w:eastAsia="宋体" w:cs="Times New Roman"/>
                      <w:szCs w:val="21"/>
                    </w:rPr>
                    <w:t>85</w:t>
                  </w:r>
                </w:p>
              </w:tc>
              <w:tc>
                <w:tcPr>
                  <w:tcW w:w="1185" w:type="dxa"/>
                  <w:vMerge w:val="restart"/>
                  <w:shd w:val="clear" w:color="auto" w:fill="auto"/>
                  <w:vAlign w:val="center"/>
                </w:tcPr>
                <w:p w14:paraId="5B7E4A0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0</w:t>
                  </w:r>
                </w:p>
              </w:tc>
              <w:tc>
                <w:tcPr>
                  <w:tcW w:w="1186" w:type="dxa"/>
                  <w:shd w:val="clear" w:color="auto" w:fill="auto"/>
                  <w:vAlign w:val="center"/>
                </w:tcPr>
                <w:p w14:paraId="16EA1C5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86" w:type="dxa"/>
                  <w:vMerge w:val="restart"/>
                  <w:shd w:val="clear" w:color="auto" w:fill="auto"/>
                  <w:vAlign w:val="center"/>
                </w:tcPr>
                <w:p w14:paraId="2E4E523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5</w:t>
                  </w:r>
                  <w:r>
                    <w:rPr>
                      <w:rFonts w:ascii="Times New Roman" w:hAnsi="Times New Roman" w:eastAsia="宋体" w:cs="Times New Roman"/>
                      <w:szCs w:val="21"/>
                    </w:rPr>
                    <w:t>5</w:t>
                  </w:r>
                </w:p>
              </w:tc>
            </w:tr>
            <w:tr w14:paraId="12CE3B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85" w:type="dxa"/>
                  <w:vMerge w:val="restart"/>
                  <w:shd w:val="clear" w:color="auto" w:fill="auto"/>
                  <w:vAlign w:val="center"/>
                </w:tcPr>
                <w:p w14:paraId="61A663F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安装阶段</w:t>
                  </w:r>
                </w:p>
              </w:tc>
              <w:tc>
                <w:tcPr>
                  <w:tcW w:w="1185" w:type="dxa"/>
                  <w:shd w:val="clear" w:color="auto" w:fill="auto"/>
                  <w:vAlign w:val="center"/>
                </w:tcPr>
                <w:p w14:paraId="4755BD7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电钻、手工钻</w:t>
                  </w:r>
                </w:p>
              </w:tc>
              <w:tc>
                <w:tcPr>
                  <w:tcW w:w="1185" w:type="dxa"/>
                  <w:shd w:val="clear" w:color="auto" w:fill="auto"/>
                  <w:vAlign w:val="center"/>
                </w:tcPr>
                <w:p w14:paraId="3F535E8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00</w:t>
                  </w:r>
                  <w:r>
                    <w:rPr>
                      <w:rFonts w:hint="eastAsia" w:ascii="Times New Roman" w:hAnsi="Times New Roman" w:eastAsia="宋体" w:cs="Times New Roman"/>
                      <w:szCs w:val="21"/>
                    </w:rPr>
                    <w:t>~</w:t>
                  </w:r>
                  <w:r>
                    <w:rPr>
                      <w:rFonts w:ascii="Times New Roman" w:hAnsi="Times New Roman" w:eastAsia="宋体" w:cs="Times New Roman"/>
                      <w:szCs w:val="21"/>
                    </w:rPr>
                    <w:t>105</w:t>
                  </w:r>
                </w:p>
              </w:tc>
              <w:tc>
                <w:tcPr>
                  <w:tcW w:w="1185" w:type="dxa"/>
                  <w:vMerge w:val="restart"/>
                  <w:shd w:val="clear" w:color="auto" w:fill="auto"/>
                  <w:vAlign w:val="center"/>
                </w:tcPr>
                <w:p w14:paraId="7C5ED72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0</w:t>
                  </w:r>
                  <w:r>
                    <w:rPr>
                      <w:rFonts w:hint="eastAsia" w:ascii="Times New Roman" w:hAnsi="Times New Roman" w:eastAsia="宋体" w:cs="Times New Roman"/>
                      <w:szCs w:val="21"/>
                    </w:rPr>
                    <w:t>~</w:t>
                  </w:r>
                  <w:r>
                    <w:rPr>
                      <w:rFonts w:ascii="Times New Roman" w:hAnsi="Times New Roman" w:eastAsia="宋体" w:cs="Times New Roman"/>
                      <w:szCs w:val="21"/>
                    </w:rPr>
                    <w:t>95</w:t>
                  </w:r>
                </w:p>
              </w:tc>
              <w:tc>
                <w:tcPr>
                  <w:tcW w:w="1185" w:type="dxa"/>
                  <w:vMerge w:val="continue"/>
                  <w:shd w:val="clear" w:color="auto" w:fill="auto"/>
                  <w:vAlign w:val="center"/>
                </w:tcPr>
                <w:p w14:paraId="5D71F400">
                  <w:pPr>
                    <w:adjustRightInd w:val="0"/>
                    <w:snapToGrid w:val="0"/>
                    <w:jc w:val="center"/>
                    <w:rPr>
                      <w:rFonts w:ascii="Times New Roman" w:hAnsi="Times New Roman" w:eastAsia="宋体" w:cs="Times New Roman"/>
                      <w:szCs w:val="21"/>
                    </w:rPr>
                  </w:pPr>
                </w:p>
              </w:tc>
              <w:tc>
                <w:tcPr>
                  <w:tcW w:w="1186" w:type="dxa"/>
                  <w:vMerge w:val="restart"/>
                  <w:shd w:val="clear" w:color="auto" w:fill="auto"/>
                  <w:vAlign w:val="center"/>
                </w:tcPr>
                <w:p w14:paraId="77AA7A3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86" w:type="dxa"/>
                  <w:vMerge w:val="continue"/>
                  <w:shd w:val="clear" w:color="auto" w:fill="auto"/>
                  <w:vAlign w:val="center"/>
                </w:tcPr>
                <w:p w14:paraId="622078FC">
                  <w:pPr>
                    <w:adjustRightInd w:val="0"/>
                    <w:snapToGrid w:val="0"/>
                    <w:jc w:val="center"/>
                    <w:rPr>
                      <w:rFonts w:ascii="Times New Roman" w:hAnsi="Times New Roman" w:eastAsia="宋体" w:cs="Times New Roman"/>
                      <w:szCs w:val="21"/>
                    </w:rPr>
                  </w:pPr>
                </w:p>
              </w:tc>
            </w:tr>
            <w:tr w14:paraId="0A1168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85" w:type="dxa"/>
                  <w:vMerge w:val="continue"/>
                  <w:shd w:val="clear" w:color="auto" w:fill="auto"/>
                  <w:vAlign w:val="center"/>
                </w:tcPr>
                <w:p w14:paraId="0CBD5ED0">
                  <w:pPr>
                    <w:adjustRightInd w:val="0"/>
                    <w:snapToGrid w:val="0"/>
                    <w:jc w:val="center"/>
                    <w:rPr>
                      <w:rFonts w:ascii="Times New Roman" w:hAnsi="Times New Roman" w:eastAsia="宋体" w:cs="Times New Roman"/>
                      <w:szCs w:val="21"/>
                    </w:rPr>
                  </w:pPr>
                </w:p>
              </w:tc>
              <w:tc>
                <w:tcPr>
                  <w:tcW w:w="1185" w:type="dxa"/>
                  <w:shd w:val="clear" w:color="auto" w:fill="auto"/>
                  <w:vAlign w:val="center"/>
                </w:tcPr>
                <w:p w14:paraId="57EAFE4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电锤</w:t>
                  </w:r>
                </w:p>
              </w:tc>
              <w:tc>
                <w:tcPr>
                  <w:tcW w:w="1185" w:type="dxa"/>
                  <w:shd w:val="clear" w:color="auto" w:fill="auto"/>
                  <w:vAlign w:val="center"/>
                </w:tcPr>
                <w:p w14:paraId="6D2A6DF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00</w:t>
                  </w:r>
                  <w:r>
                    <w:rPr>
                      <w:rFonts w:hint="eastAsia" w:ascii="Times New Roman" w:hAnsi="Times New Roman" w:eastAsia="宋体" w:cs="Times New Roman"/>
                      <w:szCs w:val="21"/>
                    </w:rPr>
                    <w:t>~</w:t>
                  </w:r>
                  <w:r>
                    <w:rPr>
                      <w:rFonts w:ascii="Times New Roman" w:hAnsi="Times New Roman" w:eastAsia="宋体" w:cs="Times New Roman"/>
                      <w:szCs w:val="21"/>
                    </w:rPr>
                    <w:t>105</w:t>
                  </w:r>
                </w:p>
              </w:tc>
              <w:tc>
                <w:tcPr>
                  <w:tcW w:w="1185" w:type="dxa"/>
                  <w:vMerge w:val="continue"/>
                  <w:shd w:val="clear" w:color="auto" w:fill="auto"/>
                  <w:vAlign w:val="center"/>
                </w:tcPr>
                <w:p w14:paraId="0FC8A992">
                  <w:pPr>
                    <w:adjustRightInd w:val="0"/>
                    <w:snapToGrid w:val="0"/>
                    <w:jc w:val="center"/>
                    <w:rPr>
                      <w:rFonts w:ascii="Times New Roman" w:hAnsi="Times New Roman" w:eastAsia="宋体" w:cs="Times New Roman"/>
                      <w:szCs w:val="21"/>
                    </w:rPr>
                  </w:pPr>
                </w:p>
              </w:tc>
              <w:tc>
                <w:tcPr>
                  <w:tcW w:w="1185" w:type="dxa"/>
                  <w:vMerge w:val="continue"/>
                  <w:shd w:val="clear" w:color="auto" w:fill="auto"/>
                  <w:vAlign w:val="center"/>
                </w:tcPr>
                <w:p w14:paraId="201DF2A0">
                  <w:pPr>
                    <w:adjustRightInd w:val="0"/>
                    <w:snapToGrid w:val="0"/>
                    <w:jc w:val="center"/>
                    <w:rPr>
                      <w:rFonts w:ascii="Times New Roman" w:hAnsi="Times New Roman" w:eastAsia="宋体" w:cs="Times New Roman"/>
                      <w:szCs w:val="21"/>
                    </w:rPr>
                  </w:pPr>
                </w:p>
              </w:tc>
              <w:tc>
                <w:tcPr>
                  <w:tcW w:w="1186" w:type="dxa"/>
                  <w:vMerge w:val="continue"/>
                  <w:shd w:val="clear" w:color="auto" w:fill="auto"/>
                  <w:vAlign w:val="center"/>
                </w:tcPr>
                <w:p w14:paraId="37F19A86">
                  <w:pPr>
                    <w:adjustRightInd w:val="0"/>
                    <w:snapToGrid w:val="0"/>
                    <w:jc w:val="center"/>
                    <w:rPr>
                      <w:rFonts w:ascii="Times New Roman" w:hAnsi="Times New Roman" w:eastAsia="宋体" w:cs="Times New Roman"/>
                      <w:szCs w:val="21"/>
                    </w:rPr>
                  </w:pPr>
                </w:p>
              </w:tc>
              <w:tc>
                <w:tcPr>
                  <w:tcW w:w="1186" w:type="dxa"/>
                  <w:vMerge w:val="continue"/>
                  <w:shd w:val="clear" w:color="auto" w:fill="auto"/>
                  <w:vAlign w:val="center"/>
                </w:tcPr>
                <w:p w14:paraId="4AC1DB93">
                  <w:pPr>
                    <w:adjustRightInd w:val="0"/>
                    <w:snapToGrid w:val="0"/>
                    <w:jc w:val="center"/>
                    <w:rPr>
                      <w:rFonts w:ascii="Times New Roman" w:hAnsi="Times New Roman" w:eastAsia="宋体" w:cs="Times New Roman"/>
                      <w:szCs w:val="21"/>
                    </w:rPr>
                  </w:pPr>
                </w:p>
              </w:tc>
            </w:tr>
            <w:tr w14:paraId="33E436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185" w:type="dxa"/>
                  <w:vMerge w:val="continue"/>
                  <w:shd w:val="clear" w:color="auto" w:fill="auto"/>
                  <w:vAlign w:val="center"/>
                </w:tcPr>
                <w:p w14:paraId="58E3B984">
                  <w:pPr>
                    <w:adjustRightInd w:val="0"/>
                    <w:snapToGrid w:val="0"/>
                    <w:jc w:val="center"/>
                    <w:rPr>
                      <w:rFonts w:ascii="Times New Roman" w:hAnsi="Times New Roman" w:eastAsia="宋体" w:cs="Times New Roman"/>
                      <w:szCs w:val="21"/>
                    </w:rPr>
                  </w:pPr>
                </w:p>
              </w:tc>
              <w:tc>
                <w:tcPr>
                  <w:tcW w:w="1185" w:type="dxa"/>
                  <w:shd w:val="clear" w:color="auto" w:fill="auto"/>
                  <w:vAlign w:val="center"/>
                </w:tcPr>
                <w:p w14:paraId="3350D8D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无齿锯</w:t>
                  </w:r>
                </w:p>
              </w:tc>
              <w:tc>
                <w:tcPr>
                  <w:tcW w:w="1185" w:type="dxa"/>
                  <w:shd w:val="clear" w:color="auto" w:fill="auto"/>
                  <w:vAlign w:val="center"/>
                </w:tcPr>
                <w:p w14:paraId="3F9A97E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05</w:t>
                  </w:r>
                </w:p>
              </w:tc>
              <w:tc>
                <w:tcPr>
                  <w:tcW w:w="1185" w:type="dxa"/>
                  <w:vMerge w:val="continue"/>
                  <w:shd w:val="clear" w:color="auto" w:fill="auto"/>
                  <w:vAlign w:val="center"/>
                </w:tcPr>
                <w:p w14:paraId="28C33C4F">
                  <w:pPr>
                    <w:adjustRightInd w:val="0"/>
                    <w:snapToGrid w:val="0"/>
                    <w:jc w:val="center"/>
                    <w:rPr>
                      <w:rFonts w:ascii="Times New Roman" w:hAnsi="Times New Roman" w:eastAsia="宋体" w:cs="Times New Roman"/>
                      <w:szCs w:val="21"/>
                    </w:rPr>
                  </w:pPr>
                </w:p>
              </w:tc>
              <w:tc>
                <w:tcPr>
                  <w:tcW w:w="1185" w:type="dxa"/>
                  <w:vMerge w:val="continue"/>
                  <w:shd w:val="clear" w:color="auto" w:fill="auto"/>
                  <w:vAlign w:val="center"/>
                </w:tcPr>
                <w:p w14:paraId="64ED7B0A">
                  <w:pPr>
                    <w:adjustRightInd w:val="0"/>
                    <w:snapToGrid w:val="0"/>
                    <w:jc w:val="center"/>
                    <w:rPr>
                      <w:rFonts w:ascii="Times New Roman" w:hAnsi="Times New Roman" w:eastAsia="宋体" w:cs="Times New Roman"/>
                      <w:szCs w:val="21"/>
                    </w:rPr>
                  </w:pPr>
                </w:p>
              </w:tc>
              <w:tc>
                <w:tcPr>
                  <w:tcW w:w="1186" w:type="dxa"/>
                  <w:vMerge w:val="continue"/>
                  <w:shd w:val="clear" w:color="auto" w:fill="auto"/>
                  <w:vAlign w:val="center"/>
                </w:tcPr>
                <w:p w14:paraId="05960E65">
                  <w:pPr>
                    <w:adjustRightInd w:val="0"/>
                    <w:snapToGrid w:val="0"/>
                    <w:jc w:val="center"/>
                    <w:rPr>
                      <w:rFonts w:ascii="Times New Roman" w:hAnsi="Times New Roman" w:eastAsia="宋体" w:cs="Times New Roman"/>
                      <w:szCs w:val="21"/>
                    </w:rPr>
                  </w:pPr>
                </w:p>
              </w:tc>
              <w:tc>
                <w:tcPr>
                  <w:tcW w:w="1186" w:type="dxa"/>
                  <w:vMerge w:val="continue"/>
                  <w:shd w:val="clear" w:color="auto" w:fill="auto"/>
                  <w:vAlign w:val="center"/>
                </w:tcPr>
                <w:p w14:paraId="68B2F169">
                  <w:pPr>
                    <w:adjustRightInd w:val="0"/>
                    <w:snapToGrid w:val="0"/>
                    <w:jc w:val="center"/>
                    <w:rPr>
                      <w:rFonts w:ascii="Times New Roman" w:hAnsi="Times New Roman" w:eastAsia="宋体" w:cs="Times New Roman"/>
                      <w:szCs w:val="21"/>
                    </w:rPr>
                  </w:pPr>
                </w:p>
              </w:tc>
            </w:tr>
          </w:tbl>
          <w:p w14:paraId="5501ADFB">
            <w:pPr>
              <w:adjustRightInd w:val="0"/>
              <w:snapToGrid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由外环境关系可知，项目</w:t>
            </w:r>
            <w:r>
              <w:rPr>
                <w:rFonts w:ascii="Times New Roman" w:hAnsi="Times New Roman" w:eastAsia="宋体" w:cs="Times New Roman"/>
                <w:sz w:val="24"/>
                <w:szCs w:val="24"/>
              </w:rPr>
              <w:t>外环境单纯，项目周边</w:t>
            </w:r>
            <w:r>
              <w:rPr>
                <w:rFonts w:hint="eastAsia" w:ascii="Times New Roman" w:hAnsi="Times New Roman" w:eastAsia="宋体" w:cs="Times New Roman"/>
                <w:sz w:val="24"/>
                <w:szCs w:val="24"/>
              </w:rPr>
              <w:t>敏感点较少，</w:t>
            </w:r>
            <w:r>
              <w:rPr>
                <w:rFonts w:ascii="Times New Roman" w:hAnsi="Times New Roman" w:eastAsia="宋体" w:cs="Times New Roman"/>
                <w:sz w:val="24"/>
                <w:szCs w:val="24"/>
              </w:rPr>
              <w:t>无特殊敏感点</w:t>
            </w:r>
            <w:r>
              <w:rPr>
                <w:rFonts w:hint="eastAsia" w:ascii="Times New Roman" w:hAnsi="Times New Roman" w:eastAsia="宋体" w:cs="Times New Roman"/>
                <w:sz w:val="24"/>
                <w:szCs w:val="24"/>
              </w:rPr>
              <w:t>，</w:t>
            </w:r>
            <w:r>
              <w:rPr>
                <w:rFonts w:ascii="Times New Roman" w:hAnsi="Times New Roman" w:eastAsia="宋体" w:cs="Times New Roman"/>
                <w:sz w:val="24"/>
                <w:szCs w:val="24"/>
              </w:rPr>
              <w:t>项目采取</w:t>
            </w:r>
            <w:r>
              <w:rPr>
                <w:rFonts w:ascii="Times New Roman" w:hAnsi="Times New Roman" w:eastAsia="宋体" w:cs="Times New Roman"/>
                <w:sz w:val="24"/>
              </w:rPr>
              <w:t>隔离墙的隔声，再利用施工场区的距离衰减作用，可使施工噪声影响得到有效控制。</w:t>
            </w:r>
          </w:p>
          <w:p w14:paraId="3C7C5EA2">
            <w:pPr>
              <w:adjustRightInd w:val="0"/>
              <w:snapToGrid w:val="0"/>
              <w:spacing w:line="360" w:lineRule="auto"/>
              <w:ind w:right="91" w:firstLine="480" w:firstLineChars="200"/>
              <w:rPr>
                <w:rFonts w:ascii="Times New Roman" w:hAnsi="Times New Roman" w:eastAsia="宋体" w:cs="Times New Roman"/>
                <w:sz w:val="24"/>
              </w:rPr>
            </w:pPr>
            <w:r>
              <w:rPr>
                <w:rFonts w:ascii="Times New Roman" w:hAnsi="Times New Roman" w:eastAsia="宋体" w:cs="Times New Roman"/>
                <w:sz w:val="24"/>
              </w:rPr>
              <w:t>但由于施工阶段一般为露天作业，除修筑建筑隔离墙进行隔声降噪外，无特殊隔声与削减措施，故噪声传播较远，受影响面较大，施工方应合理安排施工时间；如果工艺要求必须连续作业的强噪声施工，应首先征得当地建委、城管和</w:t>
            </w:r>
            <w:r>
              <w:rPr>
                <w:rFonts w:hint="eastAsia" w:ascii="Times New Roman" w:hAnsi="Times New Roman" w:eastAsia="宋体" w:cs="Times New Roman"/>
                <w:sz w:val="24"/>
              </w:rPr>
              <w:t>生态环境</w:t>
            </w:r>
            <w:r>
              <w:rPr>
                <w:rFonts w:ascii="Times New Roman" w:hAnsi="Times New Roman" w:eastAsia="宋体" w:cs="Times New Roman"/>
                <w:sz w:val="24"/>
              </w:rPr>
              <w:t>局等主管部门的同意，并及时公告周边居民，取得谅解，避免噪声扰民纠纷。</w:t>
            </w:r>
          </w:p>
          <w:p w14:paraId="0A474EA3">
            <w:pPr>
              <w:adjustRightInd w:val="0"/>
              <w:snapToGrid w:val="0"/>
              <w:spacing w:line="360" w:lineRule="auto"/>
              <w:ind w:right="91" w:firstLine="480" w:firstLineChars="200"/>
              <w:rPr>
                <w:rFonts w:ascii="Times New Roman" w:hAnsi="Times New Roman" w:eastAsia="宋体" w:cs="Times New Roman"/>
                <w:sz w:val="24"/>
              </w:rPr>
            </w:pPr>
            <w:r>
              <w:rPr>
                <w:rFonts w:hint="eastAsia" w:ascii="Times New Roman" w:hAnsi="Times New Roman" w:eastAsia="宋体" w:cs="Times New Roman"/>
                <w:sz w:val="24"/>
              </w:rPr>
              <w:t>本项目选址于峨边彝族自治县新林镇卷木村，为尽量防止和减少施工期间的噪声对</w:t>
            </w:r>
            <w:r>
              <w:rPr>
                <w:rFonts w:hint="eastAsia" w:ascii="Times New Roman" w:hAnsi="Times New Roman" w:eastAsia="宋体" w:cs="Times New Roman"/>
                <w:sz w:val="24"/>
                <w:lang w:eastAsia="zh-CN"/>
              </w:rPr>
              <w:t>周围</w:t>
            </w:r>
            <w:r>
              <w:rPr>
                <w:rFonts w:hint="eastAsia" w:ascii="Times New Roman" w:hAnsi="Times New Roman" w:eastAsia="宋体" w:cs="Times New Roman"/>
                <w:sz w:val="24"/>
              </w:rPr>
              <w:t>造成的影响，应采取如下控制措施：</w:t>
            </w:r>
          </w:p>
          <w:p w14:paraId="6CA07843">
            <w:pPr>
              <w:adjustRightInd w:val="0"/>
              <w:snapToGrid w:val="0"/>
              <w:spacing w:line="360" w:lineRule="auto"/>
              <w:ind w:right="91" w:firstLine="480" w:firstLineChars="200"/>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1）严格执行《环境噪声（振动）管理条例》中夜间严禁高噪声施工作业的规</w:t>
            </w:r>
            <w:r>
              <w:rPr>
                <w:rFonts w:hint="eastAsia" w:ascii="Times New Roman" w:hAnsi="Times New Roman" w:eastAsia="宋体" w:cs="Times New Roman"/>
                <w:sz w:val="24"/>
              </w:rPr>
              <w:t>定，合理安排高噪声施工作业的时间，每天</w:t>
            </w:r>
            <w:r>
              <w:rPr>
                <w:rFonts w:ascii="Times New Roman" w:hAnsi="Times New Roman" w:eastAsia="宋体" w:cs="Times New Roman"/>
                <w:sz w:val="24"/>
              </w:rPr>
              <w:t xml:space="preserve"> 22 点至次日凌晨 6 点禁止高噪声机械施</w:t>
            </w:r>
            <w:r>
              <w:rPr>
                <w:rFonts w:hint="eastAsia" w:ascii="Times New Roman" w:hAnsi="Times New Roman" w:eastAsia="宋体" w:cs="Times New Roman"/>
                <w:sz w:val="24"/>
              </w:rPr>
              <w:t>工和电动工具作业，尽量减少其他施工机械对周围环境的影响。</w:t>
            </w:r>
          </w:p>
          <w:p w14:paraId="63329341">
            <w:pPr>
              <w:adjustRightInd w:val="0"/>
              <w:snapToGrid w:val="0"/>
              <w:spacing w:line="360" w:lineRule="auto"/>
              <w:ind w:right="91" w:firstLine="480" w:firstLineChars="200"/>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2）严格执行《建筑施工场界环境噪声排放标准》（GB12523-2011）对施工阶</w:t>
            </w:r>
            <w:r>
              <w:rPr>
                <w:rFonts w:hint="eastAsia" w:ascii="Times New Roman" w:hAnsi="Times New Roman" w:eastAsia="宋体" w:cs="Times New Roman"/>
                <w:sz w:val="24"/>
              </w:rPr>
              <w:t>段噪声要求。</w:t>
            </w:r>
          </w:p>
          <w:p w14:paraId="26481AA1">
            <w:pPr>
              <w:adjustRightInd w:val="0"/>
              <w:snapToGrid w:val="0"/>
              <w:spacing w:line="360" w:lineRule="auto"/>
              <w:ind w:right="91" w:firstLine="480" w:firstLineChars="200"/>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3）加强施工区附近的交通管理，避免运输车辆堵塞而增加的车辆鸣号。</w:t>
            </w:r>
          </w:p>
          <w:p w14:paraId="37324930">
            <w:pPr>
              <w:adjustRightInd w:val="0"/>
              <w:snapToGrid w:val="0"/>
              <w:spacing w:line="360" w:lineRule="auto"/>
              <w:ind w:right="91" w:firstLine="480" w:firstLineChars="200"/>
              <w:rPr>
                <w:rFonts w:ascii="Times New Roman" w:hAnsi="Times New Roman" w:eastAsia="宋体" w:cs="Times New Roman"/>
                <w:sz w:val="24"/>
              </w:rPr>
            </w:pPr>
            <w:r>
              <w:rPr>
                <w:rFonts w:hint="eastAsia" w:ascii="Times New Roman" w:hAnsi="Times New Roman" w:eastAsia="宋体" w:cs="Times New Roman"/>
                <w:sz w:val="24"/>
              </w:rPr>
              <w:t>在采取上述施工噪声防治措施后，施工期场界噪声能满足《建筑施工场界噪声排放标准》（</w:t>
            </w:r>
            <w:r>
              <w:rPr>
                <w:rFonts w:ascii="Times New Roman" w:hAnsi="Times New Roman" w:eastAsia="宋体" w:cs="Times New Roman"/>
                <w:sz w:val="24"/>
              </w:rPr>
              <w:t>GB12523-2011）标准的要求</w:t>
            </w:r>
            <w:r>
              <w:rPr>
                <w:rFonts w:ascii="Times New Roman" w:hAnsi="Times New Roman" w:eastAsia="宋体" w:cs="Times New Roman"/>
                <w:bCs/>
                <w:sz w:val="24"/>
                <w:szCs w:val="24"/>
              </w:rPr>
              <w:t>，且影响是有限的、暂时的，会随着施工期的结束而消失。</w:t>
            </w:r>
          </w:p>
          <w:p w14:paraId="1F2E80D8">
            <w:pPr>
              <w:spacing w:line="360" w:lineRule="auto"/>
              <w:ind w:firstLine="482" w:firstLineChars="200"/>
              <w:rPr>
                <w:rFonts w:ascii="Times New Roman" w:hAnsi="Times New Roman" w:eastAsia="宋体" w:cs="Times New Roman"/>
                <w:b/>
                <w:sz w:val="24"/>
                <w:szCs w:val="24"/>
              </w:rPr>
            </w:pPr>
            <w:r>
              <w:rPr>
                <w:rFonts w:ascii="Times New Roman" w:hAnsi="Times New Roman" w:eastAsia="宋体" w:cs="Times New Roman"/>
                <w:b/>
                <w:sz w:val="24"/>
                <w:szCs w:val="24"/>
              </w:rPr>
              <w:t>4、施工期固体废弃物</w:t>
            </w:r>
          </w:p>
          <w:p w14:paraId="5611A01B">
            <w:pPr>
              <w:adjustRightInd w:val="0"/>
              <w:snapToGrid w:val="0"/>
              <w:spacing w:line="360" w:lineRule="auto"/>
              <w:ind w:right="91" w:firstLine="480" w:firstLineChars="200"/>
              <w:rPr>
                <w:rFonts w:ascii="Times New Roman" w:hAnsi="Times New Roman" w:eastAsia="宋体" w:cs="Times New Roman"/>
                <w:sz w:val="24"/>
              </w:rPr>
            </w:pPr>
            <w:r>
              <w:rPr>
                <w:rFonts w:ascii="Times New Roman" w:hAnsi="Times New Roman" w:eastAsia="宋体" w:cs="Times New Roman"/>
                <w:sz w:val="24"/>
              </w:rPr>
              <w:t>施工</w:t>
            </w:r>
            <w:r>
              <w:rPr>
                <w:rFonts w:hint="eastAsia" w:ascii="Times New Roman" w:hAnsi="Times New Roman" w:eastAsia="宋体" w:cs="Times New Roman"/>
                <w:sz w:val="24"/>
                <w:lang w:eastAsia="zh-CN"/>
              </w:rPr>
              <w:t>期间</w:t>
            </w:r>
            <w:r>
              <w:rPr>
                <w:rFonts w:ascii="Times New Roman" w:hAnsi="Times New Roman" w:eastAsia="宋体" w:cs="Times New Roman"/>
                <w:sz w:val="24"/>
              </w:rPr>
              <w:t>产生的固体废弃物为施工现场建筑废物和施工人员生活垃圾。根据《中华人民共和国固体废物污染环境防治法》相关规定，项目固废采取的处理措施如下：</w:t>
            </w:r>
          </w:p>
          <w:p w14:paraId="7D380A24">
            <w:pPr>
              <w:adjustRightInd w:val="0"/>
              <w:snapToGrid w:val="0"/>
              <w:spacing w:line="360" w:lineRule="auto"/>
              <w:ind w:right="91" w:firstLine="482" w:firstLineChars="200"/>
              <w:rPr>
                <w:rFonts w:ascii="Times New Roman" w:hAnsi="Times New Roman" w:eastAsia="宋体" w:cs="Times New Roman"/>
                <w:sz w:val="24"/>
              </w:rPr>
            </w:pPr>
            <w:r>
              <w:rPr>
                <w:rFonts w:hint="eastAsia" w:ascii="宋体" w:hAnsi="宋体" w:eastAsia="宋体" w:cs="宋体"/>
                <w:b/>
                <w:sz w:val="24"/>
              </w:rPr>
              <w:t>①</w:t>
            </w:r>
            <w:r>
              <w:rPr>
                <w:rFonts w:ascii="Times New Roman" w:hAnsi="Times New Roman" w:eastAsia="宋体" w:cs="Times New Roman"/>
                <w:b/>
                <w:sz w:val="24"/>
              </w:rPr>
              <w:t>施工人员产生的生活垃圾</w:t>
            </w:r>
          </w:p>
          <w:p w14:paraId="69E9FB37">
            <w:pPr>
              <w:adjustRightInd w:val="0"/>
              <w:snapToGrid w:val="0"/>
              <w:spacing w:line="360" w:lineRule="auto"/>
              <w:ind w:right="91" w:firstLine="480" w:firstLineChars="200"/>
              <w:rPr>
                <w:rFonts w:ascii="Times New Roman" w:hAnsi="Times New Roman" w:eastAsia="宋体" w:cs="Times New Roman"/>
                <w:sz w:val="24"/>
              </w:rPr>
            </w:pPr>
            <w:r>
              <w:rPr>
                <w:rFonts w:ascii="Times New Roman" w:hAnsi="Times New Roman" w:eastAsia="宋体" w:cs="Times New Roman"/>
                <w:sz w:val="24"/>
              </w:rPr>
              <w:t>按高峰期施工人员10人左右，产生的生活垃圾按0.5kg/人·d计算，垃圾产生量为5kg/d，集中收集后自行清运处理，不可就地填埋，以避免对区域环境空气和地下水环境质量构成潜在的影响因素。</w:t>
            </w:r>
          </w:p>
          <w:p w14:paraId="50575BCC">
            <w:pPr>
              <w:adjustRightInd w:val="0"/>
              <w:snapToGrid w:val="0"/>
              <w:spacing w:line="360" w:lineRule="auto"/>
              <w:ind w:right="91" w:firstLine="482" w:firstLineChars="200"/>
              <w:rPr>
                <w:rFonts w:ascii="Times New Roman" w:hAnsi="Times New Roman" w:eastAsia="宋体" w:cs="Times New Roman"/>
                <w:sz w:val="24"/>
              </w:rPr>
            </w:pPr>
            <w:r>
              <w:rPr>
                <w:rFonts w:hint="eastAsia" w:ascii="宋体" w:hAnsi="宋体" w:eastAsia="宋体" w:cs="宋体"/>
                <w:b/>
                <w:sz w:val="24"/>
              </w:rPr>
              <w:t>②</w:t>
            </w:r>
            <w:r>
              <w:rPr>
                <w:rFonts w:ascii="Times New Roman" w:hAnsi="Times New Roman" w:eastAsia="宋体" w:cs="Times New Roman"/>
                <w:b/>
                <w:sz w:val="24"/>
              </w:rPr>
              <w:t>施工现场建筑废物</w:t>
            </w:r>
          </w:p>
          <w:p w14:paraId="426993C0">
            <w:pPr>
              <w:adjustRightInd w:val="0"/>
              <w:snapToGrid w:val="0"/>
              <w:spacing w:line="360" w:lineRule="auto"/>
              <w:ind w:right="91" w:firstLine="480" w:firstLineChars="200"/>
              <w:rPr>
                <w:rFonts w:ascii="Times New Roman" w:hAnsi="Times New Roman" w:eastAsia="宋体" w:cs="Times New Roman"/>
                <w:sz w:val="24"/>
              </w:rPr>
            </w:pPr>
            <w:r>
              <w:rPr>
                <w:rFonts w:hint="eastAsia" w:ascii="Times New Roman" w:hAnsi="Times New Roman" w:eastAsia="宋体" w:cs="Times New Roman"/>
                <w:sz w:val="24"/>
              </w:rPr>
              <w:t>预计项目施工过程中产生的建筑垃圾</w:t>
            </w:r>
            <w:r>
              <w:rPr>
                <w:rFonts w:hint="eastAsia" w:ascii="Times New Roman" w:hAnsi="Times New Roman" w:eastAsia="宋体" w:cs="Times New Roman"/>
                <w:sz w:val="24"/>
                <w:lang w:eastAsia="zh-CN"/>
              </w:rPr>
              <w:t>（</w:t>
            </w:r>
            <w:r>
              <w:rPr>
                <w:rFonts w:ascii="Times New Roman" w:hAnsi="Times New Roman" w:eastAsia="宋体" w:cs="Times New Roman"/>
                <w:sz w:val="24"/>
              </w:rPr>
              <w:t>如水泥袋、铁质弃料、木材弃</w:t>
            </w:r>
            <w:r>
              <w:rPr>
                <w:rFonts w:hint="eastAsia" w:ascii="Times New Roman" w:hAnsi="Times New Roman" w:eastAsia="宋体" w:cs="Times New Roman"/>
                <w:sz w:val="24"/>
              </w:rPr>
              <w:t>料等</w:t>
            </w:r>
            <w:r>
              <w:rPr>
                <w:rFonts w:hint="eastAsia" w:ascii="Times New Roman" w:hAnsi="Times New Roman" w:eastAsia="宋体" w:cs="Times New Roman"/>
                <w:sz w:val="24"/>
                <w:lang w:eastAsia="zh-CN"/>
              </w:rPr>
              <w:t>）</w:t>
            </w:r>
            <w:r>
              <w:rPr>
                <w:rFonts w:ascii="Times New Roman" w:hAnsi="Times New Roman" w:eastAsia="宋体" w:cs="Times New Roman"/>
                <w:sz w:val="24"/>
              </w:rPr>
              <w:t>约为0.5t/d。在施工现场应设置临时建筑废物堆放场并进行密闭处理。施工生</w:t>
            </w:r>
            <w:r>
              <w:rPr>
                <w:rFonts w:hint="eastAsia" w:ascii="Times New Roman" w:hAnsi="Times New Roman" w:eastAsia="宋体" w:cs="Times New Roman"/>
                <w:sz w:val="24"/>
              </w:rPr>
              <w:t>产的废料首先应考虑废料的回收利用，对钢筋、钢板、木材等下角料可分类回收，交废物收购站处理；对不能回收的建筑垃圾，如混凝土废料、含砖、石、砂的杂土等以及不能回填的废渣，应集中堆放</w:t>
            </w:r>
            <w:r>
              <w:rPr>
                <w:rFonts w:hint="eastAsia" w:ascii="Times New Roman" w:hAnsi="Times New Roman" w:eastAsia="宋体" w:cs="Times New Roman"/>
                <w:color w:val="FF0000"/>
                <w:sz w:val="24"/>
              </w:rPr>
              <w:t>，作为运营期原料，</w:t>
            </w:r>
            <w:r>
              <w:rPr>
                <w:rFonts w:hint="eastAsia" w:ascii="Times New Roman" w:hAnsi="Times New Roman" w:eastAsia="宋体" w:cs="Times New Roman"/>
                <w:sz w:val="24"/>
              </w:rPr>
              <w:t>以免影响环境质量。为确保废弃物处置措施落实，建设单位或施工总承包单位在与建筑垃圾清运公司签订清运合同时，应要求承包公司提供废弃物去向的证明材料，严禁随意倾倒、填埋。</w:t>
            </w:r>
          </w:p>
          <w:p w14:paraId="67560324">
            <w:pPr>
              <w:adjustRightInd w:val="0"/>
              <w:snapToGrid w:val="0"/>
              <w:spacing w:line="360" w:lineRule="auto"/>
              <w:ind w:right="91" w:firstLine="482" w:firstLineChars="200"/>
              <w:rPr>
                <w:rFonts w:ascii="Times New Roman" w:hAnsi="Times New Roman" w:eastAsia="宋体" w:cs="Times New Roman"/>
                <w:b/>
                <w:bCs/>
                <w:sz w:val="24"/>
              </w:rPr>
            </w:pPr>
            <w:r>
              <w:rPr>
                <w:rFonts w:hint="eastAsia" w:ascii="Times New Roman" w:hAnsi="Times New Roman" w:eastAsia="宋体" w:cs="Times New Roman"/>
                <w:b/>
                <w:bCs/>
                <w:sz w:val="24"/>
              </w:rPr>
              <w:t>外运以上各种建筑垃圾时，运输车辆不允许超载，出场前一律清洗轮胎，用毡布覆盖，并且应沿指定的方向行驶至指定的项目原料堆场。</w:t>
            </w:r>
          </w:p>
          <w:p w14:paraId="69C36679">
            <w:pPr>
              <w:adjustRightInd w:val="0"/>
              <w:snapToGrid w:val="0"/>
              <w:spacing w:line="360" w:lineRule="auto"/>
              <w:ind w:right="91" w:firstLine="482" w:firstLineChars="200"/>
              <w:rPr>
                <w:rFonts w:ascii="Times New Roman" w:hAnsi="Times New Roman" w:eastAsia="宋体" w:cs="Times New Roman"/>
                <w:b/>
                <w:bCs/>
                <w:sz w:val="24"/>
                <w:szCs w:val="24"/>
              </w:rPr>
            </w:pPr>
            <w:r>
              <w:rPr>
                <w:rFonts w:ascii="Times New Roman" w:hAnsi="Times New Roman" w:eastAsia="宋体" w:cs="Times New Roman"/>
                <w:b/>
                <w:bCs/>
                <w:sz w:val="24"/>
                <w:szCs w:val="24"/>
              </w:rPr>
              <w:t>5、建设引起的水土流失</w:t>
            </w:r>
          </w:p>
          <w:p w14:paraId="083F2D77">
            <w:pPr>
              <w:adjustRightInd w:val="0"/>
              <w:snapToGrid w:val="0"/>
              <w:spacing w:line="348" w:lineRule="auto"/>
              <w:ind w:firstLine="424" w:firstLineChars="177"/>
              <w:rPr>
                <w:rFonts w:ascii="Times New Roman" w:hAnsi="Times New Roman" w:eastAsia="宋体" w:cs="Times New Roman"/>
                <w:b/>
                <w:sz w:val="24"/>
              </w:rPr>
            </w:pPr>
            <w:r>
              <w:rPr>
                <w:rFonts w:ascii="Times New Roman" w:hAnsi="Times New Roman" w:eastAsia="宋体" w:cs="Times New Roman"/>
                <w:sz w:val="24"/>
              </w:rPr>
              <w:t>项目实施过程中将破坏部分表土结构，减弱局部地区土层的稳定性，在暴雨较集中的时段施工，容易形成小范围的水土流失，另一方面也会增加施工难度和施工费用。因而针对本项目的水土流失，建议施工单位应采取如下措施：</w:t>
            </w:r>
          </w:p>
          <w:p w14:paraId="7ABFEB38">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1）施工期间采取严格的防治措施以减少水土流失，如尽量缩短土地裸露时间，</w:t>
            </w:r>
            <w:r>
              <w:rPr>
                <w:rFonts w:hint="eastAsia" w:ascii="Times New Roman" w:hAnsi="Times New Roman" w:eastAsia="宋体" w:cs="Times New Roman"/>
                <w:sz w:val="24"/>
              </w:rPr>
              <w:t>加快工程项目建设；制订施工计划时，施工进度安排避开在降雨量大的</w:t>
            </w:r>
            <w:r>
              <w:rPr>
                <w:rFonts w:ascii="Times New Roman" w:hAnsi="Times New Roman" w:eastAsia="宋体" w:cs="Times New Roman"/>
                <w:sz w:val="24"/>
              </w:rPr>
              <w:t xml:space="preserve"> 6-9 月份大面</w:t>
            </w:r>
            <w:r>
              <w:rPr>
                <w:rFonts w:hint="eastAsia" w:ascii="Times New Roman" w:hAnsi="Times New Roman" w:eastAsia="宋体" w:cs="Times New Roman"/>
                <w:sz w:val="24"/>
              </w:rPr>
              <w:t>积开挖和堆填；地面应压实等。</w:t>
            </w:r>
          </w:p>
          <w:p w14:paraId="2FAFBE01">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2）绿化植被的物种应优先选择当地有的物种，避免引进外来物种，以免影响</w:t>
            </w:r>
            <w:r>
              <w:rPr>
                <w:rFonts w:hint="eastAsia" w:ascii="Times New Roman" w:hAnsi="Times New Roman" w:eastAsia="宋体" w:cs="Times New Roman"/>
                <w:sz w:val="24"/>
              </w:rPr>
              <w:t>当地物种的种群结构。</w:t>
            </w:r>
          </w:p>
          <w:p w14:paraId="0418ED2E">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3）应加强对承包商的环保教育，工程施工过程中严禁施工人员在施工范围外</w:t>
            </w:r>
            <w:r>
              <w:rPr>
                <w:rFonts w:hint="eastAsia" w:ascii="Times New Roman" w:hAnsi="Times New Roman" w:eastAsia="宋体" w:cs="Times New Roman"/>
                <w:sz w:val="24"/>
              </w:rPr>
              <w:t>私自占地堆放施工机械或建筑材料。</w:t>
            </w:r>
          </w:p>
          <w:p w14:paraId="4B4FB5C2">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4）施工开始前，施工单位必须先与当地政府部门取得联系，协调有关施工场</w:t>
            </w:r>
            <w:r>
              <w:rPr>
                <w:rFonts w:hint="eastAsia" w:ascii="Times New Roman" w:hAnsi="Times New Roman" w:eastAsia="宋体" w:cs="Times New Roman"/>
                <w:sz w:val="24"/>
              </w:rPr>
              <w:t>地、施工营地以及施工临时便道等问题。</w:t>
            </w:r>
          </w:p>
          <w:p w14:paraId="4BFCA838">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5）设置必要的导水沟渠，将施工产生的废水沉淀后回用，不可随意引入地表</w:t>
            </w:r>
            <w:r>
              <w:rPr>
                <w:rFonts w:hint="eastAsia" w:ascii="Times New Roman" w:hAnsi="Times New Roman" w:eastAsia="宋体" w:cs="Times New Roman"/>
                <w:sz w:val="24"/>
              </w:rPr>
              <w:t>水体。</w:t>
            </w:r>
          </w:p>
          <w:p w14:paraId="36CE56E5">
            <w:pPr>
              <w:adjustRightInd w:val="0"/>
              <w:snapToGrid w:val="0"/>
              <w:spacing w:line="348" w:lineRule="auto"/>
              <w:ind w:firstLine="424" w:firstLineChars="177"/>
              <w:rPr>
                <w:rFonts w:ascii="Times New Roman" w:hAnsi="Times New Roman" w:eastAsia="宋体" w:cs="Times New Roman"/>
                <w:sz w:val="24"/>
              </w:rPr>
            </w:pPr>
            <w:r>
              <w:rPr>
                <w:rFonts w:hint="eastAsia" w:ascii="Times New Roman" w:hAnsi="Times New Roman" w:eastAsia="宋体" w:cs="Times New Roman"/>
                <w:sz w:val="24"/>
              </w:rPr>
              <w:t>（</w:t>
            </w:r>
            <w:r>
              <w:rPr>
                <w:rFonts w:ascii="Times New Roman" w:hAnsi="Times New Roman" w:eastAsia="宋体" w:cs="Times New Roman"/>
                <w:sz w:val="24"/>
              </w:rPr>
              <w:t>6）加强施工后期的绿化工作，施工结束后表层土不外露，厂区路面全部用水</w:t>
            </w:r>
            <w:r>
              <w:rPr>
                <w:rFonts w:hint="eastAsia" w:ascii="Times New Roman" w:hAnsi="Times New Roman" w:eastAsia="宋体" w:cs="Times New Roman"/>
                <w:sz w:val="24"/>
              </w:rPr>
              <w:t>泥铺设。</w:t>
            </w:r>
          </w:p>
          <w:p w14:paraId="24E84DE9">
            <w:pPr>
              <w:adjustRightInd w:val="0"/>
              <w:snapToGrid w:val="0"/>
              <w:spacing w:line="348" w:lineRule="auto"/>
              <w:ind w:firstLine="426" w:firstLineChars="177"/>
              <w:rPr>
                <w:rFonts w:ascii="Times New Roman" w:hAnsi="Times New Roman" w:eastAsia="宋体" w:cs="Times New Roman"/>
                <w:b/>
                <w:sz w:val="24"/>
                <w:szCs w:val="24"/>
              </w:rPr>
            </w:pPr>
            <w:r>
              <w:rPr>
                <w:rFonts w:ascii="Times New Roman" w:hAnsi="Times New Roman" w:eastAsia="宋体" w:cs="Times New Roman"/>
                <w:b/>
                <w:sz w:val="24"/>
                <w:szCs w:val="24"/>
              </w:rPr>
              <w:t>（二）营运期污染物排放及治理</w:t>
            </w:r>
          </w:p>
          <w:p w14:paraId="7F019864">
            <w:pPr>
              <w:tabs>
                <w:tab w:val="left" w:pos="5670"/>
              </w:tabs>
              <w:spacing w:line="480" w:lineRule="exact"/>
              <w:ind w:firstLine="482" w:firstLineChars="200"/>
              <w:rPr>
                <w:rFonts w:ascii="Times New Roman" w:hAnsi="Times New Roman" w:eastAsia="宋体" w:cs="Times New Roman"/>
                <w:b/>
                <w:bCs/>
                <w:sz w:val="24"/>
              </w:rPr>
            </w:pPr>
            <w:r>
              <w:rPr>
                <w:rFonts w:ascii="Times New Roman" w:hAnsi="Times New Roman" w:eastAsia="宋体" w:cs="Times New Roman"/>
                <w:b/>
                <w:sz w:val="24"/>
              </w:rPr>
              <w:t>1、</w:t>
            </w:r>
            <w:r>
              <w:rPr>
                <w:rFonts w:ascii="Times New Roman" w:hAnsi="Times New Roman" w:eastAsia="宋体" w:cs="Times New Roman"/>
                <w:b/>
                <w:bCs/>
                <w:sz w:val="24"/>
              </w:rPr>
              <w:t>废气排放及治理措施</w:t>
            </w:r>
          </w:p>
          <w:p w14:paraId="7B402FBB">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（1）</w:t>
            </w:r>
            <w:r>
              <w:rPr>
                <w:rFonts w:hint="eastAsia" w:ascii="Times New Roman" w:hAnsi="Times New Roman" w:eastAsia="宋体" w:cs="Times New Roman"/>
                <w:sz w:val="24"/>
              </w:rPr>
              <w:t>工艺</w:t>
            </w:r>
            <w:r>
              <w:rPr>
                <w:rFonts w:ascii="Times New Roman" w:hAnsi="Times New Roman" w:eastAsia="宋体" w:cs="Times New Roman"/>
                <w:sz w:val="24"/>
              </w:rPr>
              <w:t>粉尘</w:t>
            </w:r>
          </w:p>
          <w:p w14:paraId="68741F6E">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1 \* GB3 </w:instrText>
            </w:r>
            <w:r>
              <w:rPr>
                <w:rFonts w:ascii="Times New Roman" w:hAnsi="Times New Roman" w:eastAsia="宋体" w:cs="Times New Roman"/>
                <w:sz w:val="24"/>
              </w:rPr>
              <w:fldChar w:fldCharType="separate"/>
            </w:r>
            <w:r>
              <w:rPr>
                <w:rFonts w:hint="eastAsia" w:ascii="宋体" w:hAnsi="宋体" w:eastAsia="宋体" w:cs="宋体"/>
                <w:sz w:val="24"/>
              </w:rPr>
              <w:t>①</w:t>
            </w:r>
            <w:r>
              <w:rPr>
                <w:rFonts w:ascii="Times New Roman" w:hAnsi="Times New Roman" w:eastAsia="宋体" w:cs="Times New Roman"/>
                <w:sz w:val="24"/>
              </w:rPr>
              <w:fldChar w:fldCharType="end"/>
            </w:r>
            <w:r>
              <w:rPr>
                <w:rFonts w:ascii="Times New Roman" w:hAnsi="Times New Roman" w:eastAsia="宋体" w:cs="Times New Roman"/>
                <w:sz w:val="24"/>
              </w:rPr>
              <w:t>源强计算</w:t>
            </w:r>
          </w:p>
          <w:p w14:paraId="49E69A99">
            <w:pPr>
              <w:adjustRightInd w:val="0"/>
              <w:snapToGrid w:val="0"/>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项目工艺粉尘主要产生于破碎、筛分、制砂等工序，</w:t>
            </w:r>
            <w:r>
              <w:rPr>
                <w:rFonts w:ascii="Times New Roman" w:hAnsi="Times New Roman" w:eastAsia="宋体" w:cs="Times New Roman"/>
                <w:sz w:val="24"/>
              </w:rPr>
              <w:t>粉尘主要产生于头破，于头破后就采取湿法作业，粉尘</w:t>
            </w:r>
            <w:r>
              <w:rPr>
                <w:rFonts w:hint="eastAsia" w:ascii="Times New Roman" w:hAnsi="Times New Roman" w:eastAsia="宋体" w:cs="Times New Roman"/>
                <w:sz w:val="24"/>
              </w:rPr>
              <w:t>量较少</w:t>
            </w:r>
            <w:r>
              <w:rPr>
                <w:rFonts w:ascii="Times New Roman" w:hAnsi="Times New Roman" w:eastAsia="宋体" w:cs="Times New Roman"/>
                <w:sz w:val="24"/>
              </w:rPr>
              <w:t>，破碎粉尘源强计算加下：</w:t>
            </w:r>
          </w:p>
          <w:p w14:paraId="2EC5BF0B">
            <w:pPr>
              <w:adjustRightInd w:val="0"/>
              <w:snapToGrid w:val="0"/>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 xml:space="preserve">污染源核算量参照第二次全国污染源普查工业污染源普查《工业源系数手册 </w:t>
            </w:r>
            <w:r>
              <w:rPr>
                <w:rFonts w:ascii="Times New Roman" w:hAnsi="Times New Roman" w:eastAsia="宋体" w:cs="Times New Roman"/>
                <w:sz w:val="24"/>
              </w:rPr>
              <w:t>303</w:t>
            </w:r>
            <w:r>
              <w:rPr>
                <w:rFonts w:hint="eastAsia" w:ascii="Times New Roman" w:hAnsi="Times New Roman" w:eastAsia="宋体" w:cs="Times New Roman"/>
                <w:sz w:val="24"/>
              </w:rPr>
              <w:t>砖瓦、石材等建筑材料行业系数手册》（初稿）中“3</w:t>
            </w:r>
            <w:r>
              <w:rPr>
                <w:rFonts w:ascii="Times New Roman" w:hAnsi="Times New Roman" w:eastAsia="宋体" w:cs="Times New Roman"/>
                <w:sz w:val="24"/>
              </w:rPr>
              <w:t xml:space="preserve">039 </w:t>
            </w:r>
            <w:r>
              <w:rPr>
                <w:rFonts w:hint="eastAsia" w:ascii="Times New Roman" w:hAnsi="Times New Roman" w:eastAsia="宋体" w:cs="Times New Roman"/>
                <w:sz w:val="24"/>
              </w:rPr>
              <w:t>其他建筑材料制造行业”产污系数进行核算。</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
              <w:gridCol w:w="1038"/>
              <w:gridCol w:w="848"/>
              <w:gridCol w:w="848"/>
              <w:gridCol w:w="848"/>
              <w:gridCol w:w="1476"/>
              <w:gridCol w:w="1252"/>
              <w:gridCol w:w="1075"/>
            </w:tblGrid>
            <w:tr w14:paraId="00CAE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 w:type="pct"/>
                  <w:shd w:val="clear" w:color="auto" w:fill="auto"/>
                  <w:vAlign w:val="center"/>
                </w:tcPr>
                <w:p w14:paraId="733ECC34">
                  <w:pPr>
                    <w:jc w:val="center"/>
                    <w:outlineLvl w:val="1"/>
                    <w:rPr>
                      <w:rFonts w:ascii="Times New Roman" w:hAnsi="Times New Roman" w:eastAsia="宋体" w:cs="Times New Roman"/>
                      <w:b/>
                      <w:bCs/>
                      <w:szCs w:val="16"/>
                    </w:rPr>
                  </w:pPr>
                  <w:r>
                    <w:rPr>
                      <w:rFonts w:ascii="Times New Roman" w:hAnsi="Times New Roman" w:eastAsia="宋体" w:cs="Times New Roman"/>
                      <w:b/>
                      <w:bCs/>
                      <w:szCs w:val="16"/>
                    </w:rPr>
                    <w:t>核算环节</w:t>
                  </w:r>
                </w:p>
              </w:tc>
              <w:tc>
                <w:tcPr>
                  <w:tcW w:w="625" w:type="pct"/>
                  <w:shd w:val="clear" w:color="auto" w:fill="auto"/>
                  <w:vAlign w:val="center"/>
                </w:tcPr>
                <w:p w14:paraId="4B2CE478">
                  <w:pPr>
                    <w:jc w:val="center"/>
                    <w:outlineLvl w:val="1"/>
                    <w:rPr>
                      <w:rFonts w:ascii="Times New Roman" w:hAnsi="Times New Roman" w:eastAsia="宋体" w:cs="Times New Roman"/>
                      <w:b/>
                      <w:bCs/>
                      <w:szCs w:val="16"/>
                    </w:rPr>
                  </w:pPr>
                  <w:r>
                    <w:rPr>
                      <w:rFonts w:ascii="Times New Roman" w:hAnsi="Times New Roman" w:eastAsia="宋体" w:cs="Times New Roman"/>
                      <w:b/>
                      <w:bCs/>
                      <w:szCs w:val="16"/>
                    </w:rPr>
                    <w:t>产品名称</w:t>
                  </w:r>
                </w:p>
              </w:tc>
              <w:tc>
                <w:tcPr>
                  <w:tcW w:w="511" w:type="pct"/>
                  <w:shd w:val="clear" w:color="auto" w:fill="auto"/>
                  <w:vAlign w:val="center"/>
                </w:tcPr>
                <w:p w14:paraId="1445B9EC">
                  <w:pPr>
                    <w:jc w:val="center"/>
                    <w:outlineLvl w:val="1"/>
                    <w:rPr>
                      <w:rFonts w:ascii="Times New Roman" w:hAnsi="Times New Roman" w:eastAsia="宋体" w:cs="Times New Roman"/>
                      <w:b/>
                      <w:bCs/>
                      <w:szCs w:val="16"/>
                    </w:rPr>
                  </w:pPr>
                  <w:r>
                    <w:rPr>
                      <w:rFonts w:ascii="Times New Roman" w:hAnsi="Times New Roman" w:eastAsia="宋体" w:cs="Times New Roman"/>
                      <w:b/>
                      <w:bCs/>
                      <w:szCs w:val="16"/>
                    </w:rPr>
                    <w:t>原料名称</w:t>
                  </w:r>
                </w:p>
              </w:tc>
              <w:tc>
                <w:tcPr>
                  <w:tcW w:w="511" w:type="pct"/>
                  <w:shd w:val="clear" w:color="auto" w:fill="auto"/>
                  <w:vAlign w:val="center"/>
                </w:tcPr>
                <w:p w14:paraId="51FA3C8B">
                  <w:pPr>
                    <w:jc w:val="center"/>
                    <w:outlineLvl w:val="1"/>
                    <w:rPr>
                      <w:rFonts w:ascii="Times New Roman" w:hAnsi="Times New Roman" w:eastAsia="宋体" w:cs="Times New Roman"/>
                      <w:b/>
                      <w:bCs/>
                      <w:szCs w:val="16"/>
                    </w:rPr>
                  </w:pPr>
                  <w:r>
                    <w:rPr>
                      <w:rFonts w:ascii="Times New Roman" w:hAnsi="Times New Roman" w:eastAsia="宋体" w:cs="Times New Roman"/>
                      <w:b/>
                      <w:bCs/>
                      <w:szCs w:val="16"/>
                    </w:rPr>
                    <w:t>工艺名称</w:t>
                  </w:r>
                </w:p>
              </w:tc>
              <w:tc>
                <w:tcPr>
                  <w:tcW w:w="511" w:type="pct"/>
                  <w:shd w:val="clear" w:color="auto" w:fill="auto"/>
                  <w:vAlign w:val="center"/>
                </w:tcPr>
                <w:p w14:paraId="07F187FA">
                  <w:pPr>
                    <w:jc w:val="center"/>
                    <w:outlineLvl w:val="1"/>
                    <w:rPr>
                      <w:rFonts w:ascii="Times New Roman" w:hAnsi="Times New Roman" w:eastAsia="宋体" w:cs="Times New Roman"/>
                      <w:b/>
                      <w:bCs/>
                      <w:szCs w:val="16"/>
                    </w:rPr>
                  </w:pPr>
                  <w:r>
                    <w:rPr>
                      <w:rFonts w:ascii="Times New Roman" w:hAnsi="Times New Roman" w:eastAsia="宋体" w:cs="Times New Roman"/>
                      <w:b/>
                      <w:bCs/>
                      <w:szCs w:val="16"/>
                    </w:rPr>
                    <w:t>规模等级</w:t>
                  </w:r>
                </w:p>
              </w:tc>
              <w:tc>
                <w:tcPr>
                  <w:tcW w:w="889" w:type="pct"/>
                  <w:shd w:val="clear" w:color="auto" w:fill="auto"/>
                  <w:vAlign w:val="center"/>
                </w:tcPr>
                <w:p w14:paraId="57FA2F60">
                  <w:pPr>
                    <w:jc w:val="center"/>
                    <w:outlineLvl w:val="1"/>
                    <w:rPr>
                      <w:rFonts w:ascii="Times New Roman" w:hAnsi="Times New Roman" w:eastAsia="宋体" w:cs="Times New Roman"/>
                      <w:b/>
                      <w:bCs/>
                      <w:szCs w:val="16"/>
                    </w:rPr>
                  </w:pPr>
                  <w:r>
                    <w:rPr>
                      <w:rFonts w:ascii="Times New Roman" w:hAnsi="Times New Roman" w:eastAsia="宋体" w:cs="Times New Roman"/>
                      <w:b/>
                      <w:bCs/>
                      <w:szCs w:val="16"/>
                    </w:rPr>
                    <w:t>污染物指标</w:t>
                  </w:r>
                </w:p>
              </w:tc>
              <w:tc>
                <w:tcPr>
                  <w:tcW w:w="754" w:type="pct"/>
                  <w:shd w:val="clear" w:color="auto" w:fill="auto"/>
                  <w:vAlign w:val="center"/>
                </w:tcPr>
                <w:p w14:paraId="33F86080">
                  <w:pPr>
                    <w:jc w:val="center"/>
                    <w:outlineLvl w:val="1"/>
                    <w:rPr>
                      <w:rFonts w:ascii="Times New Roman" w:hAnsi="Times New Roman" w:eastAsia="宋体" w:cs="Times New Roman"/>
                      <w:b/>
                      <w:bCs/>
                      <w:szCs w:val="16"/>
                    </w:rPr>
                  </w:pPr>
                  <w:r>
                    <w:rPr>
                      <w:rFonts w:ascii="Times New Roman" w:hAnsi="Times New Roman" w:eastAsia="宋体" w:cs="Times New Roman"/>
                      <w:b/>
                      <w:bCs/>
                      <w:szCs w:val="16"/>
                    </w:rPr>
                    <w:t>系数单位</w:t>
                  </w:r>
                </w:p>
              </w:tc>
              <w:tc>
                <w:tcPr>
                  <w:tcW w:w="647" w:type="pct"/>
                  <w:shd w:val="clear" w:color="auto" w:fill="auto"/>
                  <w:vAlign w:val="center"/>
                </w:tcPr>
                <w:p w14:paraId="5A9AD42F">
                  <w:pPr>
                    <w:jc w:val="center"/>
                    <w:outlineLvl w:val="1"/>
                    <w:rPr>
                      <w:rFonts w:ascii="Times New Roman" w:hAnsi="Times New Roman" w:eastAsia="宋体" w:cs="Times New Roman"/>
                      <w:b/>
                      <w:bCs/>
                      <w:szCs w:val="16"/>
                    </w:rPr>
                  </w:pPr>
                  <w:r>
                    <w:rPr>
                      <w:rFonts w:ascii="Times New Roman" w:hAnsi="Times New Roman" w:eastAsia="宋体" w:cs="Times New Roman"/>
                      <w:b/>
                      <w:bCs/>
                      <w:szCs w:val="16"/>
                    </w:rPr>
                    <w:t>产污系数</w:t>
                  </w:r>
                </w:p>
              </w:tc>
            </w:tr>
            <w:tr w14:paraId="26391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 w:type="pct"/>
                  <w:vMerge w:val="restart"/>
                  <w:shd w:val="clear" w:color="auto" w:fill="auto"/>
                  <w:vAlign w:val="center"/>
                </w:tcPr>
                <w:p w14:paraId="02E8EF99">
                  <w:pPr>
                    <w:jc w:val="center"/>
                    <w:outlineLvl w:val="1"/>
                    <w:rPr>
                      <w:rFonts w:ascii="Times New Roman" w:hAnsi="Times New Roman" w:eastAsia="宋体" w:cs="Times New Roman"/>
                      <w:szCs w:val="16"/>
                    </w:rPr>
                  </w:pPr>
                  <w:r>
                    <w:rPr>
                      <w:rFonts w:ascii="Times New Roman" w:hAnsi="Times New Roman" w:eastAsia="宋体" w:cs="Times New Roman"/>
                      <w:szCs w:val="16"/>
                    </w:rPr>
                    <w:t>/</w:t>
                  </w:r>
                </w:p>
              </w:tc>
              <w:tc>
                <w:tcPr>
                  <w:tcW w:w="625" w:type="pct"/>
                  <w:vMerge w:val="restart"/>
                  <w:shd w:val="clear" w:color="auto" w:fill="auto"/>
                  <w:vAlign w:val="center"/>
                </w:tcPr>
                <w:p w14:paraId="3D3C76C2">
                  <w:pPr>
                    <w:jc w:val="center"/>
                    <w:outlineLvl w:val="1"/>
                    <w:rPr>
                      <w:rFonts w:ascii="Times New Roman" w:hAnsi="Times New Roman" w:eastAsia="宋体" w:cs="Times New Roman"/>
                      <w:szCs w:val="16"/>
                    </w:rPr>
                  </w:pPr>
                  <w:r>
                    <w:rPr>
                      <w:rFonts w:ascii="Times New Roman" w:hAnsi="Times New Roman" w:eastAsia="宋体" w:cs="Times New Roman"/>
                      <w:szCs w:val="16"/>
                    </w:rPr>
                    <w:t>砂石骨料</w:t>
                  </w:r>
                </w:p>
              </w:tc>
              <w:tc>
                <w:tcPr>
                  <w:tcW w:w="511" w:type="pct"/>
                  <w:vMerge w:val="restart"/>
                  <w:shd w:val="clear" w:color="auto" w:fill="auto"/>
                  <w:vAlign w:val="center"/>
                </w:tcPr>
                <w:p w14:paraId="53A4BBF7">
                  <w:pPr>
                    <w:jc w:val="center"/>
                    <w:outlineLvl w:val="1"/>
                    <w:rPr>
                      <w:rFonts w:ascii="Times New Roman" w:hAnsi="Times New Roman" w:eastAsia="宋体" w:cs="Times New Roman"/>
                      <w:szCs w:val="16"/>
                    </w:rPr>
                  </w:pPr>
                  <w:r>
                    <w:rPr>
                      <w:rFonts w:ascii="Times New Roman" w:hAnsi="Times New Roman" w:eastAsia="宋体" w:cs="Times New Roman"/>
                      <w:szCs w:val="16"/>
                    </w:rPr>
                    <w:t>碎石、砂石</w:t>
                  </w:r>
                </w:p>
              </w:tc>
              <w:tc>
                <w:tcPr>
                  <w:tcW w:w="511" w:type="pct"/>
                  <w:vMerge w:val="restart"/>
                  <w:shd w:val="clear" w:color="auto" w:fill="auto"/>
                  <w:vAlign w:val="center"/>
                </w:tcPr>
                <w:p w14:paraId="71CBC8E5">
                  <w:pPr>
                    <w:jc w:val="center"/>
                    <w:outlineLvl w:val="1"/>
                    <w:rPr>
                      <w:rFonts w:ascii="Times New Roman" w:hAnsi="Times New Roman" w:eastAsia="宋体" w:cs="Times New Roman"/>
                      <w:szCs w:val="16"/>
                    </w:rPr>
                  </w:pPr>
                  <w:r>
                    <w:rPr>
                      <w:rFonts w:ascii="Times New Roman" w:hAnsi="Times New Roman" w:eastAsia="宋体" w:cs="Times New Roman"/>
                      <w:szCs w:val="16"/>
                    </w:rPr>
                    <w:t>破碎、筛分</w:t>
                  </w:r>
                </w:p>
              </w:tc>
              <w:tc>
                <w:tcPr>
                  <w:tcW w:w="511" w:type="pct"/>
                  <w:vMerge w:val="restart"/>
                  <w:shd w:val="clear" w:color="auto" w:fill="auto"/>
                  <w:vAlign w:val="center"/>
                </w:tcPr>
                <w:p w14:paraId="31E6F50D">
                  <w:pPr>
                    <w:jc w:val="center"/>
                    <w:outlineLvl w:val="1"/>
                    <w:rPr>
                      <w:rFonts w:ascii="Times New Roman" w:hAnsi="Times New Roman" w:eastAsia="宋体" w:cs="Times New Roman"/>
                      <w:szCs w:val="16"/>
                    </w:rPr>
                  </w:pPr>
                  <w:r>
                    <w:rPr>
                      <w:rFonts w:ascii="Times New Roman" w:hAnsi="Times New Roman" w:eastAsia="宋体" w:cs="Times New Roman"/>
                      <w:szCs w:val="16"/>
                    </w:rPr>
                    <w:t>所有规模</w:t>
                  </w:r>
                </w:p>
              </w:tc>
              <w:tc>
                <w:tcPr>
                  <w:tcW w:w="889" w:type="pct"/>
                  <w:shd w:val="clear" w:color="auto" w:fill="auto"/>
                  <w:vAlign w:val="center"/>
                </w:tcPr>
                <w:p w14:paraId="0453B0F1">
                  <w:pPr>
                    <w:jc w:val="center"/>
                    <w:outlineLvl w:val="1"/>
                    <w:rPr>
                      <w:rFonts w:ascii="Times New Roman" w:hAnsi="Times New Roman" w:eastAsia="宋体" w:cs="Times New Roman"/>
                      <w:szCs w:val="16"/>
                    </w:rPr>
                  </w:pPr>
                  <w:r>
                    <w:rPr>
                      <w:rFonts w:ascii="Times New Roman" w:hAnsi="Times New Roman" w:eastAsia="宋体" w:cs="Times New Roman"/>
                      <w:szCs w:val="16"/>
                    </w:rPr>
                    <w:t>工业废气量</w:t>
                  </w:r>
                </w:p>
              </w:tc>
              <w:tc>
                <w:tcPr>
                  <w:tcW w:w="754" w:type="pct"/>
                  <w:shd w:val="clear" w:color="auto" w:fill="auto"/>
                  <w:vAlign w:val="center"/>
                </w:tcPr>
                <w:p w14:paraId="19B7D064">
                  <w:pPr>
                    <w:jc w:val="center"/>
                    <w:outlineLvl w:val="1"/>
                    <w:rPr>
                      <w:rFonts w:ascii="Times New Roman" w:hAnsi="Times New Roman" w:eastAsia="宋体" w:cs="Times New Roman"/>
                      <w:szCs w:val="16"/>
                    </w:rPr>
                  </w:pPr>
                  <w:r>
                    <w:rPr>
                      <w:rFonts w:ascii="Times New Roman" w:hAnsi="Times New Roman" w:eastAsia="宋体" w:cs="Times New Roman"/>
                      <w:szCs w:val="16"/>
                    </w:rPr>
                    <w:t>标立方米/吨</w:t>
                  </w:r>
                  <w:r>
                    <w:rPr>
                      <w:rFonts w:hint="eastAsia" w:ascii="Times New Roman" w:hAnsi="Times New Roman" w:eastAsia="宋体" w:cs="Times New Roman"/>
                      <w:szCs w:val="16"/>
                      <w:lang w:eastAsia="zh-CN"/>
                    </w:rPr>
                    <w:t>－</w:t>
                  </w:r>
                  <w:r>
                    <w:rPr>
                      <w:rFonts w:ascii="Times New Roman" w:hAnsi="Times New Roman" w:eastAsia="宋体" w:cs="Times New Roman"/>
                      <w:szCs w:val="16"/>
                    </w:rPr>
                    <w:t>产品</w:t>
                  </w:r>
                </w:p>
              </w:tc>
              <w:tc>
                <w:tcPr>
                  <w:tcW w:w="647" w:type="pct"/>
                  <w:shd w:val="clear" w:color="auto" w:fill="auto"/>
                  <w:vAlign w:val="center"/>
                </w:tcPr>
                <w:p w14:paraId="3BC240B4">
                  <w:pPr>
                    <w:jc w:val="center"/>
                    <w:outlineLvl w:val="1"/>
                    <w:rPr>
                      <w:rFonts w:ascii="Times New Roman" w:hAnsi="Times New Roman" w:eastAsia="宋体" w:cs="Times New Roman"/>
                      <w:szCs w:val="16"/>
                    </w:rPr>
                  </w:pPr>
                  <w:r>
                    <w:rPr>
                      <w:rFonts w:ascii="Times New Roman" w:hAnsi="Times New Roman" w:eastAsia="宋体" w:cs="Times New Roman"/>
                      <w:szCs w:val="16"/>
                    </w:rPr>
                    <w:t>1215</w:t>
                  </w:r>
                </w:p>
              </w:tc>
            </w:tr>
            <w:tr w14:paraId="3C982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 w:type="pct"/>
                  <w:vMerge w:val="continue"/>
                  <w:shd w:val="clear" w:color="auto" w:fill="auto"/>
                  <w:vAlign w:val="center"/>
                </w:tcPr>
                <w:p w14:paraId="7672B24D">
                  <w:pPr>
                    <w:jc w:val="center"/>
                    <w:outlineLvl w:val="1"/>
                    <w:rPr>
                      <w:rFonts w:ascii="Times New Roman" w:hAnsi="Times New Roman" w:eastAsia="宋体" w:cs="Times New Roman"/>
                      <w:szCs w:val="16"/>
                    </w:rPr>
                  </w:pPr>
                </w:p>
              </w:tc>
              <w:tc>
                <w:tcPr>
                  <w:tcW w:w="625" w:type="pct"/>
                  <w:vMerge w:val="continue"/>
                  <w:shd w:val="clear" w:color="auto" w:fill="auto"/>
                  <w:vAlign w:val="center"/>
                </w:tcPr>
                <w:p w14:paraId="292F2D0F">
                  <w:pPr>
                    <w:jc w:val="center"/>
                    <w:outlineLvl w:val="1"/>
                    <w:rPr>
                      <w:rFonts w:ascii="Times New Roman" w:hAnsi="Times New Roman" w:eastAsia="宋体" w:cs="Times New Roman"/>
                      <w:szCs w:val="16"/>
                    </w:rPr>
                  </w:pPr>
                </w:p>
              </w:tc>
              <w:tc>
                <w:tcPr>
                  <w:tcW w:w="511" w:type="pct"/>
                  <w:vMerge w:val="continue"/>
                  <w:shd w:val="clear" w:color="auto" w:fill="auto"/>
                  <w:vAlign w:val="center"/>
                </w:tcPr>
                <w:p w14:paraId="11E0604F">
                  <w:pPr>
                    <w:jc w:val="center"/>
                    <w:outlineLvl w:val="1"/>
                    <w:rPr>
                      <w:rFonts w:ascii="Times New Roman" w:hAnsi="Times New Roman" w:eastAsia="宋体" w:cs="Times New Roman"/>
                      <w:szCs w:val="16"/>
                    </w:rPr>
                  </w:pPr>
                </w:p>
              </w:tc>
              <w:tc>
                <w:tcPr>
                  <w:tcW w:w="511" w:type="pct"/>
                  <w:vMerge w:val="continue"/>
                  <w:shd w:val="clear" w:color="auto" w:fill="auto"/>
                  <w:vAlign w:val="center"/>
                </w:tcPr>
                <w:p w14:paraId="67DB7197">
                  <w:pPr>
                    <w:jc w:val="center"/>
                    <w:outlineLvl w:val="1"/>
                    <w:rPr>
                      <w:rFonts w:ascii="Times New Roman" w:hAnsi="Times New Roman" w:eastAsia="宋体" w:cs="Times New Roman"/>
                      <w:szCs w:val="16"/>
                    </w:rPr>
                  </w:pPr>
                </w:p>
              </w:tc>
              <w:tc>
                <w:tcPr>
                  <w:tcW w:w="511" w:type="pct"/>
                  <w:vMerge w:val="continue"/>
                  <w:shd w:val="clear" w:color="auto" w:fill="auto"/>
                  <w:vAlign w:val="center"/>
                </w:tcPr>
                <w:p w14:paraId="68A1A537">
                  <w:pPr>
                    <w:jc w:val="center"/>
                    <w:outlineLvl w:val="1"/>
                    <w:rPr>
                      <w:rFonts w:ascii="Times New Roman" w:hAnsi="Times New Roman" w:eastAsia="宋体" w:cs="Times New Roman"/>
                      <w:szCs w:val="16"/>
                    </w:rPr>
                  </w:pPr>
                </w:p>
              </w:tc>
              <w:tc>
                <w:tcPr>
                  <w:tcW w:w="889" w:type="pct"/>
                  <w:shd w:val="clear" w:color="auto" w:fill="auto"/>
                  <w:vAlign w:val="center"/>
                </w:tcPr>
                <w:p w14:paraId="1C4C1662">
                  <w:pPr>
                    <w:jc w:val="center"/>
                    <w:outlineLvl w:val="1"/>
                    <w:rPr>
                      <w:rFonts w:ascii="Times New Roman" w:hAnsi="Times New Roman" w:eastAsia="宋体" w:cs="Times New Roman"/>
                      <w:szCs w:val="16"/>
                    </w:rPr>
                  </w:pPr>
                  <w:r>
                    <w:rPr>
                      <w:rFonts w:ascii="Times New Roman" w:hAnsi="Times New Roman" w:eastAsia="宋体" w:cs="Times New Roman"/>
                      <w:szCs w:val="16"/>
                    </w:rPr>
                    <w:t>颗粒物</w:t>
                  </w:r>
                </w:p>
              </w:tc>
              <w:tc>
                <w:tcPr>
                  <w:tcW w:w="754" w:type="pct"/>
                  <w:shd w:val="clear" w:color="auto" w:fill="auto"/>
                  <w:vAlign w:val="center"/>
                </w:tcPr>
                <w:p w14:paraId="2E037A8E">
                  <w:pPr>
                    <w:jc w:val="center"/>
                    <w:outlineLvl w:val="1"/>
                    <w:rPr>
                      <w:rFonts w:ascii="Times New Roman" w:hAnsi="Times New Roman" w:eastAsia="宋体" w:cs="Times New Roman"/>
                      <w:szCs w:val="16"/>
                    </w:rPr>
                  </w:pPr>
                  <w:r>
                    <w:rPr>
                      <w:rFonts w:ascii="Times New Roman" w:hAnsi="Times New Roman" w:eastAsia="宋体" w:cs="Times New Roman"/>
                      <w:szCs w:val="16"/>
                    </w:rPr>
                    <w:t>千克/吨</w:t>
                  </w:r>
                  <w:r>
                    <w:rPr>
                      <w:rFonts w:hint="eastAsia" w:ascii="Times New Roman" w:hAnsi="Times New Roman" w:eastAsia="宋体" w:cs="Times New Roman"/>
                      <w:szCs w:val="16"/>
                      <w:lang w:eastAsia="zh-CN"/>
                    </w:rPr>
                    <w:t>－</w:t>
                  </w:r>
                  <w:r>
                    <w:rPr>
                      <w:rFonts w:ascii="Times New Roman" w:hAnsi="Times New Roman" w:eastAsia="宋体" w:cs="Times New Roman"/>
                      <w:szCs w:val="16"/>
                    </w:rPr>
                    <w:t>产品</w:t>
                  </w:r>
                </w:p>
              </w:tc>
              <w:tc>
                <w:tcPr>
                  <w:tcW w:w="647" w:type="pct"/>
                  <w:shd w:val="clear" w:color="auto" w:fill="auto"/>
                  <w:vAlign w:val="center"/>
                </w:tcPr>
                <w:p w14:paraId="568161F7">
                  <w:pPr>
                    <w:jc w:val="center"/>
                    <w:outlineLvl w:val="1"/>
                    <w:rPr>
                      <w:rFonts w:ascii="Times New Roman" w:hAnsi="Times New Roman" w:eastAsia="宋体" w:cs="Times New Roman"/>
                      <w:szCs w:val="16"/>
                    </w:rPr>
                  </w:pPr>
                  <w:r>
                    <w:rPr>
                      <w:rFonts w:ascii="Times New Roman" w:hAnsi="Times New Roman" w:eastAsia="宋体" w:cs="Times New Roman"/>
                      <w:szCs w:val="16"/>
                    </w:rPr>
                    <w:t>1.89</w:t>
                  </w:r>
                </w:p>
              </w:tc>
            </w:tr>
          </w:tbl>
          <w:p w14:paraId="34EC45EF">
            <w:pPr>
              <w:adjustRightInd w:val="0"/>
              <w:snapToGrid w:val="0"/>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污染源核算</w:t>
            </w:r>
            <w:r>
              <w:rPr>
                <w:rFonts w:ascii="Times New Roman" w:hAnsi="Times New Roman" w:eastAsia="宋体" w:cs="Times New Roman"/>
                <w:sz w:val="24"/>
              </w:rPr>
              <w:t>破碎为干法破碎、筛分易起尘，计算结果见下：</w:t>
            </w:r>
          </w:p>
          <w:p w14:paraId="6743A57B">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粉尘源强=20×10</w:t>
            </w:r>
            <w:r>
              <w:rPr>
                <w:rFonts w:ascii="Times New Roman" w:hAnsi="Times New Roman" w:eastAsia="宋体" w:cs="Times New Roman"/>
                <w:sz w:val="24"/>
                <w:vertAlign w:val="superscript"/>
              </w:rPr>
              <w:t>4</w:t>
            </w:r>
            <w:r>
              <w:rPr>
                <w:rFonts w:ascii="Times New Roman" w:hAnsi="Times New Roman" w:eastAsia="宋体" w:cs="Times New Roman"/>
                <w:sz w:val="24"/>
              </w:rPr>
              <w:t>t/a</w:t>
            </w:r>
            <w:r>
              <w:rPr>
                <w:rFonts w:hint="eastAsia" w:ascii="Times New Roman" w:hAnsi="Times New Roman" w:eastAsia="宋体" w:cs="Times New Roman"/>
                <w:sz w:val="24"/>
              </w:rPr>
              <w:t>建筑垃圾</w:t>
            </w:r>
            <w:r>
              <w:rPr>
                <w:rFonts w:ascii="Times New Roman" w:hAnsi="Times New Roman" w:eastAsia="宋体" w:cs="Times New Roman"/>
                <w:sz w:val="24"/>
              </w:rPr>
              <w:t>×1.89</w:t>
            </w:r>
            <w:r>
              <w:rPr>
                <w:rFonts w:hint="eastAsia" w:ascii="Times New Roman" w:hAnsi="Times New Roman" w:eastAsia="宋体" w:cs="Times New Roman"/>
                <w:sz w:val="24"/>
              </w:rPr>
              <w:t>千克/吨-产品</w:t>
            </w:r>
            <w:r>
              <w:rPr>
                <w:rFonts w:ascii="Times New Roman" w:hAnsi="Times New Roman" w:eastAsia="宋体" w:cs="Times New Roman"/>
                <w:sz w:val="24"/>
              </w:rPr>
              <w:t>=378t/a</w:t>
            </w:r>
          </w:p>
          <w:p w14:paraId="293060B6">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Q</w:t>
            </w:r>
            <w:r>
              <w:rPr>
                <w:rFonts w:ascii="Times New Roman" w:hAnsi="Times New Roman" w:eastAsia="宋体" w:cs="Times New Roman"/>
                <w:sz w:val="24"/>
                <w:vertAlign w:val="subscript"/>
              </w:rPr>
              <w:t>TSP</w:t>
            </w:r>
            <w:r>
              <w:rPr>
                <w:rFonts w:ascii="Times New Roman" w:hAnsi="Times New Roman" w:eastAsia="宋体" w:cs="Times New Roman"/>
                <w:sz w:val="24"/>
              </w:rPr>
              <w:t>=800t/a÷300d÷8h</w:t>
            </w:r>
            <w:r>
              <w:rPr>
                <w:rFonts w:hint="eastAsia" w:ascii="Times New Roman" w:hAnsi="Times New Roman" w:eastAsia="宋体" w:cs="Times New Roman"/>
                <w:sz w:val="24"/>
              </w:rPr>
              <w:t>=</w:t>
            </w:r>
            <w:r>
              <w:rPr>
                <w:rFonts w:ascii="Times New Roman" w:hAnsi="Times New Roman" w:eastAsia="宋体" w:cs="Times New Roman"/>
                <w:sz w:val="24"/>
              </w:rPr>
              <w:t>157.5kg/h</w:t>
            </w:r>
          </w:p>
          <w:p w14:paraId="5793BAA7">
            <w:pPr>
              <w:adjustRightInd w:val="0"/>
              <w:snapToGrid w:val="0"/>
              <w:spacing w:line="480" w:lineRule="exact"/>
              <w:ind w:firstLine="482" w:firstLineChars="200"/>
              <w:rPr>
                <w:rFonts w:ascii="Times New Roman" w:hAnsi="Times New Roman" w:eastAsia="宋体" w:cs="Times New Roman"/>
                <w:sz w:val="24"/>
              </w:rPr>
            </w:pPr>
            <w:r>
              <w:rPr>
                <w:rFonts w:ascii="Times New Roman" w:hAnsi="Times New Roman" w:eastAsia="宋体" w:cs="Times New Roman"/>
                <w:b/>
                <w:sz w:val="24"/>
              </w:rPr>
              <w:t>治理措施</w:t>
            </w:r>
            <w:r>
              <w:rPr>
                <w:rFonts w:ascii="Times New Roman" w:hAnsi="Times New Roman" w:eastAsia="宋体" w:cs="Times New Roman"/>
                <w:sz w:val="24"/>
              </w:rPr>
              <w:t>：经现场勘查，建设单位现有及</w:t>
            </w:r>
            <w:r>
              <w:rPr>
                <w:rFonts w:hint="eastAsia" w:ascii="Times New Roman" w:hAnsi="Times New Roman" w:eastAsia="宋体" w:cs="Times New Roman"/>
                <w:sz w:val="24"/>
              </w:rPr>
              <w:t>拟</w:t>
            </w:r>
            <w:r>
              <w:rPr>
                <w:rFonts w:ascii="Times New Roman" w:hAnsi="Times New Roman" w:eastAsia="宋体" w:cs="Times New Roman"/>
                <w:sz w:val="24"/>
              </w:rPr>
              <w:t>新建项目采用</w:t>
            </w:r>
            <w:r>
              <w:rPr>
                <w:rFonts w:hint="eastAsia" w:ascii="Times New Roman" w:hAnsi="Times New Roman" w:eastAsia="宋体" w:cs="Times New Roman"/>
                <w:sz w:val="24"/>
              </w:rPr>
              <w:t>密闭车间</w:t>
            </w:r>
            <w:r>
              <w:rPr>
                <w:rFonts w:ascii="Times New Roman" w:hAnsi="Times New Roman" w:eastAsia="宋体" w:cs="Times New Roman"/>
                <w:sz w:val="24"/>
              </w:rPr>
              <w:t>，设置有喷淋除尘措施同时采用湿法作业，要求在一次破碎时进行洒水操作，要求破碎粉尘为0.083kg/h。</w:t>
            </w:r>
            <w:r>
              <w:rPr>
                <w:rFonts w:hint="eastAsia" w:ascii="Times New Roman" w:hAnsi="Times New Roman" w:eastAsia="宋体" w:cs="Times New Roman"/>
                <w:color w:val="FF0000"/>
                <w:sz w:val="24"/>
              </w:rPr>
              <w:t>要求破碎装置密闭及皮带输送廊道封闭。</w:t>
            </w:r>
          </w:p>
          <w:p w14:paraId="3FFAF7B7">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粉尘排放计算见下：</w:t>
            </w:r>
          </w:p>
          <w:p w14:paraId="19FDF9E7">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环保部《扬尘源颗粒物排放清单编制技术指南》表12“采用连续洒水操作：TSP控制效率为74%、采用三边用孔隙率50%的围挡遮围：TSP控制效率为90%”，本项目破碎位于密闭厂房内（四面围挡）且厂房进行喷雾降尘TSP控制效率为98%、一次破碎洒水操作：TSP控制效率为74%、其后湿法作业：TSP控制效率为90%，由此计算出项目运行破碎粉尘为0.20t/a，0.083kg/h。</w:t>
            </w:r>
          </w:p>
          <w:p w14:paraId="3F68E544">
            <w:pPr>
              <w:adjustRightInd w:val="0"/>
              <w:snapToGrid w:val="0"/>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bCs/>
                <w:sz w:val="24"/>
              </w:rPr>
              <w:t>同时，</w:t>
            </w:r>
            <w:r>
              <w:rPr>
                <w:rFonts w:ascii="Times New Roman" w:hAnsi="Times New Roman" w:eastAsia="宋体" w:cs="Times New Roman"/>
                <w:sz w:val="24"/>
              </w:rPr>
              <w:t>环评建议加强管理，确保洒水设施正常运行；按照严重乐山市打赢蓝天保卫战实施方案，重污染天气下不得生产。</w:t>
            </w:r>
          </w:p>
          <w:p w14:paraId="36302D15">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（2）装卸粉尘</w:t>
            </w:r>
          </w:p>
          <w:p w14:paraId="713E4E20">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项目为原料进料装卸将产生粉尘，参照秦皇岛码头装卸起尘量计算公式，即：</w:t>
            </w:r>
          </w:p>
          <w:p w14:paraId="7E48171C">
            <w:pPr>
              <w:spacing w:line="480" w:lineRule="exact"/>
              <w:ind w:firstLine="960" w:firstLineChars="400"/>
              <w:rPr>
                <w:rFonts w:ascii="Times New Roman" w:hAnsi="Times New Roman" w:eastAsia="宋体" w:cs="Times New Roman"/>
                <w:sz w:val="24"/>
              </w:rPr>
            </w:pPr>
            <w:r>
              <w:rPr>
                <w:rFonts w:ascii="Times New Roman" w:hAnsi="Times New Roman" w:eastAsia="宋体" w:cs="Times New Roman"/>
                <w:sz w:val="24"/>
              </w:rPr>
              <w:t>Q=1133.33U</w:t>
            </w:r>
            <w:r>
              <w:rPr>
                <w:rFonts w:ascii="Times New Roman" w:hAnsi="Times New Roman" w:eastAsia="宋体" w:cs="Times New Roman"/>
                <w:sz w:val="24"/>
                <w:vertAlign w:val="superscript"/>
              </w:rPr>
              <w:t>1.6</w:t>
            </w:r>
            <w:r>
              <w:rPr>
                <w:rFonts w:ascii="Times New Roman" w:hAnsi="Times New Roman" w:eastAsia="宋体" w:cs="Times New Roman"/>
                <w:sz w:val="24"/>
              </w:rPr>
              <w:t>×H</w:t>
            </w:r>
            <w:r>
              <w:rPr>
                <w:rFonts w:ascii="Times New Roman" w:hAnsi="Times New Roman" w:eastAsia="宋体" w:cs="Times New Roman"/>
                <w:sz w:val="24"/>
                <w:vertAlign w:val="superscript"/>
              </w:rPr>
              <w:t>1.23</w:t>
            </w:r>
            <w:r>
              <w:rPr>
                <w:rFonts w:ascii="Times New Roman" w:hAnsi="Times New Roman" w:eastAsia="宋体" w:cs="Times New Roman"/>
                <w:sz w:val="24"/>
              </w:rPr>
              <w:t>×e</w:t>
            </w:r>
            <w:r>
              <w:rPr>
                <w:rFonts w:ascii="Times New Roman" w:hAnsi="Times New Roman" w:eastAsia="宋体" w:cs="Times New Roman"/>
                <w:sz w:val="24"/>
                <w:vertAlign w:val="superscript"/>
              </w:rPr>
              <w:t>-0.28W</w:t>
            </w:r>
          </w:p>
          <w:p w14:paraId="2EAB862F">
            <w:pPr>
              <w:spacing w:line="480" w:lineRule="exact"/>
              <w:ind w:firstLine="964" w:firstLineChars="402"/>
              <w:rPr>
                <w:rFonts w:ascii="Times New Roman" w:hAnsi="Times New Roman" w:eastAsia="宋体" w:cs="Times New Roman"/>
                <w:sz w:val="24"/>
              </w:rPr>
            </w:pPr>
            <w:r>
              <w:rPr>
                <w:rFonts w:ascii="Times New Roman" w:hAnsi="Times New Roman" w:eastAsia="宋体" w:cs="Times New Roman"/>
                <w:sz w:val="24"/>
              </w:rPr>
              <w:t>式中Q—装卸起尘量，mg/s；</w:t>
            </w:r>
          </w:p>
          <w:p w14:paraId="05477A0A">
            <w:pPr>
              <w:spacing w:line="480" w:lineRule="exact"/>
              <w:ind w:firstLine="364" w:firstLineChars="152"/>
              <w:rPr>
                <w:rFonts w:ascii="Times New Roman" w:hAnsi="Times New Roman" w:eastAsia="宋体" w:cs="Times New Roman"/>
                <w:sz w:val="24"/>
              </w:rPr>
            </w:pPr>
            <w:r>
              <w:rPr>
                <w:rFonts w:ascii="Times New Roman" w:hAnsi="Times New Roman" w:eastAsia="宋体" w:cs="Times New Roman"/>
                <w:sz w:val="24"/>
              </w:rPr>
              <w:t xml:space="preserve">         H—物料落差，m，本次取0.5m；</w:t>
            </w:r>
          </w:p>
          <w:p w14:paraId="2221979E">
            <w:pPr>
              <w:spacing w:line="480" w:lineRule="exact"/>
              <w:ind w:firstLine="364" w:firstLineChars="152"/>
              <w:rPr>
                <w:rFonts w:ascii="Times New Roman" w:hAnsi="Times New Roman" w:eastAsia="宋体" w:cs="Times New Roman"/>
                <w:sz w:val="24"/>
              </w:rPr>
            </w:pPr>
            <w:r>
              <w:rPr>
                <w:rFonts w:ascii="Times New Roman" w:hAnsi="Times New Roman" w:eastAsia="宋体" w:cs="Times New Roman"/>
                <w:sz w:val="24"/>
              </w:rPr>
              <w:t xml:space="preserve">         U—平均风速，m/s，</w:t>
            </w:r>
            <w:r>
              <w:rPr>
                <w:rFonts w:hint="eastAsia" w:ascii="Times New Roman" w:hAnsi="Times New Roman" w:eastAsia="宋体" w:cs="Times New Roman"/>
                <w:sz w:val="24"/>
              </w:rPr>
              <w:t>峨边</w:t>
            </w:r>
            <w:r>
              <w:rPr>
                <w:rFonts w:ascii="Times New Roman" w:hAnsi="Times New Roman" w:eastAsia="宋体" w:cs="Times New Roman"/>
                <w:sz w:val="24"/>
              </w:rPr>
              <w:t>年平均风速按1.5m/s；</w:t>
            </w:r>
          </w:p>
          <w:p w14:paraId="7DC254E6">
            <w:pPr>
              <w:spacing w:line="480" w:lineRule="exact"/>
              <w:ind w:firstLine="364" w:firstLineChars="152"/>
              <w:rPr>
                <w:rFonts w:ascii="Times New Roman" w:hAnsi="Times New Roman" w:eastAsia="宋体" w:cs="Times New Roman"/>
                <w:sz w:val="24"/>
              </w:rPr>
            </w:pPr>
            <w:r>
              <w:rPr>
                <w:rFonts w:ascii="Times New Roman" w:hAnsi="Times New Roman" w:eastAsia="宋体" w:cs="Times New Roman"/>
                <w:sz w:val="24"/>
              </w:rPr>
              <w:t xml:space="preserve">         W—物料含水率，%，本次参照</w:t>
            </w:r>
            <w:r>
              <w:rPr>
                <w:rFonts w:hint="eastAsia" w:ascii="Times New Roman" w:hAnsi="Times New Roman" w:eastAsia="宋体" w:cs="Times New Roman"/>
                <w:sz w:val="24"/>
                <w:lang w:eastAsia="zh-CN"/>
              </w:rPr>
              <w:t>生态环境部</w:t>
            </w:r>
            <w:r>
              <w:rPr>
                <w:rFonts w:ascii="Times New Roman" w:hAnsi="Times New Roman" w:eastAsia="宋体" w:cs="Times New Roman"/>
                <w:sz w:val="24"/>
              </w:rPr>
              <w:t>《扬尘源颗粒物排放清单编制技术指南》表11</w:t>
            </w:r>
            <w:r>
              <w:rPr>
                <w:rFonts w:hint="eastAsia" w:ascii="Times New Roman" w:hAnsi="Times New Roman" w:eastAsia="宋体" w:cs="Times New Roman"/>
                <w:sz w:val="24"/>
              </w:rPr>
              <w:t>中各种石灰石产品的物料</w:t>
            </w:r>
            <w:r>
              <w:rPr>
                <w:rFonts w:ascii="Times New Roman" w:hAnsi="Times New Roman" w:eastAsia="宋体" w:cs="Times New Roman"/>
                <w:sz w:val="24"/>
              </w:rPr>
              <w:t>含水率取2.1%。</w:t>
            </w:r>
          </w:p>
          <w:p w14:paraId="233FE6DB">
            <w:pPr>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经计算，进料装卸的扬尘产生量约3.31kg/h，装卸时间按2.5h/d计算，无组织排放量可控制在2.48t/a。</w:t>
            </w:r>
          </w:p>
          <w:p w14:paraId="6588173A">
            <w:pPr>
              <w:spacing w:line="480" w:lineRule="exact"/>
              <w:ind w:firstLine="482" w:firstLineChars="200"/>
              <w:jc w:val="left"/>
              <w:rPr>
                <w:rFonts w:ascii="Times New Roman" w:hAnsi="Times New Roman" w:eastAsia="宋体" w:cs="Times New Roman"/>
                <w:sz w:val="24"/>
              </w:rPr>
            </w:pPr>
            <w:r>
              <w:rPr>
                <w:rFonts w:ascii="Times New Roman" w:hAnsi="Times New Roman" w:eastAsia="宋体" w:cs="Times New Roman"/>
                <w:b/>
                <w:sz w:val="24"/>
              </w:rPr>
              <w:t>治理措施</w:t>
            </w:r>
            <w:r>
              <w:rPr>
                <w:rFonts w:ascii="Times New Roman" w:hAnsi="Times New Roman" w:eastAsia="宋体" w:cs="Times New Roman"/>
                <w:sz w:val="24"/>
              </w:rPr>
              <w:t>：</w:t>
            </w:r>
            <w:r>
              <w:rPr>
                <w:rFonts w:ascii="Times New Roman" w:hAnsi="Times New Roman" w:eastAsia="宋体" w:cs="Times New Roman"/>
                <w:bCs/>
                <w:sz w:val="24"/>
              </w:rPr>
              <w:t>将进料口进行</w:t>
            </w:r>
            <w:r>
              <w:rPr>
                <w:rFonts w:hint="eastAsia" w:ascii="Times New Roman" w:hAnsi="Times New Roman" w:eastAsia="宋体" w:cs="Times New Roman"/>
                <w:bCs/>
                <w:sz w:val="24"/>
              </w:rPr>
              <w:t>围挡</w:t>
            </w:r>
            <w:r>
              <w:rPr>
                <w:rFonts w:ascii="Times New Roman" w:hAnsi="Times New Roman" w:eastAsia="宋体" w:cs="Times New Roman"/>
                <w:b/>
                <w:bCs/>
                <w:sz w:val="24"/>
              </w:rPr>
              <w:t>，</w:t>
            </w:r>
            <w:r>
              <w:rPr>
                <w:rFonts w:ascii="Times New Roman" w:hAnsi="Times New Roman" w:eastAsia="宋体" w:cs="Times New Roman"/>
                <w:bCs/>
                <w:sz w:val="24"/>
              </w:rPr>
              <w:t>并</w:t>
            </w:r>
            <w:r>
              <w:rPr>
                <w:rFonts w:ascii="Times New Roman" w:hAnsi="Times New Roman" w:eastAsia="宋体" w:cs="Times New Roman"/>
                <w:sz w:val="24"/>
              </w:rPr>
              <w:t>设置一台雾炮机连续洒水降尘。</w:t>
            </w:r>
          </w:p>
          <w:p w14:paraId="30F00AB3">
            <w:pPr>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采取上述处理方式后，根据</w:t>
            </w:r>
            <w:r>
              <w:rPr>
                <w:rFonts w:hint="eastAsia" w:ascii="Times New Roman" w:hAnsi="Times New Roman" w:eastAsia="宋体" w:cs="Times New Roman"/>
                <w:sz w:val="24"/>
                <w:lang w:eastAsia="zh-CN"/>
              </w:rPr>
              <w:t>生态环境部</w:t>
            </w:r>
            <w:r>
              <w:rPr>
                <w:rFonts w:ascii="Times New Roman" w:hAnsi="Times New Roman" w:eastAsia="宋体" w:cs="Times New Roman"/>
                <w:sz w:val="24"/>
              </w:rPr>
              <w:t>《扬尘源颗粒物排放清单编制技术指南》表12“采用连续洒水操作：TSP控制效率为74%、采用三边用孔隙率50%的围挡遮围：TSP控制效率为90%”，由此计算出项目装卸尘为0.06t/a，0.08kg/h。</w:t>
            </w:r>
          </w:p>
          <w:p w14:paraId="03D74DD2">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（3）堆场粉尘</w:t>
            </w:r>
          </w:p>
          <w:p w14:paraId="75D12E21">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w:t>
            </w:r>
            <w:r>
              <w:rPr>
                <w:rFonts w:hint="eastAsia" w:ascii="Times New Roman" w:hAnsi="Times New Roman" w:eastAsia="宋体" w:cs="Times New Roman"/>
                <w:sz w:val="24"/>
                <w:lang w:eastAsia="zh-CN"/>
              </w:rPr>
              <w:t>生态环境部</w:t>
            </w:r>
            <w:r>
              <w:rPr>
                <w:rFonts w:ascii="Times New Roman" w:hAnsi="Times New Roman" w:eastAsia="宋体" w:cs="Times New Roman"/>
                <w:sz w:val="24"/>
              </w:rPr>
              <w:t>《扬尘源颗粒物排放清单编制技术指南》中4.4堆场扬尘源排放量的计算进行，详细计算见下：</w:t>
            </w:r>
          </w:p>
          <w:p w14:paraId="74E394B5">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起尘计算：</w:t>
            </w:r>
          </w:p>
          <w:p w14:paraId="59CCD32C">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1 \* GB3</w:instrText>
            </w:r>
            <w:r>
              <w:rPr>
                <w:rFonts w:ascii="Times New Roman" w:hAnsi="Times New Roman" w:eastAsia="宋体" w:cs="Times New Roman"/>
                <w:sz w:val="24"/>
                <w:szCs w:val="24"/>
              </w:rPr>
              <w:fldChar w:fldCharType="separate"/>
            </w:r>
            <w:r>
              <w:rPr>
                <w:rFonts w:hint="eastAsia" w:ascii="宋体" w:hAnsi="宋体" w:eastAsia="宋体" w:cs="宋体"/>
                <w:sz w:val="24"/>
                <w:szCs w:val="24"/>
              </w:rPr>
              <w:t>①</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t>堆场表面遭受风扰动后引起颗粒物排放的排放系数计算公式见下：</w:t>
            </w:r>
          </w:p>
          <w:p w14:paraId="21CE1CB9">
            <w:pPr>
              <w:spacing w:line="360" w:lineRule="auto"/>
              <w:ind w:firstLine="525" w:firstLineChars="250"/>
              <w:rPr>
                <w:rFonts w:ascii="Times New Roman" w:hAnsi="Times New Roman" w:eastAsia="宋体" w:cs="Times New Roman"/>
                <w:sz w:val="24"/>
                <w:szCs w:val="24"/>
              </w:rPr>
            </w:pPr>
            <w:r>
              <w:drawing>
                <wp:anchor distT="0" distB="0" distL="114300" distR="114300" simplePos="0" relativeHeight="251661312" behindDoc="0" locked="0" layoutInCell="1" allowOverlap="1">
                  <wp:simplePos x="0" y="0"/>
                  <wp:positionH relativeFrom="column">
                    <wp:posOffset>201930</wp:posOffset>
                  </wp:positionH>
                  <wp:positionV relativeFrom="paragraph">
                    <wp:posOffset>10795</wp:posOffset>
                  </wp:positionV>
                  <wp:extent cx="4839335" cy="1631950"/>
                  <wp:effectExtent l="0" t="0" r="0" b="0"/>
                  <wp:wrapSquare wrapText="bothSides"/>
                  <wp:docPr id="1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839335" cy="1631950"/>
                          </a:xfrm>
                          <a:prstGeom prst="rect">
                            <a:avLst/>
                          </a:prstGeom>
                          <a:noFill/>
                          <a:ln>
                            <a:noFill/>
                          </a:ln>
                        </pic:spPr>
                      </pic:pic>
                    </a:graphicData>
                  </a:graphic>
                </wp:anchor>
              </w:drawing>
            </w:r>
            <w:r>
              <w:rPr>
                <w:rFonts w:ascii="Times New Roman" w:hAnsi="Times New Roman" w:eastAsia="宋体" w:cs="Times New Roman"/>
                <w:sz w:val="24"/>
                <w:szCs w:val="24"/>
              </w:rPr>
              <w:t>式中：E</w:t>
            </w:r>
            <w:r>
              <w:rPr>
                <w:rFonts w:ascii="Times New Roman" w:hAnsi="Times New Roman" w:eastAsia="宋体" w:cs="Times New Roman"/>
                <w:sz w:val="24"/>
                <w:szCs w:val="24"/>
                <w:vertAlign w:val="subscript"/>
              </w:rPr>
              <w:t>W</w:t>
            </w:r>
            <w:r>
              <w:rPr>
                <w:rFonts w:ascii="Times New Roman" w:hAnsi="Times New Roman" w:eastAsia="宋体" w:cs="Times New Roman"/>
                <w:sz w:val="24"/>
                <w:szCs w:val="24"/>
              </w:rPr>
              <w:t>为堆场风蚀扬尘的排放系数，kg/m</w:t>
            </w:r>
            <w:r>
              <w:rPr>
                <w:rFonts w:ascii="Times New Roman" w:hAnsi="Times New Roman" w:eastAsia="宋体" w:cs="Times New Roman"/>
                <w:sz w:val="24"/>
                <w:szCs w:val="24"/>
                <w:vertAlign w:val="superscript"/>
              </w:rPr>
              <w:t>2</w:t>
            </w:r>
            <w:r>
              <w:rPr>
                <w:rFonts w:ascii="Times New Roman" w:hAnsi="Times New Roman" w:eastAsia="宋体" w:cs="Times New Roman"/>
                <w:sz w:val="24"/>
                <w:szCs w:val="24"/>
              </w:rPr>
              <w:t>；</w:t>
            </w:r>
          </w:p>
          <w:p w14:paraId="7B30A199">
            <w:pPr>
              <w:spacing w:line="360" w:lineRule="auto"/>
              <w:ind w:firstLine="1200" w:firstLineChars="500"/>
              <w:rPr>
                <w:rFonts w:ascii="Times New Roman" w:hAnsi="Times New Roman" w:eastAsia="宋体" w:cs="Times New Roman"/>
                <w:sz w:val="24"/>
                <w:szCs w:val="24"/>
              </w:rPr>
            </w:pPr>
            <w:r>
              <w:rPr>
                <w:rFonts w:ascii="Times New Roman" w:hAnsi="Times New Roman" w:eastAsia="宋体" w:cs="Times New Roman"/>
                <w:sz w:val="24"/>
                <w:szCs w:val="24"/>
              </w:rPr>
              <w:t>K</w:t>
            </w:r>
            <w:r>
              <w:rPr>
                <w:rFonts w:ascii="Times New Roman" w:hAnsi="Times New Roman" w:eastAsia="宋体" w:cs="Times New Roman"/>
                <w:sz w:val="24"/>
                <w:szCs w:val="24"/>
                <w:vertAlign w:val="subscript"/>
              </w:rPr>
              <w:t>i</w:t>
            </w:r>
            <w:r>
              <w:rPr>
                <w:rFonts w:ascii="Times New Roman" w:hAnsi="Times New Roman" w:eastAsia="宋体" w:cs="Times New Roman"/>
                <w:sz w:val="24"/>
                <w:szCs w:val="24"/>
              </w:rPr>
              <w:t>为物料的粒度乘数，TSP为1.0；</w:t>
            </w:r>
          </w:p>
          <w:p w14:paraId="13B453DC">
            <w:pPr>
              <w:spacing w:line="360" w:lineRule="auto"/>
              <w:ind w:firstLine="1200" w:firstLineChars="500"/>
              <w:rPr>
                <w:rFonts w:ascii="Times New Roman" w:hAnsi="Times New Roman" w:eastAsia="宋体" w:cs="Times New Roman"/>
                <w:sz w:val="24"/>
                <w:szCs w:val="24"/>
              </w:rPr>
            </w:pPr>
            <w:r>
              <w:rPr>
                <w:rFonts w:ascii="Times New Roman" w:hAnsi="Times New Roman" w:eastAsia="宋体" w:cs="Times New Roman"/>
                <w:sz w:val="24"/>
                <w:szCs w:val="24"/>
              </w:rPr>
              <w:t>n为料场每年受扰动的次数；</w:t>
            </w:r>
          </w:p>
          <w:p w14:paraId="0801DA58">
            <w:pPr>
              <w:spacing w:line="360" w:lineRule="auto"/>
              <w:ind w:firstLine="1200" w:firstLineChars="500"/>
              <w:rPr>
                <w:rFonts w:ascii="Times New Roman" w:hAnsi="Times New Roman" w:eastAsia="宋体" w:cs="Times New Roman"/>
                <w:sz w:val="24"/>
                <w:szCs w:val="24"/>
              </w:rPr>
            </w:pPr>
            <w:r>
              <w:rPr>
                <w:rFonts w:ascii="Times New Roman" w:hAnsi="Times New Roman" w:eastAsia="宋体" w:cs="Times New Roman"/>
                <w:sz w:val="24"/>
                <w:szCs w:val="24"/>
              </w:rPr>
              <w:t>P</w:t>
            </w:r>
            <w:r>
              <w:rPr>
                <w:rFonts w:ascii="Times New Roman" w:hAnsi="Times New Roman" w:eastAsia="宋体" w:cs="Times New Roman"/>
                <w:sz w:val="24"/>
                <w:szCs w:val="24"/>
                <w:vertAlign w:val="subscript"/>
              </w:rPr>
              <w:t>i</w:t>
            </w:r>
            <w:r>
              <w:rPr>
                <w:rFonts w:ascii="Times New Roman" w:hAnsi="Times New Roman" w:eastAsia="宋体" w:cs="Times New Roman"/>
                <w:sz w:val="24"/>
                <w:szCs w:val="24"/>
              </w:rPr>
              <w:t>为第i次扰动中观测的最大风速的风蚀潜势，0.021g/m</w:t>
            </w:r>
            <w:r>
              <w:rPr>
                <w:rFonts w:ascii="Times New Roman" w:hAnsi="Times New Roman" w:eastAsia="宋体" w:cs="Times New Roman"/>
                <w:sz w:val="24"/>
                <w:szCs w:val="24"/>
                <w:vertAlign w:val="superscript"/>
              </w:rPr>
              <w:t>2</w:t>
            </w:r>
            <w:r>
              <w:rPr>
                <w:rFonts w:ascii="Times New Roman" w:hAnsi="Times New Roman" w:eastAsia="宋体" w:cs="Times New Roman"/>
                <w:sz w:val="24"/>
                <w:szCs w:val="24"/>
              </w:rPr>
              <w:t>，u*&gt;ut*；</w:t>
            </w:r>
          </w:p>
          <w:p w14:paraId="4A221705">
            <w:pPr>
              <w:spacing w:line="360" w:lineRule="auto"/>
              <w:ind w:firstLine="1200" w:firstLineChars="500"/>
              <w:rPr>
                <w:rFonts w:ascii="Times New Roman" w:hAnsi="Times New Roman" w:eastAsia="宋体" w:cs="Times New Roman"/>
                <w:sz w:val="24"/>
                <w:szCs w:val="24"/>
              </w:rPr>
            </w:pPr>
            <w:r>
              <w:rPr>
                <w:rFonts w:ascii="Times New Roman" w:hAnsi="Times New Roman" w:eastAsia="宋体" w:cs="Times New Roman"/>
                <w:sz w:val="24"/>
                <w:szCs w:val="24"/>
              </w:rPr>
              <w:t>η为污染控制技术对扬尘的出去效率，</w:t>
            </w:r>
            <w:r>
              <w:rPr>
                <w:rFonts w:hint="eastAsia" w:ascii="Times New Roman" w:hAnsi="Times New Roman" w:eastAsia="宋体" w:cs="Times New Roman"/>
                <w:sz w:val="24"/>
                <w:szCs w:val="24"/>
              </w:rPr>
              <w:t>5</w:t>
            </w:r>
            <w:r>
              <w:rPr>
                <w:rFonts w:ascii="Times New Roman" w:hAnsi="Times New Roman" w:eastAsia="宋体" w:cs="Times New Roman"/>
                <w:sz w:val="24"/>
                <w:szCs w:val="24"/>
              </w:rPr>
              <w:t>2%。</w:t>
            </w:r>
          </w:p>
          <w:p w14:paraId="18D9E55F">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 xml:space="preserve">      u</w:t>
            </w:r>
            <w:r>
              <w:rPr>
                <w:rFonts w:ascii="Times New Roman" w:hAnsi="Times New Roman" w:eastAsia="宋体" w:cs="Times New Roman"/>
                <w:sz w:val="24"/>
                <w:szCs w:val="24"/>
                <w:vertAlign w:val="superscript"/>
              </w:rPr>
              <w:t>*</w:t>
            </w:r>
            <w:r>
              <w:rPr>
                <w:rFonts w:ascii="Times New Roman" w:hAnsi="Times New Roman" w:eastAsia="宋体" w:cs="Times New Roman"/>
                <w:sz w:val="24"/>
                <w:szCs w:val="24"/>
              </w:rPr>
              <w:t>为摩擦风速，0.60m/s（计算见下）。</w:t>
            </w:r>
          </w:p>
          <w:p w14:paraId="7A413D15">
            <w:pPr>
              <w:spacing w:line="360" w:lineRule="auto"/>
              <w:ind w:firstLine="420" w:firstLineChars="200"/>
              <w:jc w:val="center"/>
              <w:rPr>
                <w:rFonts w:ascii="Times New Roman" w:hAnsi="Times New Roman" w:eastAsia="宋体" w:cs="Times New Roman"/>
                <w:sz w:val="24"/>
                <w:szCs w:val="24"/>
              </w:rPr>
            </w:pPr>
            <w:r>
              <w:rPr>
                <w:rFonts w:ascii="Times New Roman" w:hAnsi="Times New Roman" w:eastAsia="宋体" w:cs="Times New Roman"/>
              </w:rPr>
              <w:drawing>
                <wp:inline distT="0" distB="0" distL="0" distR="0">
                  <wp:extent cx="3752850" cy="571500"/>
                  <wp:effectExtent l="0" t="0" r="0"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752850" cy="571500"/>
                          </a:xfrm>
                          <a:prstGeom prst="rect">
                            <a:avLst/>
                          </a:prstGeom>
                          <a:noFill/>
                          <a:ln>
                            <a:noFill/>
                          </a:ln>
                        </pic:spPr>
                      </pic:pic>
                    </a:graphicData>
                  </a:graphic>
                </wp:inline>
              </w:drawing>
            </w:r>
          </w:p>
          <w:p w14:paraId="33D14B16">
            <w:pPr>
              <w:spacing w:line="360" w:lineRule="auto"/>
              <w:ind w:firstLine="1920" w:firstLineChars="800"/>
              <w:rPr>
                <w:rFonts w:ascii="Times New Roman" w:hAnsi="Times New Roman" w:eastAsia="宋体" w:cs="Times New Roman"/>
                <w:sz w:val="24"/>
                <w:szCs w:val="24"/>
              </w:rPr>
            </w:pPr>
            <w:r>
              <w:rPr>
                <w:rFonts w:ascii="Times New Roman" w:hAnsi="Times New Roman" w:eastAsia="宋体" w:cs="Times New Roman"/>
                <w:sz w:val="24"/>
                <w:szCs w:val="24"/>
              </w:rPr>
              <w:t>u</w:t>
            </w:r>
            <w:r>
              <w:rPr>
                <w:rFonts w:ascii="Times New Roman" w:hAnsi="Times New Roman" w:eastAsia="宋体" w:cs="Times New Roman"/>
                <w:sz w:val="24"/>
                <w:szCs w:val="24"/>
                <w:vertAlign w:val="superscript"/>
              </w:rPr>
              <w:t>*</w:t>
            </w:r>
            <w:r>
              <w:rPr>
                <w:rFonts w:ascii="Times New Roman" w:hAnsi="Times New Roman" w:eastAsia="宋体" w:cs="Times New Roman"/>
                <w:sz w:val="24"/>
                <w:szCs w:val="24"/>
              </w:rPr>
              <w:t>=0.4×1.5m/s÷ln</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rPr>
              <w:t>1.5÷0.6</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rPr>
              <w:t>=0.65m/s</w:t>
            </w:r>
          </w:p>
          <w:p w14:paraId="7F3A5997">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u</w:t>
            </w:r>
            <w:r>
              <w:rPr>
                <w:rFonts w:ascii="Times New Roman" w:hAnsi="Times New Roman" w:eastAsia="宋体" w:cs="Times New Roman"/>
                <w:sz w:val="24"/>
                <w:szCs w:val="24"/>
                <w:vertAlign w:val="subscript"/>
              </w:rPr>
              <w:t>t</w:t>
            </w:r>
            <w:r>
              <w:rPr>
                <w:rFonts w:ascii="Times New Roman" w:hAnsi="Times New Roman" w:eastAsia="宋体" w:cs="Times New Roman"/>
                <w:sz w:val="24"/>
                <w:szCs w:val="24"/>
                <w:vertAlign w:val="superscript"/>
              </w:rPr>
              <w:t>*</w:t>
            </w:r>
            <w:r>
              <w:rPr>
                <w:rFonts w:ascii="Times New Roman" w:hAnsi="Times New Roman" w:eastAsia="宋体" w:cs="Times New Roman"/>
                <w:sz w:val="24"/>
                <w:szCs w:val="24"/>
              </w:rPr>
              <w:t>为阈值摩擦风速，即起尘的临界摩擦风速，</w:t>
            </w:r>
            <w:r>
              <w:rPr>
                <w:rFonts w:hint="eastAsia" w:ascii="Times New Roman" w:hAnsi="Times New Roman" w:eastAsia="宋体" w:cs="Times New Roman"/>
                <w:sz w:val="24"/>
                <w:szCs w:val="24"/>
              </w:rPr>
              <w:t>建筑垃圾参照矿渣</w:t>
            </w:r>
            <w:r>
              <w:rPr>
                <w:rFonts w:ascii="Times New Roman" w:hAnsi="Times New Roman" w:eastAsia="宋体" w:cs="Times New Roman"/>
                <w:sz w:val="24"/>
                <w:szCs w:val="24"/>
              </w:rPr>
              <w:t>1.33m/s；</w:t>
            </w:r>
          </w:p>
          <w:p w14:paraId="7C8BE472">
            <w:pPr>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经计算，堆场粉尘产生量为0</w:t>
            </w:r>
            <w:r>
              <w:rPr>
                <w:rFonts w:ascii="Times New Roman" w:hAnsi="Times New Roman" w:eastAsia="宋体" w:cs="Times New Roman"/>
                <w:sz w:val="24"/>
              </w:rPr>
              <w:t>.01</w:t>
            </w:r>
            <w:r>
              <w:rPr>
                <w:rFonts w:hint="eastAsia" w:ascii="Times New Roman" w:hAnsi="Times New Roman" w:eastAsia="宋体" w:cs="Times New Roman"/>
                <w:sz w:val="24"/>
              </w:rPr>
              <w:t>t</w:t>
            </w:r>
            <w:r>
              <w:rPr>
                <w:rFonts w:ascii="Times New Roman" w:hAnsi="Times New Roman" w:eastAsia="宋体" w:cs="Times New Roman"/>
                <w:sz w:val="24"/>
              </w:rPr>
              <w:t>/</w:t>
            </w:r>
            <w:r>
              <w:rPr>
                <w:rFonts w:hint="eastAsia" w:ascii="Times New Roman" w:hAnsi="Times New Roman" w:eastAsia="宋体" w:cs="Times New Roman"/>
                <w:sz w:val="24"/>
              </w:rPr>
              <w:t>a。由于项目除正在生产的产品露天堆放外，均在料仓堆存，起尘量较小。</w:t>
            </w:r>
          </w:p>
          <w:p w14:paraId="1DC7ED84">
            <w:pPr>
              <w:spacing w:line="480" w:lineRule="exact"/>
              <w:ind w:firstLine="482" w:firstLineChars="200"/>
              <w:jc w:val="left"/>
              <w:rPr>
                <w:rFonts w:ascii="Times New Roman" w:hAnsi="Times New Roman" w:eastAsia="宋体" w:cs="Times New Roman"/>
                <w:sz w:val="24"/>
              </w:rPr>
            </w:pPr>
            <w:r>
              <w:rPr>
                <w:rFonts w:ascii="Times New Roman" w:hAnsi="Times New Roman" w:eastAsia="宋体" w:cs="Times New Roman"/>
                <w:b/>
                <w:sz w:val="24"/>
              </w:rPr>
              <w:t>治理措施</w:t>
            </w:r>
            <w:r>
              <w:rPr>
                <w:rFonts w:ascii="Times New Roman" w:hAnsi="Times New Roman" w:eastAsia="宋体" w:cs="Times New Roman"/>
                <w:sz w:val="24"/>
              </w:rPr>
              <w:t>：</w:t>
            </w:r>
            <w:r>
              <w:rPr>
                <w:rFonts w:hint="eastAsia" w:ascii="宋体" w:hAnsi="宋体" w:eastAsia="宋体" w:cs="宋体"/>
                <w:sz w:val="24"/>
              </w:rPr>
              <w:t>①</w:t>
            </w:r>
            <w:r>
              <w:rPr>
                <w:rFonts w:ascii="Times New Roman" w:hAnsi="Times New Roman" w:eastAsia="宋体" w:cs="Times New Roman"/>
                <w:sz w:val="24"/>
              </w:rPr>
              <w:t>项目</w:t>
            </w:r>
            <w:r>
              <w:rPr>
                <w:rFonts w:hint="eastAsia" w:ascii="Times New Roman" w:hAnsi="Times New Roman" w:eastAsia="宋体" w:cs="Times New Roman"/>
                <w:sz w:val="24"/>
              </w:rPr>
              <w:t>设置雾炮机对厂区进行喷雾降尘，</w:t>
            </w:r>
            <w:r>
              <w:rPr>
                <w:rFonts w:ascii="Times New Roman" w:hAnsi="Times New Roman" w:eastAsia="宋体" w:cs="Times New Roman"/>
                <w:sz w:val="24"/>
              </w:rPr>
              <w:t>产品</w:t>
            </w:r>
            <w:r>
              <w:rPr>
                <w:rFonts w:hint="eastAsia" w:ascii="Times New Roman" w:hAnsi="Times New Roman" w:eastAsia="宋体" w:cs="Times New Roman"/>
                <w:sz w:val="24"/>
              </w:rPr>
              <w:t>及时转运至料仓并</w:t>
            </w:r>
            <w:r>
              <w:rPr>
                <w:rFonts w:ascii="Times New Roman" w:hAnsi="Times New Roman" w:eastAsia="宋体" w:cs="Times New Roman"/>
                <w:sz w:val="24"/>
              </w:rPr>
              <w:t>设置防尘网且适时洒水保持表面湿润，</w:t>
            </w:r>
            <w:r>
              <w:rPr>
                <w:rFonts w:hint="eastAsia" w:ascii="Times New Roman" w:hAnsi="Times New Roman" w:eastAsia="宋体" w:cs="Times New Roman"/>
                <w:sz w:val="24"/>
                <w:lang w:eastAsia="zh-CN"/>
              </w:rPr>
              <w:t>防止</w:t>
            </w:r>
            <w:r>
              <w:rPr>
                <w:rFonts w:ascii="Times New Roman" w:hAnsi="Times New Roman" w:eastAsia="宋体" w:cs="Times New Roman"/>
                <w:sz w:val="24"/>
              </w:rPr>
              <w:t>起尘</w:t>
            </w:r>
            <w:r>
              <w:rPr>
                <w:rFonts w:ascii="Times New Roman" w:hAnsi="Times New Roman" w:eastAsia="宋体" w:cs="Times New Roman"/>
                <w:bCs/>
                <w:sz w:val="24"/>
              </w:rPr>
              <w:t>；</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2 \* GB3 </w:instrText>
            </w:r>
            <w:r>
              <w:rPr>
                <w:rFonts w:ascii="Times New Roman" w:hAnsi="Times New Roman" w:eastAsia="宋体" w:cs="Times New Roman"/>
                <w:sz w:val="24"/>
              </w:rPr>
              <w:fldChar w:fldCharType="separate"/>
            </w:r>
            <w:r>
              <w:rPr>
                <w:rFonts w:hint="eastAsia" w:ascii="宋体" w:hAnsi="宋体" w:eastAsia="宋体" w:cs="宋体"/>
                <w:sz w:val="24"/>
              </w:rPr>
              <w:t>②</w:t>
            </w:r>
            <w:r>
              <w:rPr>
                <w:rFonts w:ascii="Times New Roman" w:hAnsi="Times New Roman" w:eastAsia="宋体" w:cs="Times New Roman"/>
                <w:sz w:val="24"/>
              </w:rPr>
              <w:fldChar w:fldCharType="end"/>
            </w:r>
            <w:r>
              <w:rPr>
                <w:rFonts w:ascii="Times New Roman" w:hAnsi="Times New Roman" w:eastAsia="宋体" w:cs="Times New Roman"/>
                <w:sz w:val="24"/>
              </w:rPr>
              <w:t>随订单而生产，产品随产随运，减少场地内堆存，满足《乐山市打赢蓝天保卫战实施方案》相关要求。</w:t>
            </w:r>
          </w:p>
          <w:p w14:paraId="19EF9D6C">
            <w:pPr>
              <w:pStyle w:val="40"/>
              <w:adjustRightInd w:val="0"/>
              <w:snapToGrid w:val="0"/>
              <w:spacing w:line="480" w:lineRule="exact"/>
              <w:ind w:firstLine="480"/>
              <w:rPr>
                <w:rFonts w:ascii="Times New Roman" w:hAnsi="Times New Roman" w:eastAsia="宋体" w:cs="Times New Roman"/>
                <w:kern w:val="2"/>
              </w:rPr>
            </w:pPr>
            <w:r>
              <w:rPr>
                <w:rFonts w:ascii="Times New Roman" w:hAnsi="Times New Roman" w:eastAsia="宋体" w:cs="Times New Roman"/>
              </w:rPr>
              <w:t>（</w:t>
            </w:r>
            <w:r>
              <w:rPr>
                <w:rFonts w:ascii="Times New Roman" w:hAnsi="Times New Roman" w:eastAsia="宋体" w:cs="Times New Roman"/>
                <w:kern w:val="2"/>
              </w:rPr>
              <w:t>4）汽车运输扬尘</w:t>
            </w:r>
          </w:p>
          <w:p w14:paraId="1877021E">
            <w:pPr>
              <w:pStyle w:val="40"/>
              <w:adjustRightInd w:val="0"/>
              <w:snapToGrid w:val="0"/>
              <w:spacing w:line="480" w:lineRule="exact"/>
              <w:ind w:firstLine="480"/>
              <w:rPr>
                <w:rFonts w:ascii="Times New Roman" w:hAnsi="Times New Roman" w:eastAsia="宋体" w:cs="Times New Roman"/>
              </w:rPr>
            </w:pPr>
            <w:r>
              <w:drawing>
                <wp:anchor distT="0" distB="0" distL="114300" distR="114300" simplePos="0" relativeHeight="251662336" behindDoc="0" locked="0" layoutInCell="1" allowOverlap="1">
                  <wp:simplePos x="0" y="0"/>
                  <wp:positionH relativeFrom="column">
                    <wp:posOffset>1174115</wp:posOffset>
                  </wp:positionH>
                  <wp:positionV relativeFrom="paragraph">
                    <wp:posOffset>676275</wp:posOffset>
                  </wp:positionV>
                  <wp:extent cx="2980690" cy="487045"/>
                  <wp:effectExtent l="0" t="0" r="0" b="0"/>
                  <wp:wrapTopAndBottom/>
                  <wp:docPr id="1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980690" cy="487045"/>
                          </a:xfrm>
                          <a:prstGeom prst="rect">
                            <a:avLst/>
                          </a:prstGeom>
                          <a:noFill/>
                          <a:ln>
                            <a:noFill/>
                          </a:ln>
                        </pic:spPr>
                      </pic:pic>
                    </a:graphicData>
                  </a:graphic>
                </wp:anchor>
              </w:drawing>
            </w:r>
            <w:r>
              <w:rPr>
                <w:rFonts w:ascii="Times New Roman" w:hAnsi="Times New Roman" w:eastAsia="宋体" w:cs="Times New Roman"/>
              </w:rPr>
              <w:t>根据</w:t>
            </w:r>
            <w:r>
              <w:rPr>
                <w:rFonts w:hint="eastAsia" w:ascii="Times New Roman" w:hAnsi="Times New Roman" w:eastAsia="宋体" w:cs="Times New Roman"/>
                <w:lang w:eastAsia="zh-CN"/>
              </w:rPr>
              <w:t>生态环境部</w:t>
            </w:r>
            <w:r>
              <w:rPr>
                <w:rFonts w:ascii="Times New Roman" w:hAnsi="Times New Roman" w:eastAsia="宋体" w:cs="Times New Roman"/>
              </w:rPr>
              <w:t>《扬尘源颗粒物排放清单编制技术指南》中4.2道路扬尘源排放的计算，道路扬尘排放量计算公式如下：</w:t>
            </w:r>
          </w:p>
          <w:p w14:paraId="2898F01F">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式中：</w:t>
            </w:r>
          </w:p>
          <w:p w14:paraId="0E40AA15">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1) W</w:t>
            </w:r>
            <w:r>
              <w:rPr>
                <w:rFonts w:ascii="Times New Roman" w:hAnsi="Times New Roman" w:eastAsia="宋体" w:cs="Times New Roman"/>
                <w:vertAlign w:val="subscript"/>
              </w:rPr>
              <w:t>Ri</w:t>
            </w:r>
            <w:r>
              <w:rPr>
                <w:rFonts w:ascii="Times New Roman" w:hAnsi="Times New Roman" w:eastAsia="宋体" w:cs="Times New Roman"/>
              </w:rPr>
              <w:t>为道路扬尘源中颗粒物PM</w:t>
            </w:r>
            <w:r>
              <w:rPr>
                <w:rFonts w:ascii="Times New Roman" w:hAnsi="Times New Roman" w:eastAsia="宋体" w:cs="Times New Roman"/>
                <w:vertAlign w:val="subscript"/>
              </w:rPr>
              <w:t>i</w:t>
            </w:r>
            <w:r>
              <w:rPr>
                <w:rFonts w:ascii="Times New Roman" w:hAnsi="Times New Roman" w:eastAsia="宋体" w:cs="Times New Roman"/>
              </w:rPr>
              <w:t>的总排放量，t/a。</w:t>
            </w:r>
          </w:p>
          <w:p w14:paraId="61C9B2C8">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2) E</w:t>
            </w:r>
            <w:r>
              <w:rPr>
                <w:rFonts w:ascii="Times New Roman" w:hAnsi="Times New Roman" w:eastAsia="宋体" w:cs="Times New Roman"/>
                <w:vertAlign w:val="subscript"/>
              </w:rPr>
              <w:t>Ri</w:t>
            </w:r>
            <w:r>
              <w:rPr>
                <w:rFonts w:ascii="Times New Roman" w:hAnsi="Times New Roman" w:eastAsia="宋体" w:cs="Times New Roman"/>
              </w:rPr>
              <w:t>为道路扬尘源中PM</w:t>
            </w:r>
            <w:r>
              <w:rPr>
                <w:rFonts w:ascii="Times New Roman" w:hAnsi="Times New Roman" w:eastAsia="宋体" w:cs="Times New Roman"/>
                <w:vertAlign w:val="subscript"/>
              </w:rPr>
              <w:t>i</w:t>
            </w:r>
            <w:r>
              <w:rPr>
                <w:rFonts w:ascii="Times New Roman" w:hAnsi="Times New Roman" w:eastAsia="宋体" w:cs="Times New Roman"/>
              </w:rPr>
              <w:t>平均排放系数，g/(km·辆</w:t>
            </w:r>
            <w:r>
              <w:rPr>
                <w:rFonts w:hint="eastAsia" w:ascii="Times New Roman" w:hAnsi="Times New Roman" w:eastAsia="宋体" w:cs="Times New Roman"/>
                <w:lang w:eastAsia="zh-CN"/>
              </w:rPr>
              <w:t>）</w:t>
            </w:r>
            <w:r>
              <w:rPr>
                <w:rFonts w:ascii="Times New Roman" w:hAnsi="Times New Roman" w:eastAsia="宋体" w:cs="Times New Roman"/>
              </w:rPr>
              <w:t>。</w:t>
            </w:r>
          </w:p>
          <w:p w14:paraId="11DC839E">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3) L</w:t>
            </w:r>
            <w:r>
              <w:rPr>
                <w:rFonts w:ascii="Times New Roman" w:hAnsi="Times New Roman" w:eastAsia="宋体" w:cs="Times New Roman"/>
                <w:vertAlign w:val="subscript"/>
              </w:rPr>
              <w:t>R</w:t>
            </w:r>
            <w:r>
              <w:rPr>
                <w:rFonts w:ascii="Times New Roman" w:hAnsi="Times New Roman" w:eastAsia="宋体" w:cs="Times New Roman"/>
              </w:rPr>
              <w:t>为道路长度，km（厂区道路长约120m）。</w:t>
            </w:r>
          </w:p>
          <w:p w14:paraId="53B1F986">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4) N</w:t>
            </w:r>
            <w:r>
              <w:rPr>
                <w:rFonts w:ascii="Times New Roman" w:hAnsi="Times New Roman" w:eastAsia="宋体" w:cs="Times New Roman"/>
                <w:vertAlign w:val="subscript"/>
              </w:rPr>
              <w:t>R</w:t>
            </w:r>
            <w:r>
              <w:rPr>
                <w:rFonts w:ascii="Times New Roman" w:hAnsi="Times New Roman" w:eastAsia="宋体" w:cs="Times New Roman"/>
              </w:rPr>
              <w:t>为一定时期内车辆在该段道路上的平均车流量，辆/a（约1000辆）。</w:t>
            </w:r>
          </w:p>
          <w:p w14:paraId="6DBE5B33">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5) n</w:t>
            </w:r>
            <w:r>
              <w:rPr>
                <w:rFonts w:ascii="Times New Roman" w:hAnsi="Times New Roman" w:eastAsia="宋体" w:cs="Times New Roman"/>
                <w:vertAlign w:val="subscript"/>
              </w:rPr>
              <w:t>r</w:t>
            </w:r>
            <w:r>
              <w:rPr>
                <w:rFonts w:ascii="Times New Roman" w:hAnsi="Times New Roman" w:eastAsia="宋体" w:cs="Times New Roman"/>
              </w:rPr>
              <w:t>为不起尘天数，通过实测</w:t>
            </w:r>
            <w:r>
              <w:rPr>
                <w:rFonts w:hint="eastAsia" w:ascii="Times New Roman" w:hAnsi="Times New Roman" w:eastAsia="宋体" w:cs="Times New Roman"/>
                <w:lang w:eastAsia="zh-CN"/>
              </w:rPr>
              <w:t>（</w:t>
            </w:r>
            <w:r>
              <w:rPr>
                <w:rFonts w:ascii="Times New Roman" w:hAnsi="Times New Roman" w:eastAsia="宋体" w:cs="Times New Roman"/>
              </w:rPr>
              <w:t>统计降水造成的路面潮湿的天数</w:t>
            </w:r>
            <w:r>
              <w:rPr>
                <w:rFonts w:hint="eastAsia" w:ascii="Times New Roman" w:hAnsi="Times New Roman" w:eastAsia="宋体" w:cs="Times New Roman"/>
                <w:lang w:eastAsia="zh-CN"/>
              </w:rPr>
              <w:t>）</w:t>
            </w:r>
            <w:r>
              <w:rPr>
                <w:rFonts w:ascii="Times New Roman" w:hAnsi="Times New Roman" w:eastAsia="宋体" w:cs="Times New Roman"/>
              </w:rPr>
              <w:t>得到；在实测过程中存在困难的，可使用一年中降水量大于0.25mm/d的天数表示（约80天）。</w:t>
            </w:r>
          </w:p>
          <w:p w14:paraId="3ABDA558">
            <w:pPr>
              <w:pStyle w:val="40"/>
              <w:adjustRightInd w:val="0"/>
              <w:snapToGrid w:val="0"/>
              <w:spacing w:line="480" w:lineRule="exact"/>
              <w:ind w:firstLine="480"/>
              <w:rPr>
                <w:rFonts w:ascii="Times New Roman" w:hAnsi="Times New Roman" w:eastAsia="宋体" w:cs="Times New Roman"/>
              </w:rPr>
            </w:pPr>
            <w:r>
              <w:drawing>
                <wp:anchor distT="0" distB="0" distL="114300" distR="114300" simplePos="0" relativeHeight="251663360" behindDoc="0" locked="0" layoutInCell="1" allowOverlap="1">
                  <wp:simplePos x="0" y="0"/>
                  <wp:positionH relativeFrom="column">
                    <wp:posOffset>1210310</wp:posOffset>
                  </wp:positionH>
                  <wp:positionV relativeFrom="paragraph">
                    <wp:posOffset>326390</wp:posOffset>
                  </wp:positionV>
                  <wp:extent cx="3084195" cy="347345"/>
                  <wp:effectExtent l="0" t="0" r="0" b="0"/>
                  <wp:wrapTopAndBottom/>
                  <wp:docPr id="1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084195" cy="347345"/>
                          </a:xfrm>
                          <a:prstGeom prst="rect">
                            <a:avLst/>
                          </a:prstGeom>
                          <a:noFill/>
                          <a:ln>
                            <a:noFill/>
                          </a:ln>
                        </pic:spPr>
                      </pic:pic>
                    </a:graphicData>
                  </a:graphic>
                </wp:anchor>
              </w:drawing>
            </w:r>
            <w:r>
              <w:rPr>
                <w:rFonts w:ascii="Times New Roman" w:hAnsi="Times New Roman" w:eastAsia="宋体" w:cs="Times New Roman"/>
              </w:rPr>
              <w:t>对于铺装道路，道路扬尘源排放系数计算公式：</w:t>
            </w:r>
          </w:p>
          <w:p w14:paraId="187CF783">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式中：</w:t>
            </w:r>
          </w:p>
          <w:p w14:paraId="0D302E91">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1) E</w:t>
            </w:r>
            <w:r>
              <w:rPr>
                <w:rFonts w:ascii="Times New Roman" w:hAnsi="Times New Roman" w:eastAsia="宋体" w:cs="Times New Roman"/>
                <w:vertAlign w:val="subscript"/>
              </w:rPr>
              <w:t>pi</w:t>
            </w:r>
            <w:r>
              <w:rPr>
                <w:rFonts w:ascii="Times New Roman" w:hAnsi="Times New Roman" w:eastAsia="宋体" w:cs="Times New Roman"/>
              </w:rPr>
              <w:t>为铺装道路的扬尘中PM</w:t>
            </w:r>
            <w:r>
              <w:rPr>
                <w:rFonts w:ascii="Times New Roman" w:hAnsi="Times New Roman" w:eastAsia="宋体" w:cs="Times New Roman"/>
                <w:vertAlign w:val="subscript"/>
              </w:rPr>
              <w:t>i</w:t>
            </w:r>
            <w:r>
              <w:rPr>
                <w:rFonts w:ascii="Times New Roman" w:hAnsi="Times New Roman" w:eastAsia="宋体" w:cs="Times New Roman"/>
              </w:rPr>
              <w:t xml:space="preserve">排放系数，g/km </w:t>
            </w:r>
            <w:r>
              <w:rPr>
                <w:rFonts w:hint="eastAsia" w:ascii="Times New Roman" w:hAnsi="Times New Roman" w:eastAsia="宋体" w:cs="Times New Roman"/>
                <w:lang w:eastAsia="zh-CN"/>
              </w:rPr>
              <w:t>（</w:t>
            </w:r>
            <w:r>
              <w:rPr>
                <w:rFonts w:ascii="Times New Roman" w:hAnsi="Times New Roman" w:eastAsia="宋体" w:cs="Times New Roman"/>
              </w:rPr>
              <w:t>机动车行驶1千米产生的道路扬尘质量</w:t>
            </w:r>
            <w:r>
              <w:rPr>
                <w:rFonts w:hint="eastAsia" w:ascii="Times New Roman" w:hAnsi="Times New Roman" w:eastAsia="宋体" w:cs="Times New Roman"/>
                <w:lang w:eastAsia="zh-CN"/>
              </w:rPr>
              <w:t>）</w:t>
            </w:r>
            <w:r>
              <w:rPr>
                <w:rFonts w:ascii="Times New Roman" w:hAnsi="Times New Roman" w:eastAsia="宋体" w:cs="Times New Roman"/>
              </w:rPr>
              <w:t>。</w:t>
            </w:r>
          </w:p>
          <w:p w14:paraId="0C771937">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2) k为产生的扬尘中PM</w:t>
            </w:r>
            <w:r>
              <w:rPr>
                <w:rFonts w:ascii="Times New Roman" w:hAnsi="Times New Roman" w:eastAsia="宋体" w:cs="Times New Roman"/>
                <w:vertAlign w:val="subscript"/>
              </w:rPr>
              <w:t>i</w:t>
            </w:r>
            <w:r>
              <w:rPr>
                <w:rFonts w:ascii="Times New Roman" w:hAnsi="Times New Roman" w:eastAsia="宋体" w:cs="Times New Roman"/>
              </w:rPr>
              <w:t>的粒度乘数，推荐值3.23。</w:t>
            </w:r>
          </w:p>
          <w:p w14:paraId="500F10B9">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3) sL为道路积尘负荷，g/m</w:t>
            </w:r>
            <w:r>
              <w:rPr>
                <w:rFonts w:ascii="Times New Roman" w:hAnsi="Times New Roman" w:eastAsia="宋体" w:cs="Times New Roman"/>
                <w:vertAlign w:val="superscript"/>
              </w:rPr>
              <w:t>2</w:t>
            </w:r>
            <w:r>
              <w:rPr>
                <w:rFonts w:ascii="Times New Roman" w:hAnsi="Times New Roman" w:eastAsia="宋体" w:cs="Times New Roman"/>
              </w:rPr>
              <w:t>。具体监测方法见《防治城市扬尘污染技术规范》(HJ/T 393-2007</w:t>
            </w:r>
            <w:r>
              <w:rPr>
                <w:rFonts w:hint="eastAsia" w:ascii="Times New Roman" w:hAnsi="Times New Roman" w:eastAsia="宋体" w:cs="Times New Roman"/>
                <w:lang w:eastAsia="zh-CN"/>
              </w:rPr>
              <w:t>）</w:t>
            </w:r>
            <w:r>
              <w:rPr>
                <w:rFonts w:ascii="Times New Roman" w:hAnsi="Times New Roman" w:eastAsia="宋体" w:cs="Times New Roman"/>
              </w:rPr>
              <w:t>中的附录A（取值8.0）。</w:t>
            </w:r>
          </w:p>
          <w:p w14:paraId="6D015675">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4) W为平均车重，t。平均车重表示通过某等级道路所有车辆的平均重量（取值50t）。</w:t>
            </w:r>
          </w:p>
          <w:p w14:paraId="675EAAC2">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5) η为污染控制技术对扬尘的去除效率，%。（洒水降尘取值66%）。</w:t>
            </w:r>
          </w:p>
          <w:p w14:paraId="35C9AFD1">
            <w:pPr>
              <w:pStyle w:val="40"/>
              <w:adjustRightInd w:val="0"/>
              <w:snapToGrid w:val="0"/>
              <w:spacing w:line="480" w:lineRule="exact"/>
              <w:ind w:firstLine="480"/>
              <w:rPr>
                <w:rFonts w:ascii="Times New Roman" w:hAnsi="Times New Roman" w:eastAsia="宋体" w:cs="Times New Roman"/>
              </w:rPr>
            </w:pPr>
            <w:r>
              <w:rPr>
                <w:rFonts w:ascii="Times New Roman" w:hAnsi="Times New Roman" w:eastAsia="宋体" w:cs="Times New Roman"/>
              </w:rPr>
              <w:t>由上计算可知：项目汽车运输产生无组织扬尘量约为0.038t/a。</w:t>
            </w:r>
          </w:p>
          <w:p w14:paraId="156AA884">
            <w:pPr>
              <w:pStyle w:val="40"/>
              <w:adjustRightInd w:val="0"/>
              <w:snapToGrid w:val="0"/>
              <w:spacing w:line="480" w:lineRule="exact"/>
              <w:ind w:firstLine="482"/>
              <w:rPr>
                <w:rFonts w:ascii="Times New Roman" w:hAnsi="Times New Roman" w:eastAsia="宋体" w:cs="Times New Roman"/>
              </w:rPr>
            </w:pPr>
            <w:r>
              <w:rPr>
                <w:rFonts w:ascii="Times New Roman" w:hAnsi="Times New Roman" w:eastAsia="宋体" w:cs="Times New Roman"/>
                <w:b/>
                <w:bCs/>
              </w:rPr>
              <w:t>治理措施：</w:t>
            </w:r>
            <w:r>
              <w:rPr>
                <w:rFonts w:ascii="Times New Roman" w:hAnsi="Times New Roman" w:eastAsia="宋体" w:cs="Times New Roman"/>
              </w:rPr>
              <w:t>通过</w:t>
            </w:r>
            <w:r>
              <w:rPr>
                <w:rFonts w:hint="eastAsia" w:ascii="Times New Roman" w:hAnsi="Times New Roman" w:eastAsia="宋体" w:cs="Times New Roman"/>
              </w:rPr>
              <w:t>厂区内喷雾及洒水降尘、</w:t>
            </w:r>
            <w:r>
              <w:rPr>
                <w:rFonts w:ascii="Times New Roman" w:hAnsi="Times New Roman" w:eastAsia="宋体" w:cs="Times New Roman"/>
              </w:rPr>
              <w:t>对进出厂车辆进行清洗轮胎，对运输砂石的车辆进行加盖密闭等措施。</w:t>
            </w:r>
          </w:p>
          <w:p w14:paraId="37CF7D49">
            <w:pPr>
              <w:pStyle w:val="40"/>
              <w:adjustRightInd w:val="0"/>
              <w:snapToGrid w:val="0"/>
              <w:spacing w:line="480" w:lineRule="exact"/>
              <w:ind w:firstLine="480"/>
              <w:rPr>
                <w:rFonts w:ascii="Times New Roman" w:hAnsi="Times New Roman" w:eastAsia="宋体" w:cs="Times New Roman"/>
                <w:kern w:val="2"/>
              </w:rPr>
            </w:pPr>
            <w:r>
              <w:rPr>
                <w:rFonts w:ascii="Times New Roman" w:hAnsi="Times New Roman" w:eastAsia="宋体" w:cs="Times New Roman"/>
                <w:kern w:val="2"/>
              </w:rPr>
              <w:t>（5）营运</w:t>
            </w:r>
            <w:r>
              <w:rPr>
                <w:rFonts w:hint="eastAsia" w:ascii="Times New Roman" w:hAnsi="Times New Roman" w:eastAsia="宋体" w:cs="Times New Roman"/>
                <w:kern w:val="2"/>
                <w:lang w:eastAsia="zh-CN"/>
              </w:rPr>
              <w:t>期间</w:t>
            </w:r>
            <w:r>
              <w:rPr>
                <w:rFonts w:ascii="Times New Roman" w:hAnsi="Times New Roman" w:eastAsia="宋体" w:cs="Times New Roman"/>
                <w:kern w:val="2"/>
              </w:rPr>
              <w:t>废气污染物排放情况</w:t>
            </w:r>
          </w:p>
          <w:p w14:paraId="2E062F3D">
            <w:pPr>
              <w:pStyle w:val="40"/>
              <w:adjustRightInd w:val="0"/>
              <w:snapToGrid w:val="0"/>
              <w:spacing w:line="480" w:lineRule="exact"/>
              <w:ind w:firstLine="480"/>
              <w:rPr>
                <w:rFonts w:ascii="Times New Roman" w:hAnsi="Times New Roman" w:eastAsia="宋体" w:cs="Times New Roman"/>
                <w:kern w:val="2"/>
              </w:rPr>
            </w:pPr>
            <w:r>
              <w:rPr>
                <w:rFonts w:ascii="Times New Roman" w:hAnsi="Times New Roman" w:eastAsia="宋体" w:cs="Times New Roman"/>
                <w:kern w:val="2"/>
              </w:rPr>
              <w:t>综合以上分析，本项目建成后废气主要污染物排放汇总情况列于表5-4。</w:t>
            </w:r>
          </w:p>
          <w:p w14:paraId="3E4F0935">
            <w:pPr>
              <w:pStyle w:val="40"/>
              <w:adjustRightInd w:val="0"/>
              <w:snapToGrid w:val="0"/>
              <w:spacing w:line="480" w:lineRule="exact"/>
              <w:ind w:firstLine="480"/>
              <w:jc w:val="center"/>
              <w:rPr>
                <w:rFonts w:ascii="Times New Roman" w:hAnsi="Times New Roman" w:eastAsia="宋体" w:cs="Times New Roman"/>
                <w:bCs/>
                <w:kern w:val="2"/>
              </w:rPr>
            </w:pPr>
            <w:r>
              <w:rPr>
                <w:rFonts w:ascii="Times New Roman" w:hAnsi="Times New Roman" w:eastAsia="宋体" w:cs="Times New Roman"/>
                <w:bCs/>
                <w:kern w:val="2"/>
              </w:rPr>
              <w:t>表5-4 本项目废气产生、治理、排放情况</w:t>
            </w:r>
          </w:p>
          <w:tbl>
            <w:tblPr>
              <w:tblStyle w:val="26"/>
              <w:tblW w:w="8282"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552"/>
              <w:gridCol w:w="1276"/>
              <w:gridCol w:w="1701"/>
              <w:gridCol w:w="1843"/>
              <w:gridCol w:w="1843"/>
              <w:gridCol w:w="1067"/>
            </w:tblGrid>
            <w:tr w14:paraId="64EE29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2" w:hRule="atLeast"/>
                <w:jc w:val="center"/>
              </w:trPr>
              <w:tc>
                <w:tcPr>
                  <w:tcW w:w="552" w:type="dxa"/>
                  <w:vAlign w:val="center"/>
                </w:tcPr>
                <w:p w14:paraId="79210C1E">
                  <w:pPr>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1276" w:type="dxa"/>
                  <w:vAlign w:val="center"/>
                </w:tcPr>
                <w:p w14:paraId="03DAE140">
                  <w:pPr>
                    <w:snapToGrid w:val="0"/>
                    <w:jc w:val="center"/>
                    <w:rPr>
                      <w:rFonts w:ascii="Times New Roman" w:hAnsi="Times New Roman" w:eastAsia="宋体" w:cs="Times New Roman"/>
                      <w:szCs w:val="21"/>
                    </w:rPr>
                  </w:pPr>
                  <w:r>
                    <w:rPr>
                      <w:rFonts w:ascii="Times New Roman" w:hAnsi="Times New Roman" w:eastAsia="宋体" w:cs="Times New Roman"/>
                      <w:szCs w:val="21"/>
                    </w:rPr>
                    <w:t>污染源名称</w:t>
                  </w:r>
                </w:p>
              </w:tc>
              <w:tc>
                <w:tcPr>
                  <w:tcW w:w="1701" w:type="dxa"/>
                  <w:vAlign w:val="center"/>
                </w:tcPr>
                <w:p w14:paraId="7EFFFB95">
                  <w:pPr>
                    <w:snapToGrid w:val="0"/>
                    <w:jc w:val="center"/>
                    <w:rPr>
                      <w:rFonts w:ascii="Times New Roman" w:hAnsi="Times New Roman" w:eastAsia="宋体" w:cs="Times New Roman"/>
                      <w:szCs w:val="21"/>
                    </w:rPr>
                  </w:pPr>
                  <w:r>
                    <w:rPr>
                      <w:rFonts w:ascii="Times New Roman" w:hAnsi="Times New Roman" w:eastAsia="宋体" w:cs="Times New Roman"/>
                      <w:szCs w:val="21"/>
                    </w:rPr>
                    <w:t>处理前情况</w:t>
                  </w:r>
                </w:p>
              </w:tc>
              <w:tc>
                <w:tcPr>
                  <w:tcW w:w="1843" w:type="dxa"/>
                  <w:vAlign w:val="center"/>
                </w:tcPr>
                <w:p w14:paraId="3D639132">
                  <w:pPr>
                    <w:snapToGrid w:val="0"/>
                    <w:jc w:val="center"/>
                    <w:rPr>
                      <w:rFonts w:ascii="Times New Roman" w:hAnsi="Times New Roman" w:eastAsia="宋体" w:cs="Times New Roman"/>
                      <w:szCs w:val="21"/>
                    </w:rPr>
                  </w:pPr>
                  <w:r>
                    <w:rPr>
                      <w:rFonts w:ascii="Times New Roman" w:hAnsi="Times New Roman" w:eastAsia="宋体" w:cs="Times New Roman"/>
                      <w:szCs w:val="21"/>
                    </w:rPr>
                    <w:t>治理措施</w:t>
                  </w:r>
                </w:p>
              </w:tc>
              <w:tc>
                <w:tcPr>
                  <w:tcW w:w="1843" w:type="dxa"/>
                  <w:vAlign w:val="center"/>
                </w:tcPr>
                <w:p w14:paraId="2FC5EDA0">
                  <w:pPr>
                    <w:snapToGrid w:val="0"/>
                    <w:jc w:val="center"/>
                    <w:rPr>
                      <w:rFonts w:ascii="Times New Roman" w:hAnsi="Times New Roman" w:eastAsia="宋体" w:cs="Times New Roman"/>
                      <w:szCs w:val="21"/>
                    </w:rPr>
                  </w:pPr>
                  <w:r>
                    <w:rPr>
                      <w:rFonts w:ascii="Times New Roman" w:hAnsi="Times New Roman" w:eastAsia="宋体" w:cs="Times New Roman"/>
                      <w:szCs w:val="21"/>
                    </w:rPr>
                    <w:t>处理后情况</w:t>
                  </w:r>
                </w:p>
              </w:tc>
              <w:tc>
                <w:tcPr>
                  <w:tcW w:w="1067" w:type="dxa"/>
                  <w:vAlign w:val="center"/>
                </w:tcPr>
                <w:p w14:paraId="5739F162">
                  <w:pPr>
                    <w:snapToGrid w:val="0"/>
                    <w:jc w:val="center"/>
                    <w:rPr>
                      <w:rFonts w:ascii="Times New Roman" w:hAnsi="Times New Roman" w:eastAsia="宋体" w:cs="Times New Roman"/>
                      <w:szCs w:val="21"/>
                    </w:rPr>
                  </w:pPr>
                  <w:r>
                    <w:rPr>
                      <w:rFonts w:ascii="Times New Roman" w:hAnsi="Times New Roman" w:eastAsia="宋体" w:cs="Times New Roman"/>
                      <w:szCs w:val="21"/>
                    </w:rPr>
                    <w:t>排放规律</w:t>
                  </w:r>
                </w:p>
              </w:tc>
            </w:tr>
            <w:tr w14:paraId="069034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2" w:hRule="atLeast"/>
                <w:jc w:val="center"/>
              </w:trPr>
              <w:tc>
                <w:tcPr>
                  <w:tcW w:w="552" w:type="dxa"/>
                  <w:vAlign w:val="center"/>
                </w:tcPr>
                <w:p w14:paraId="1FC55D5C">
                  <w:pPr>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1276" w:type="dxa"/>
                  <w:vAlign w:val="center"/>
                </w:tcPr>
                <w:p w14:paraId="719B5063">
                  <w:pPr>
                    <w:snapToGrid w:val="0"/>
                    <w:jc w:val="center"/>
                    <w:rPr>
                      <w:rFonts w:ascii="Times New Roman" w:hAnsi="Times New Roman" w:eastAsia="宋体" w:cs="Times New Roman"/>
                      <w:szCs w:val="21"/>
                    </w:rPr>
                  </w:pPr>
                  <w:r>
                    <w:rPr>
                      <w:rFonts w:hint="eastAsia" w:ascii="Times New Roman" w:hAnsi="Times New Roman" w:eastAsia="宋体" w:cs="Times New Roman"/>
                      <w:szCs w:val="21"/>
                    </w:rPr>
                    <w:t>工艺</w:t>
                  </w:r>
                  <w:r>
                    <w:rPr>
                      <w:rFonts w:ascii="Times New Roman" w:hAnsi="Times New Roman" w:eastAsia="宋体" w:cs="Times New Roman"/>
                      <w:szCs w:val="21"/>
                    </w:rPr>
                    <w:t>粉尘</w:t>
                  </w:r>
                </w:p>
              </w:tc>
              <w:tc>
                <w:tcPr>
                  <w:tcW w:w="1701" w:type="dxa"/>
                  <w:vAlign w:val="center"/>
                </w:tcPr>
                <w:p w14:paraId="6E67C81E">
                  <w:pPr>
                    <w:snapToGrid w:val="0"/>
                    <w:jc w:val="center"/>
                    <w:rPr>
                      <w:rFonts w:ascii="Times New Roman" w:hAnsi="Times New Roman" w:eastAsia="宋体" w:cs="Times New Roman"/>
                      <w:szCs w:val="21"/>
                    </w:rPr>
                  </w:pPr>
                  <w:r>
                    <w:rPr>
                      <w:rFonts w:ascii="Times New Roman" w:hAnsi="Times New Roman" w:eastAsia="宋体" w:cs="Times New Roman"/>
                      <w:szCs w:val="21"/>
                    </w:rPr>
                    <w:t>378t/a</w:t>
                  </w:r>
                </w:p>
              </w:tc>
              <w:tc>
                <w:tcPr>
                  <w:tcW w:w="1843" w:type="dxa"/>
                  <w:vAlign w:val="center"/>
                </w:tcPr>
                <w:p w14:paraId="1E75254E">
                  <w:pPr>
                    <w:snapToGrid w:val="0"/>
                    <w:jc w:val="center"/>
                    <w:rPr>
                      <w:rFonts w:ascii="Times New Roman" w:hAnsi="Times New Roman" w:eastAsia="宋体" w:cs="Times New Roman"/>
                      <w:szCs w:val="21"/>
                    </w:rPr>
                  </w:pPr>
                  <w:r>
                    <w:rPr>
                      <w:rFonts w:ascii="Times New Roman" w:hAnsi="Times New Roman" w:eastAsia="宋体" w:cs="Times New Roman"/>
                      <w:szCs w:val="21"/>
                    </w:rPr>
                    <w:t>车间密闭</w:t>
                  </w:r>
                  <w:r>
                    <w:rPr>
                      <w:rFonts w:hint="eastAsia" w:ascii="Times New Roman" w:hAnsi="Times New Roman" w:eastAsia="宋体" w:cs="Times New Roman"/>
                      <w:szCs w:val="21"/>
                    </w:rPr>
                    <w:t>、湿法作业、喷雾降尘</w:t>
                  </w:r>
                </w:p>
              </w:tc>
              <w:tc>
                <w:tcPr>
                  <w:tcW w:w="1843" w:type="dxa"/>
                  <w:vAlign w:val="center"/>
                </w:tcPr>
                <w:p w14:paraId="0F24E54D">
                  <w:pPr>
                    <w:snapToGrid w:val="0"/>
                    <w:jc w:val="center"/>
                    <w:rPr>
                      <w:rFonts w:ascii="Times New Roman" w:hAnsi="Times New Roman" w:eastAsia="宋体" w:cs="Times New Roman"/>
                      <w:szCs w:val="21"/>
                    </w:rPr>
                  </w:pPr>
                  <w:r>
                    <w:rPr>
                      <w:rFonts w:ascii="Times New Roman" w:hAnsi="Times New Roman" w:eastAsia="宋体" w:cs="Times New Roman"/>
                      <w:szCs w:val="21"/>
                    </w:rPr>
                    <w:t>0.2</w:t>
                  </w:r>
                  <w:r>
                    <w:rPr>
                      <w:rFonts w:hint="eastAsia" w:ascii="Times New Roman" w:hAnsi="Times New Roman" w:eastAsia="宋体" w:cs="Times New Roman"/>
                      <w:szCs w:val="21"/>
                    </w:rPr>
                    <w:t>t</w:t>
                  </w:r>
                  <w:r>
                    <w:rPr>
                      <w:rFonts w:ascii="Times New Roman" w:hAnsi="Times New Roman" w:eastAsia="宋体" w:cs="Times New Roman"/>
                      <w:szCs w:val="21"/>
                    </w:rPr>
                    <w:t>/</w:t>
                  </w:r>
                  <w:r>
                    <w:rPr>
                      <w:rFonts w:hint="eastAsia" w:ascii="Times New Roman" w:hAnsi="Times New Roman" w:eastAsia="宋体" w:cs="Times New Roman"/>
                      <w:szCs w:val="21"/>
                    </w:rPr>
                    <w:t>a无组织排放</w:t>
                  </w:r>
                </w:p>
              </w:tc>
              <w:tc>
                <w:tcPr>
                  <w:tcW w:w="1067" w:type="dxa"/>
                  <w:vAlign w:val="center"/>
                </w:tcPr>
                <w:p w14:paraId="157D64C9">
                  <w:pPr>
                    <w:snapToGrid w:val="0"/>
                    <w:jc w:val="center"/>
                    <w:rPr>
                      <w:rFonts w:ascii="Times New Roman" w:hAnsi="Times New Roman" w:eastAsia="宋体" w:cs="Times New Roman"/>
                      <w:szCs w:val="21"/>
                    </w:rPr>
                  </w:pPr>
                  <w:r>
                    <w:rPr>
                      <w:rFonts w:ascii="Times New Roman" w:hAnsi="Times New Roman" w:eastAsia="宋体" w:cs="Times New Roman"/>
                      <w:szCs w:val="21"/>
                    </w:rPr>
                    <w:t>间歇</w:t>
                  </w:r>
                </w:p>
              </w:tc>
            </w:tr>
            <w:tr w14:paraId="11BA73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2" w:hRule="atLeast"/>
                <w:jc w:val="center"/>
              </w:trPr>
              <w:tc>
                <w:tcPr>
                  <w:tcW w:w="552" w:type="dxa"/>
                  <w:vAlign w:val="center"/>
                </w:tcPr>
                <w:p w14:paraId="652CD045">
                  <w:pPr>
                    <w:snapToGrid w:val="0"/>
                    <w:jc w:val="center"/>
                    <w:rPr>
                      <w:rFonts w:ascii="Times New Roman" w:hAnsi="Times New Roman" w:eastAsia="宋体" w:cs="Times New Roman"/>
                      <w:szCs w:val="21"/>
                    </w:rPr>
                  </w:pPr>
                  <w:r>
                    <w:rPr>
                      <w:rFonts w:ascii="Times New Roman" w:hAnsi="Times New Roman" w:eastAsia="宋体" w:cs="Times New Roman"/>
                      <w:szCs w:val="21"/>
                    </w:rPr>
                    <w:t>2</w:t>
                  </w:r>
                </w:p>
              </w:tc>
              <w:tc>
                <w:tcPr>
                  <w:tcW w:w="1276" w:type="dxa"/>
                  <w:vAlign w:val="center"/>
                </w:tcPr>
                <w:p w14:paraId="033ED1B2">
                  <w:pPr>
                    <w:snapToGrid w:val="0"/>
                    <w:jc w:val="center"/>
                    <w:rPr>
                      <w:rFonts w:ascii="Times New Roman" w:hAnsi="Times New Roman" w:eastAsia="宋体" w:cs="Times New Roman"/>
                      <w:szCs w:val="21"/>
                    </w:rPr>
                  </w:pPr>
                  <w:r>
                    <w:rPr>
                      <w:rFonts w:hint="eastAsia" w:ascii="Times New Roman" w:hAnsi="Times New Roman" w:eastAsia="宋体" w:cs="Times New Roman"/>
                      <w:szCs w:val="21"/>
                    </w:rPr>
                    <w:t>装卸粉尘</w:t>
                  </w:r>
                </w:p>
              </w:tc>
              <w:tc>
                <w:tcPr>
                  <w:tcW w:w="1701" w:type="dxa"/>
                  <w:vAlign w:val="center"/>
                </w:tcPr>
                <w:p w14:paraId="1BFF38FD">
                  <w:pPr>
                    <w:snapToGrid w:val="0"/>
                    <w:jc w:val="center"/>
                    <w:rPr>
                      <w:rFonts w:ascii="Times New Roman" w:hAnsi="Times New Roman" w:eastAsia="宋体" w:cs="Times New Roman"/>
                      <w:szCs w:val="21"/>
                    </w:rPr>
                  </w:pPr>
                  <w:r>
                    <w:rPr>
                      <w:rFonts w:ascii="Times New Roman" w:hAnsi="Times New Roman" w:eastAsia="宋体" w:cs="Times New Roman"/>
                      <w:szCs w:val="21"/>
                    </w:rPr>
                    <w:t>2.48</w:t>
                  </w:r>
                  <w:r>
                    <w:rPr>
                      <w:rFonts w:hint="eastAsia" w:ascii="Times New Roman" w:hAnsi="Times New Roman" w:eastAsia="宋体" w:cs="Times New Roman"/>
                      <w:szCs w:val="21"/>
                    </w:rPr>
                    <w:t>t</w:t>
                  </w:r>
                  <w:r>
                    <w:rPr>
                      <w:rFonts w:ascii="Times New Roman" w:hAnsi="Times New Roman" w:eastAsia="宋体" w:cs="Times New Roman"/>
                      <w:szCs w:val="21"/>
                    </w:rPr>
                    <w:t>/</w:t>
                  </w:r>
                  <w:r>
                    <w:rPr>
                      <w:rFonts w:hint="eastAsia" w:ascii="Times New Roman" w:hAnsi="Times New Roman" w:eastAsia="宋体" w:cs="Times New Roman"/>
                      <w:szCs w:val="21"/>
                    </w:rPr>
                    <w:t>a</w:t>
                  </w:r>
                </w:p>
              </w:tc>
              <w:tc>
                <w:tcPr>
                  <w:tcW w:w="1843" w:type="dxa"/>
                  <w:vAlign w:val="center"/>
                </w:tcPr>
                <w:p w14:paraId="2939F28B">
                  <w:pPr>
                    <w:snapToGrid w:val="0"/>
                    <w:jc w:val="center"/>
                    <w:rPr>
                      <w:rFonts w:ascii="Times New Roman" w:hAnsi="Times New Roman" w:eastAsia="宋体" w:cs="Times New Roman"/>
                      <w:szCs w:val="21"/>
                    </w:rPr>
                  </w:pPr>
                  <w:r>
                    <w:rPr>
                      <w:rFonts w:hint="eastAsia" w:ascii="Times New Roman" w:hAnsi="Times New Roman" w:eastAsia="宋体" w:cs="Times New Roman"/>
                      <w:szCs w:val="21"/>
                    </w:rPr>
                    <w:t>围挡、喷雾降尘</w:t>
                  </w:r>
                </w:p>
              </w:tc>
              <w:tc>
                <w:tcPr>
                  <w:tcW w:w="1843" w:type="dxa"/>
                  <w:vAlign w:val="center"/>
                </w:tcPr>
                <w:p w14:paraId="2F1A848E">
                  <w:pPr>
                    <w:snapToGrid w:val="0"/>
                    <w:jc w:val="center"/>
                    <w:rPr>
                      <w:rFonts w:ascii="Times New Roman" w:hAnsi="Times New Roman" w:eastAsia="宋体" w:cs="Times New Roman"/>
                      <w:szCs w:val="21"/>
                    </w:rPr>
                  </w:pPr>
                  <w:r>
                    <w:rPr>
                      <w:rFonts w:hint="eastAsia" w:ascii="Times New Roman" w:hAnsi="Times New Roman" w:eastAsia="宋体" w:cs="Times New Roman"/>
                      <w:szCs w:val="21"/>
                    </w:rPr>
                    <w:t>0</w:t>
                  </w:r>
                  <w:r>
                    <w:rPr>
                      <w:rFonts w:ascii="Times New Roman" w:hAnsi="Times New Roman" w:eastAsia="宋体" w:cs="Times New Roman"/>
                      <w:szCs w:val="21"/>
                    </w:rPr>
                    <w:t>.06</w:t>
                  </w:r>
                  <w:r>
                    <w:rPr>
                      <w:rFonts w:hint="eastAsia" w:ascii="Times New Roman" w:hAnsi="Times New Roman" w:eastAsia="宋体" w:cs="Times New Roman"/>
                      <w:szCs w:val="21"/>
                    </w:rPr>
                    <w:t>t</w:t>
                  </w:r>
                  <w:r>
                    <w:rPr>
                      <w:rFonts w:ascii="Times New Roman" w:hAnsi="Times New Roman" w:eastAsia="宋体" w:cs="Times New Roman"/>
                      <w:szCs w:val="21"/>
                    </w:rPr>
                    <w:t>/</w:t>
                  </w:r>
                  <w:r>
                    <w:rPr>
                      <w:rFonts w:hint="eastAsia" w:ascii="Times New Roman" w:hAnsi="Times New Roman" w:eastAsia="宋体" w:cs="Times New Roman"/>
                      <w:szCs w:val="21"/>
                    </w:rPr>
                    <w:t>a，无组织排放</w:t>
                  </w:r>
                </w:p>
              </w:tc>
              <w:tc>
                <w:tcPr>
                  <w:tcW w:w="1067" w:type="dxa"/>
                  <w:vAlign w:val="center"/>
                </w:tcPr>
                <w:p w14:paraId="275C0F0F">
                  <w:pPr>
                    <w:snapToGrid w:val="0"/>
                    <w:jc w:val="center"/>
                    <w:rPr>
                      <w:rFonts w:ascii="Times New Roman" w:hAnsi="Times New Roman" w:eastAsia="宋体" w:cs="Times New Roman"/>
                      <w:szCs w:val="21"/>
                    </w:rPr>
                  </w:pPr>
                  <w:r>
                    <w:rPr>
                      <w:rFonts w:ascii="Times New Roman" w:hAnsi="Times New Roman" w:eastAsia="宋体" w:cs="Times New Roman"/>
                      <w:szCs w:val="21"/>
                    </w:rPr>
                    <w:t>间歇</w:t>
                  </w:r>
                </w:p>
              </w:tc>
            </w:tr>
            <w:tr w14:paraId="7014E9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2" w:hRule="atLeast"/>
                <w:jc w:val="center"/>
              </w:trPr>
              <w:tc>
                <w:tcPr>
                  <w:tcW w:w="552" w:type="dxa"/>
                  <w:vAlign w:val="center"/>
                </w:tcPr>
                <w:p w14:paraId="38E4AFC0">
                  <w:pPr>
                    <w:snapToGrid w:val="0"/>
                    <w:jc w:val="center"/>
                    <w:rPr>
                      <w:rFonts w:ascii="Times New Roman" w:hAnsi="Times New Roman" w:eastAsia="宋体" w:cs="Times New Roman"/>
                      <w:szCs w:val="21"/>
                    </w:rPr>
                  </w:pPr>
                  <w:r>
                    <w:rPr>
                      <w:rFonts w:ascii="Times New Roman" w:hAnsi="Times New Roman" w:eastAsia="宋体" w:cs="Times New Roman"/>
                      <w:szCs w:val="21"/>
                    </w:rPr>
                    <w:t>3</w:t>
                  </w:r>
                </w:p>
              </w:tc>
              <w:tc>
                <w:tcPr>
                  <w:tcW w:w="1276" w:type="dxa"/>
                  <w:vAlign w:val="center"/>
                </w:tcPr>
                <w:p w14:paraId="38372D7F">
                  <w:pPr>
                    <w:snapToGrid w:val="0"/>
                    <w:jc w:val="center"/>
                    <w:rPr>
                      <w:rFonts w:ascii="Times New Roman" w:hAnsi="Times New Roman" w:eastAsia="宋体" w:cs="Times New Roman"/>
                      <w:szCs w:val="21"/>
                    </w:rPr>
                  </w:pPr>
                  <w:r>
                    <w:rPr>
                      <w:rFonts w:ascii="Times New Roman" w:hAnsi="Times New Roman" w:eastAsia="宋体" w:cs="Times New Roman"/>
                      <w:szCs w:val="21"/>
                    </w:rPr>
                    <w:t>堆场粉尘</w:t>
                  </w:r>
                </w:p>
              </w:tc>
              <w:tc>
                <w:tcPr>
                  <w:tcW w:w="1701" w:type="dxa"/>
                  <w:vAlign w:val="center"/>
                </w:tcPr>
                <w:p w14:paraId="37D92553">
                  <w:pPr>
                    <w:snapToGrid w:val="0"/>
                    <w:jc w:val="center"/>
                    <w:rPr>
                      <w:rFonts w:ascii="Times New Roman" w:hAnsi="Times New Roman" w:eastAsia="宋体" w:cs="Times New Roman"/>
                      <w:szCs w:val="21"/>
                    </w:rPr>
                  </w:pPr>
                  <w:r>
                    <w:rPr>
                      <w:rFonts w:hint="eastAsia" w:ascii="Times New Roman" w:hAnsi="Times New Roman" w:eastAsia="宋体" w:cs="Times New Roman"/>
                      <w:szCs w:val="21"/>
                    </w:rPr>
                    <w:t>0</w:t>
                  </w:r>
                  <w:r>
                    <w:rPr>
                      <w:rFonts w:ascii="Times New Roman" w:hAnsi="Times New Roman" w:eastAsia="宋体" w:cs="Times New Roman"/>
                      <w:szCs w:val="21"/>
                    </w:rPr>
                    <w:t>.01</w:t>
                  </w:r>
                  <w:r>
                    <w:rPr>
                      <w:rFonts w:hint="eastAsia" w:ascii="Times New Roman" w:hAnsi="Times New Roman" w:eastAsia="宋体" w:cs="Times New Roman"/>
                      <w:szCs w:val="21"/>
                    </w:rPr>
                    <w:t>t</w:t>
                  </w:r>
                  <w:r>
                    <w:rPr>
                      <w:rFonts w:ascii="Times New Roman" w:hAnsi="Times New Roman" w:eastAsia="宋体" w:cs="Times New Roman"/>
                      <w:szCs w:val="21"/>
                    </w:rPr>
                    <w:t>/</w:t>
                  </w:r>
                  <w:r>
                    <w:rPr>
                      <w:rFonts w:hint="eastAsia" w:ascii="Times New Roman" w:hAnsi="Times New Roman" w:eastAsia="宋体" w:cs="Times New Roman"/>
                      <w:szCs w:val="21"/>
                    </w:rPr>
                    <w:t>a，少量</w:t>
                  </w:r>
                  <w:r>
                    <w:rPr>
                      <w:rFonts w:ascii="Times New Roman" w:hAnsi="Times New Roman" w:eastAsia="宋体" w:cs="Times New Roman"/>
                      <w:szCs w:val="21"/>
                    </w:rPr>
                    <w:t>起尘</w:t>
                  </w:r>
                </w:p>
              </w:tc>
              <w:tc>
                <w:tcPr>
                  <w:tcW w:w="1843" w:type="dxa"/>
                  <w:vAlign w:val="center"/>
                </w:tcPr>
                <w:p w14:paraId="20799FDF">
                  <w:pPr>
                    <w:snapToGrid w:val="0"/>
                    <w:jc w:val="center"/>
                    <w:rPr>
                      <w:rFonts w:ascii="Times New Roman" w:hAnsi="Times New Roman" w:eastAsia="宋体" w:cs="Times New Roman"/>
                      <w:szCs w:val="21"/>
                    </w:rPr>
                  </w:pPr>
                  <w:r>
                    <w:rPr>
                      <w:rFonts w:hint="eastAsia" w:ascii="Times New Roman" w:hAnsi="Times New Roman" w:eastAsia="宋体" w:cs="Times New Roman"/>
                      <w:szCs w:val="21"/>
                    </w:rPr>
                    <w:t>喷雾降尘、料仓堆存、及时入库</w:t>
                  </w:r>
                </w:p>
              </w:tc>
              <w:tc>
                <w:tcPr>
                  <w:tcW w:w="1843" w:type="dxa"/>
                  <w:vAlign w:val="center"/>
                </w:tcPr>
                <w:p w14:paraId="74F6E2C2">
                  <w:pPr>
                    <w:snapToGrid w:val="0"/>
                    <w:jc w:val="center"/>
                    <w:rPr>
                      <w:rFonts w:ascii="Times New Roman" w:hAnsi="Times New Roman" w:eastAsia="宋体" w:cs="Times New Roman"/>
                      <w:szCs w:val="21"/>
                    </w:rPr>
                  </w:pPr>
                  <w:r>
                    <w:rPr>
                      <w:rFonts w:hint="eastAsia" w:ascii="Times New Roman" w:hAnsi="Times New Roman" w:eastAsia="宋体" w:cs="Times New Roman"/>
                    </w:rPr>
                    <w:t>产生量较少，无组织排放</w:t>
                  </w:r>
                </w:p>
              </w:tc>
              <w:tc>
                <w:tcPr>
                  <w:tcW w:w="1067" w:type="dxa"/>
                  <w:vAlign w:val="center"/>
                </w:tcPr>
                <w:p w14:paraId="3E6627E2">
                  <w:pPr>
                    <w:snapToGrid w:val="0"/>
                    <w:jc w:val="center"/>
                    <w:rPr>
                      <w:rFonts w:ascii="Times New Roman" w:hAnsi="Times New Roman" w:eastAsia="宋体" w:cs="Times New Roman"/>
                      <w:szCs w:val="21"/>
                    </w:rPr>
                  </w:pPr>
                  <w:r>
                    <w:rPr>
                      <w:rFonts w:ascii="Times New Roman" w:hAnsi="Times New Roman" w:eastAsia="宋体" w:cs="Times New Roman"/>
                      <w:szCs w:val="21"/>
                    </w:rPr>
                    <w:t>间歇</w:t>
                  </w:r>
                </w:p>
              </w:tc>
            </w:tr>
            <w:tr w14:paraId="4B0DA0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2" w:hRule="atLeast"/>
                <w:jc w:val="center"/>
              </w:trPr>
              <w:tc>
                <w:tcPr>
                  <w:tcW w:w="552" w:type="dxa"/>
                  <w:vAlign w:val="center"/>
                </w:tcPr>
                <w:p w14:paraId="6D447E5B">
                  <w:pPr>
                    <w:snapToGrid w:val="0"/>
                    <w:jc w:val="center"/>
                    <w:rPr>
                      <w:rFonts w:ascii="Times New Roman" w:hAnsi="Times New Roman" w:eastAsia="宋体" w:cs="Times New Roman"/>
                      <w:szCs w:val="21"/>
                    </w:rPr>
                  </w:pPr>
                  <w:r>
                    <w:rPr>
                      <w:rFonts w:ascii="Times New Roman" w:hAnsi="Times New Roman" w:eastAsia="宋体" w:cs="Times New Roman"/>
                      <w:szCs w:val="21"/>
                    </w:rPr>
                    <w:t>4</w:t>
                  </w:r>
                </w:p>
              </w:tc>
              <w:tc>
                <w:tcPr>
                  <w:tcW w:w="1276" w:type="dxa"/>
                  <w:vAlign w:val="center"/>
                </w:tcPr>
                <w:p w14:paraId="77B0680F">
                  <w:pPr>
                    <w:snapToGrid w:val="0"/>
                    <w:jc w:val="center"/>
                    <w:rPr>
                      <w:rFonts w:ascii="Times New Roman" w:hAnsi="Times New Roman" w:eastAsia="宋体" w:cs="Times New Roman"/>
                      <w:szCs w:val="21"/>
                    </w:rPr>
                  </w:pPr>
                  <w:r>
                    <w:rPr>
                      <w:rFonts w:ascii="Times New Roman" w:hAnsi="Times New Roman" w:eastAsia="宋体" w:cs="Times New Roman"/>
                      <w:szCs w:val="21"/>
                    </w:rPr>
                    <w:t>汽车运输扬尘</w:t>
                  </w:r>
                </w:p>
              </w:tc>
              <w:tc>
                <w:tcPr>
                  <w:tcW w:w="1701" w:type="dxa"/>
                  <w:vAlign w:val="center"/>
                </w:tcPr>
                <w:p w14:paraId="45950328">
                  <w:pPr>
                    <w:snapToGrid w:val="0"/>
                    <w:jc w:val="center"/>
                    <w:rPr>
                      <w:rFonts w:ascii="Times New Roman" w:hAnsi="Times New Roman" w:eastAsia="宋体" w:cs="Times New Roman"/>
                    </w:rPr>
                  </w:pPr>
                  <w:r>
                    <w:rPr>
                      <w:rFonts w:ascii="Times New Roman" w:hAnsi="Times New Roman" w:eastAsia="宋体" w:cs="Times New Roman"/>
                    </w:rPr>
                    <w:t>0.038t/a</w:t>
                  </w:r>
                </w:p>
              </w:tc>
              <w:tc>
                <w:tcPr>
                  <w:tcW w:w="1843" w:type="dxa"/>
                  <w:vAlign w:val="center"/>
                </w:tcPr>
                <w:p w14:paraId="00A6EB2E">
                  <w:pPr>
                    <w:snapToGrid w:val="0"/>
                    <w:jc w:val="center"/>
                    <w:rPr>
                      <w:rFonts w:ascii="Times New Roman" w:hAnsi="Times New Roman" w:eastAsia="宋体" w:cs="Times New Roman"/>
                      <w:szCs w:val="21"/>
                    </w:rPr>
                  </w:pPr>
                  <w:r>
                    <w:rPr>
                      <w:rFonts w:ascii="Times New Roman" w:hAnsi="Times New Roman" w:eastAsia="宋体" w:cs="Times New Roman"/>
                      <w:szCs w:val="21"/>
                    </w:rPr>
                    <w:t>轮胎冲洗、</w:t>
                  </w:r>
                  <w:r>
                    <w:rPr>
                      <w:rFonts w:hint="eastAsia" w:ascii="Times New Roman" w:hAnsi="Times New Roman" w:eastAsia="宋体" w:cs="Times New Roman"/>
                      <w:szCs w:val="21"/>
                    </w:rPr>
                    <w:t>车辆加盖、洒水降尘</w:t>
                  </w:r>
                </w:p>
              </w:tc>
              <w:tc>
                <w:tcPr>
                  <w:tcW w:w="1843" w:type="dxa"/>
                  <w:vAlign w:val="center"/>
                </w:tcPr>
                <w:p w14:paraId="1E98E86E">
                  <w:pPr>
                    <w:snapToGrid w:val="0"/>
                    <w:jc w:val="center"/>
                    <w:rPr>
                      <w:rFonts w:ascii="Times New Roman" w:hAnsi="Times New Roman" w:eastAsia="宋体" w:cs="Times New Roman"/>
                    </w:rPr>
                  </w:pPr>
                  <w:r>
                    <w:rPr>
                      <w:rFonts w:hint="eastAsia" w:ascii="Times New Roman" w:hAnsi="Times New Roman" w:eastAsia="宋体" w:cs="Times New Roman"/>
                    </w:rPr>
                    <w:t>产生量较少，无组织排放</w:t>
                  </w:r>
                </w:p>
              </w:tc>
              <w:tc>
                <w:tcPr>
                  <w:tcW w:w="1067" w:type="dxa"/>
                  <w:vAlign w:val="center"/>
                </w:tcPr>
                <w:p w14:paraId="6B197796">
                  <w:pPr>
                    <w:snapToGrid w:val="0"/>
                    <w:jc w:val="center"/>
                    <w:rPr>
                      <w:rFonts w:ascii="Times New Roman" w:hAnsi="Times New Roman" w:eastAsia="宋体" w:cs="Times New Roman"/>
                      <w:szCs w:val="21"/>
                    </w:rPr>
                  </w:pPr>
                  <w:r>
                    <w:rPr>
                      <w:rFonts w:ascii="Times New Roman" w:hAnsi="Times New Roman" w:eastAsia="宋体" w:cs="Times New Roman"/>
                      <w:szCs w:val="21"/>
                    </w:rPr>
                    <w:t>间歇</w:t>
                  </w:r>
                </w:p>
              </w:tc>
            </w:tr>
            <w:tr w14:paraId="73D3D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2" w:hRule="atLeast"/>
                <w:jc w:val="center"/>
              </w:trPr>
              <w:tc>
                <w:tcPr>
                  <w:tcW w:w="1828" w:type="dxa"/>
                  <w:gridSpan w:val="2"/>
                  <w:vAlign w:val="center"/>
                </w:tcPr>
                <w:p w14:paraId="64D713C7">
                  <w:pPr>
                    <w:snapToGrid w:val="0"/>
                    <w:jc w:val="center"/>
                    <w:rPr>
                      <w:rFonts w:ascii="Times New Roman" w:hAnsi="Times New Roman" w:eastAsia="宋体" w:cs="Times New Roman"/>
                      <w:szCs w:val="21"/>
                    </w:rPr>
                  </w:pPr>
                  <w:r>
                    <w:rPr>
                      <w:rFonts w:ascii="Times New Roman" w:hAnsi="Times New Roman" w:eastAsia="宋体" w:cs="Times New Roman"/>
                      <w:szCs w:val="21"/>
                    </w:rPr>
                    <w:t>执行标准</w:t>
                  </w:r>
                </w:p>
              </w:tc>
              <w:tc>
                <w:tcPr>
                  <w:tcW w:w="6454" w:type="dxa"/>
                  <w:gridSpan w:val="4"/>
                  <w:vAlign w:val="center"/>
                </w:tcPr>
                <w:p w14:paraId="2A1E9F59">
                  <w:pPr>
                    <w:rPr>
                      <w:rFonts w:ascii="Times New Roman" w:hAnsi="Times New Roman" w:eastAsia="宋体" w:cs="Times New Roman"/>
                      <w:szCs w:val="21"/>
                    </w:rPr>
                  </w:pPr>
                  <w:r>
                    <w:rPr>
                      <w:rFonts w:ascii="Times New Roman" w:hAnsi="Times New Roman" w:eastAsia="宋体" w:cs="Times New Roman"/>
                      <w:szCs w:val="21"/>
                    </w:rPr>
                    <w:t>执行《大气污染物综合排放标准》（GB16297-1996）表 2 中相应标准。</w:t>
                  </w:r>
                </w:p>
              </w:tc>
            </w:tr>
          </w:tbl>
          <w:p w14:paraId="21A998C0">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fldChar w:fldCharType="begin"/>
            </w:r>
            <w:r>
              <w:rPr>
                <w:rFonts w:ascii="Times New Roman" w:hAnsi="Times New Roman" w:eastAsia="宋体" w:cs="Times New Roman"/>
                <w:bCs/>
                <w:sz w:val="24"/>
              </w:rPr>
              <w:instrText xml:space="preserve"> = 3 \* GB3 </w:instrText>
            </w:r>
            <w:r>
              <w:rPr>
                <w:rFonts w:ascii="Times New Roman" w:hAnsi="Times New Roman" w:eastAsia="宋体" w:cs="Times New Roman"/>
                <w:bCs/>
                <w:sz w:val="24"/>
              </w:rPr>
              <w:fldChar w:fldCharType="separate"/>
            </w:r>
            <w:r>
              <w:rPr>
                <w:rFonts w:hint="eastAsia" w:ascii="宋体" w:hAnsi="宋体" w:eastAsia="宋体" w:cs="宋体"/>
                <w:bCs/>
                <w:sz w:val="24"/>
              </w:rPr>
              <w:t>③</w:t>
            </w:r>
            <w:r>
              <w:rPr>
                <w:rFonts w:ascii="Times New Roman" w:hAnsi="Times New Roman" w:eastAsia="宋体" w:cs="Times New Roman"/>
                <w:bCs/>
                <w:sz w:val="24"/>
              </w:rPr>
              <w:fldChar w:fldCharType="end"/>
            </w:r>
            <w:r>
              <w:rPr>
                <w:rFonts w:ascii="Times New Roman" w:hAnsi="Times New Roman" w:eastAsia="宋体" w:cs="Times New Roman"/>
                <w:bCs/>
                <w:sz w:val="24"/>
              </w:rPr>
              <w:t>废气治理结果</w:t>
            </w:r>
          </w:p>
          <w:p w14:paraId="0255BC52">
            <w:pPr>
              <w:widowControl/>
              <w:adjustRightInd w:val="0"/>
              <w:snapToGrid w:val="0"/>
              <w:spacing w:line="480" w:lineRule="exact"/>
              <w:ind w:right="92" w:rightChars="44"/>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表5-5  项目废气产生及排放情况表</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85" w:type="dxa"/>
                <w:bottom w:w="0" w:type="dxa"/>
                <w:right w:w="85" w:type="dxa"/>
              </w:tblCellMar>
            </w:tblPr>
            <w:tblGrid>
              <w:gridCol w:w="1725"/>
              <w:gridCol w:w="1350"/>
              <w:gridCol w:w="1365"/>
              <w:gridCol w:w="1733"/>
              <w:gridCol w:w="2109"/>
            </w:tblGrid>
            <w:tr w14:paraId="6DD5BC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85" w:type="dxa"/>
                  <w:bottom w:w="0" w:type="dxa"/>
                  <w:right w:w="85" w:type="dxa"/>
                </w:tblCellMar>
              </w:tblPrEx>
              <w:trPr>
                <w:trHeight w:val="320" w:hRule="atLeast"/>
                <w:jc w:val="center"/>
              </w:trPr>
              <w:tc>
                <w:tcPr>
                  <w:tcW w:w="1042" w:type="pct"/>
                  <w:vAlign w:val="center"/>
                </w:tcPr>
                <w:p w14:paraId="2E263C9A">
                  <w:pPr>
                    <w:pStyle w:val="14"/>
                    <w:jc w:val="center"/>
                    <w:rPr>
                      <w:rFonts w:ascii="Times New Roman" w:hAnsi="Times New Roman" w:eastAsia="宋体" w:cs="Times New Roman"/>
                      <w:szCs w:val="21"/>
                    </w:rPr>
                  </w:pPr>
                  <w:r>
                    <w:rPr>
                      <w:rFonts w:ascii="Times New Roman" w:hAnsi="Times New Roman" w:eastAsia="宋体" w:cs="Times New Roman"/>
                      <w:szCs w:val="21"/>
                    </w:rPr>
                    <w:t>污染源位置</w:t>
                  </w:r>
                </w:p>
              </w:tc>
              <w:tc>
                <w:tcPr>
                  <w:tcW w:w="815" w:type="pct"/>
                  <w:vAlign w:val="center"/>
                </w:tcPr>
                <w:p w14:paraId="0BEFBD3D">
                  <w:pPr>
                    <w:pStyle w:val="14"/>
                    <w:jc w:val="center"/>
                    <w:rPr>
                      <w:rFonts w:ascii="Times New Roman" w:hAnsi="Times New Roman" w:eastAsia="宋体" w:cs="Times New Roman"/>
                      <w:szCs w:val="21"/>
                    </w:rPr>
                  </w:pPr>
                  <w:r>
                    <w:rPr>
                      <w:rFonts w:ascii="Times New Roman" w:hAnsi="Times New Roman" w:eastAsia="宋体" w:cs="Times New Roman"/>
                      <w:szCs w:val="21"/>
                    </w:rPr>
                    <w:t>污染物名称</w:t>
                  </w:r>
                </w:p>
              </w:tc>
              <w:tc>
                <w:tcPr>
                  <w:tcW w:w="824" w:type="pct"/>
                  <w:vAlign w:val="center"/>
                </w:tcPr>
                <w:p w14:paraId="073B76C0">
                  <w:pPr>
                    <w:pStyle w:val="14"/>
                    <w:jc w:val="center"/>
                    <w:rPr>
                      <w:rFonts w:ascii="Times New Roman" w:hAnsi="Times New Roman" w:eastAsia="宋体" w:cs="Times New Roman"/>
                      <w:szCs w:val="21"/>
                    </w:rPr>
                  </w:pPr>
                  <w:r>
                    <w:rPr>
                      <w:rFonts w:ascii="Times New Roman" w:hAnsi="Times New Roman" w:eastAsia="宋体" w:cs="Times New Roman"/>
                      <w:szCs w:val="21"/>
                    </w:rPr>
                    <w:t>产生量（t/a）</w:t>
                  </w:r>
                </w:p>
              </w:tc>
              <w:tc>
                <w:tcPr>
                  <w:tcW w:w="1046" w:type="pct"/>
                  <w:vAlign w:val="center"/>
                </w:tcPr>
                <w:p w14:paraId="0F474FF6">
                  <w:pPr>
                    <w:pStyle w:val="14"/>
                    <w:jc w:val="center"/>
                    <w:rPr>
                      <w:rFonts w:ascii="Times New Roman" w:hAnsi="Times New Roman" w:eastAsia="宋体" w:cs="Times New Roman"/>
                      <w:szCs w:val="21"/>
                    </w:rPr>
                  </w:pPr>
                  <w:r>
                    <w:rPr>
                      <w:rFonts w:ascii="Times New Roman" w:hAnsi="Times New Roman" w:eastAsia="宋体" w:cs="Times New Roman"/>
                      <w:szCs w:val="21"/>
                    </w:rPr>
                    <w:t>污染物排放量（t/a）</w:t>
                  </w:r>
                </w:p>
              </w:tc>
              <w:tc>
                <w:tcPr>
                  <w:tcW w:w="1273" w:type="pct"/>
                  <w:vAlign w:val="center"/>
                </w:tcPr>
                <w:p w14:paraId="3DD34A4A">
                  <w:pPr>
                    <w:pStyle w:val="14"/>
                    <w:jc w:val="center"/>
                    <w:rPr>
                      <w:rFonts w:ascii="Times New Roman" w:hAnsi="Times New Roman" w:eastAsia="宋体" w:cs="Times New Roman"/>
                      <w:szCs w:val="21"/>
                    </w:rPr>
                  </w:pPr>
                  <w:r>
                    <w:rPr>
                      <w:rFonts w:ascii="Times New Roman" w:hAnsi="Times New Roman" w:eastAsia="宋体" w:cs="Times New Roman"/>
                      <w:szCs w:val="21"/>
                    </w:rPr>
                    <w:t>污染物排放速率（kg/h）</w:t>
                  </w:r>
                </w:p>
              </w:tc>
            </w:tr>
            <w:tr w14:paraId="601C34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85" w:type="dxa"/>
                  <w:bottom w:w="0" w:type="dxa"/>
                  <w:right w:w="85" w:type="dxa"/>
                </w:tblCellMar>
              </w:tblPrEx>
              <w:trPr>
                <w:trHeight w:val="320" w:hRule="atLeast"/>
                <w:jc w:val="center"/>
              </w:trPr>
              <w:tc>
                <w:tcPr>
                  <w:tcW w:w="1042" w:type="pct"/>
                  <w:vAlign w:val="center"/>
                </w:tcPr>
                <w:p w14:paraId="3B9ADC11">
                  <w:pPr>
                    <w:pStyle w:val="14"/>
                    <w:jc w:val="center"/>
                    <w:rPr>
                      <w:rFonts w:ascii="Times New Roman" w:hAnsi="Times New Roman" w:eastAsia="宋体" w:cs="Times New Roman"/>
                      <w:szCs w:val="21"/>
                    </w:rPr>
                  </w:pPr>
                  <w:r>
                    <w:rPr>
                      <w:rFonts w:hint="eastAsia" w:ascii="Times New Roman" w:hAnsi="Times New Roman" w:eastAsia="宋体" w:cs="Times New Roman"/>
                      <w:szCs w:val="21"/>
                    </w:rPr>
                    <w:t>装卸扬尘</w:t>
                  </w:r>
                </w:p>
              </w:tc>
              <w:tc>
                <w:tcPr>
                  <w:tcW w:w="815" w:type="pct"/>
                  <w:vAlign w:val="center"/>
                </w:tcPr>
                <w:p w14:paraId="3EF94055">
                  <w:pPr>
                    <w:pStyle w:val="14"/>
                    <w:jc w:val="center"/>
                    <w:rPr>
                      <w:rFonts w:ascii="Times New Roman" w:hAnsi="Times New Roman" w:eastAsia="宋体" w:cs="Times New Roman"/>
                    </w:rPr>
                  </w:pPr>
                  <w:r>
                    <w:rPr>
                      <w:rFonts w:hint="eastAsia" w:ascii="Times New Roman" w:hAnsi="Times New Roman" w:eastAsia="宋体" w:cs="Times New Roman"/>
                    </w:rPr>
                    <w:t>无组织</w:t>
                  </w:r>
                  <w:r>
                    <w:rPr>
                      <w:rFonts w:ascii="Times New Roman" w:hAnsi="Times New Roman" w:eastAsia="宋体" w:cs="Times New Roman"/>
                    </w:rPr>
                    <w:t>粉尘</w:t>
                  </w:r>
                </w:p>
              </w:tc>
              <w:tc>
                <w:tcPr>
                  <w:tcW w:w="824" w:type="pct"/>
                  <w:vAlign w:val="center"/>
                </w:tcPr>
                <w:p w14:paraId="7B25D3A5">
                  <w:pPr>
                    <w:pStyle w:val="14"/>
                    <w:jc w:val="center"/>
                    <w:rPr>
                      <w:rFonts w:ascii="Times New Roman" w:hAnsi="Times New Roman" w:eastAsia="宋体" w:cs="Times New Roman"/>
                      <w:szCs w:val="21"/>
                    </w:rPr>
                  </w:pPr>
                  <w:r>
                    <w:rPr>
                      <w:rFonts w:ascii="Times New Roman" w:hAnsi="Times New Roman" w:eastAsia="宋体" w:cs="Times New Roman"/>
                      <w:szCs w:val="21"/>
                    </w:rPr>
                    <w:t>2.48</w:t>
                  </w:r>
                </w:p>
              </w:tc>
              <w:tc>
                <w:tcPr>
                  <w:tcW w:w="1046" w:type="pct"/>
                  <w:vAlign w:val="center"/>
                </w:tcPr>
                <w:p w14:paraId="753547D1">
                  <w:pPr>
                    <w:pStyle w:val="14"/>
                    <w:jc w:val="center"/>
                    <w:rPr>
                      <w:rFonts w:ascii="Times New Roman" w:hAnsi="Times New Roman" w:eastAsia="宋体" w:cs="Times New Roman"/>
                      <w:szCs w:val="21"/>
                    </w:rPr>
                  </w:pPr>
                  <w:r>
                    <w:rPr>
                      <w:rFonts w:ascii="Times New Roman" w:hAnsi="Times New Roman" w:eastAsia="宋体" w:cs="Times New Roman"/>
                      <w:szCs w:val="21"/>
                    </w:rPr>
                    <w:t>0.06</w:t>
                  </w:r>
                </w:p>
              </w:tc>
              <w:tc>
                <w:tcPr>
                  <w:tcW w:w="1273" w:type="pct"/>
                  <w:vAlign w:val="center"/>
                </w:tcPr>
                <w:p w14:paraId="181105E7">
                  <w:pPr>
                    <w:pStyle w:val="14"/>
                    <w:jc w:val="center"/>
                    <w:rPr>
                      <w:rFonts w:ascii="Times New Roman" w:hAnsi="Times New Roman" w:eastAsia="宋体" w:cs="Times New Roman"/>
                      <w:szCs w:val="21"/>
                    </w:rPr>
                  </w:pPr>
                  <w:r>
                    <w:rPr>
                      <w:rFonts w:ascii="Times New Roman" w:hAnsi="Times New Roman" w:eastAsia="宋体" w:cs="Times New Roman"/>
                      <w:szCs w:val="21"/>
                    </w:rPr>
                    <w:t>0.025</w:t>
                  </w:r>
                </w:p>
              </w:tc>
            </w:tr>
            <w:tr w14:paraId="0AF0F9F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85" w:type="dxa"/>
                  <w:bottom w:w="0" w:type="dxa"/>
                  <w:right w:w="85" w:type="dxa"/>
                </w:tblCellMar>
              </w:tblPrEx>
              <w:trPr>
                <w:trHeight w:val="320" w:hRule="atLeast"/>
                <w:jc w:val="center"/>
              </w:trPr>
              <w:tc>
                <w:tcPr>
                  <w:tcW w:w="1042" w:type="pct"/>
                  <w:vAlign w:val="center"/>
                </w:tcPr>
                <w:p w14:paraId="35236E8D">
                  <w:pPr>
                    <w:pStyle w:val="14"/>
                    <w:jc w:val="center"/>
                    <w:rPr>
                      <w:rFonts w:ascii="Times New Roman" w:hAnsi="Times New Roman" w:eastAsia="宋体" w:cs="Times New Roman"/>
                      <w:szCs w:val="21"/>
                    </w:rPr>
                  </w:pPr>
                  <w:r>
                    <w:rPr>
                      <w:rFonts w:hint="eastAsia" w:ascii="Times New Roman" w:hAnsi="Times New Roman" w:eastAsia="宋体" w:cs="Times New Roman"/>
                      <w:szCs w:val="21"/>
                    </w:rPr>
                    <w:t>车间</w:t>
                  </w:r>
                </w:p>
              </w:tc>
              <w:tc>
                <w:tcPr>
                  <w:tcW w:w="815" w:type="pct"/>
                  <w:vAlign w:val="center"/>
                </w:tcPr>
                <w:p w14:paraId="2B54E048">
                  <w:pPr>
                    <w:pStyle w:val="14"/>
                    <w:jc w:val="center"/>
                    <w:rPr>
                      <w:rFonts w:ascii="Times New Roman" w:hAnsi="Times New Roman" w:eastAsia="宋体" w:cs="Times New Roman"/>
                    </w:rPr>
                  </w:pPr>
                  <w:r>
                    <w:rPr>
                      <w:rFonts w:hint="eastAsia" w:ascii="Times New Roman" w:hAnsi="Times New Roman" w:eastAsia="宋体" w:cs="Times New Roman"/>
                    </w:rPr>
                    <w:t>无组织粉尘</w:t>
                  </w:r>
                </w:p>
              </w:tc>
              <w:tc>
                <w:tcPr>
                  <w:tcW w:w="824" w:type="pct"/>
                  <w:vAlign w:val="center"/>
                </w:tcPr>
                <w:p w14:paraId="722CE173">
                  <w:pPr>
                    <w:pStyle w:val="14"/>
                    <w:jc w:val="center"/>
                    <w:rPr>
                      <w:rFonts w:ascii="Times New Roman" w:hAnsi="Times New Roman" w:eastAsia="宋体" w:cs="Times New Roman"/>
                      <w:szCs w:val="21"/>
                    </w:rPr>
                  </w:pPr>
                  <w:r>
                    <w:rPr>
                      <w:rFonts w:ascii="Times New Roman" w:hAnsi="Times New Roman" w:eastAsia="宋体" w:cs="Times New Roman"/>
                      <w:szCs w:val="21"/>
                    </w:rPr>
                    <w:t>378</w:t>
                  </w:r>
                </w:p>
              </w:tc>
              <w:tc>
                <w:tcPr>
                  <w:tcW w:w="1046" w:type="pct"/>
                  <w:vAlign w:val="center"/>
                </w:tcPr>
                <w:p w14:paraId="3ED1FAEE">
                  <w:pPr>
                    <w:pStyle w:val="14"/>
                    <w:jc w:val="center"/>
                    <w:rPr>
                      <w:rFonts w:ascii="Times New Roman" w:hAnsi="Times New Roman" w:eastAsia="宋体" w:cs="Times New Roman"/>
                      <w:szCs w:val="21"/>
                    </w:rPr>
                  </w:pPr>
                  <w:r>
                    <w:rPr>
                      <w:rFonts w:ascii="Times New Roman" w:hAnsi="Times New Roman" w:eastAsia="宋体" w:cs="Times New Roman"/>
                      <w:szCs w:val="21"/>
                    </w:rPr>
                    <w:t>0.2</w:t>
                  </w:r>
                </w:p>
              </w:tc>
              <w:tc>
                <w:tcPr>
                  <w:tcW w:w="1273" w:type="pct"/>
                  <w:vAlign w:val="center"/>
                </w:tcPr>
                <w:p w14:paraId="18944392">
                  <w:pPr>
                    <w:pStyle w:val="14"/>
                    <w:jc w:val="center"/>
                    <w:rPr>
                      <w:rFonts w:ascii="Times New Roman" w:hAnsi="Times New Roman" w:eastAsia="宋体" w:cs="Times New Roman"/>
                      <w:szCs w:val="21"/>
                    </w:rPr>
                  </w:pPr>
                  <w:r>
                    <w:rPr>
                      <w:rFonts w:ascii="Times New Roman" w:hAnsi="Times New Roman" w:eastAsia="宋体" w:cs="Times New Roman"/>
                      <w:szCs w:val="21"/>
                    </w:rPr>
                    <w:t>0.083</w:t>
                  </w:r>
                </w:p>
              </w:tc>
            </w:tr>
          </w:tbl>
          <w:p w14:paraId="59B2BFAA">
            <w:pPr>
              <w:tabs>
                <w:tab w:val="left" w:pos="5670"/>
              </w:tabs>
              <w:spacing w:line="480" w:lineRule="exact"/>
              <w:ind w:firstLine="482" w:firstLineChars="200"/>
              <w:rPr>
                <w:rFonts w:ascii="Times New Roman" w:hAnsi="Times New Roman" w:eastAsia="宋体" w:cs="Times New Roman"/>
                <w:b/>
                <w:bCs/>
                <w:sz w:val="24"/>
              </w:rPr>
            </w:pPr>
            <w:r>
              <w:rPr>
                <w:rFonts w:ascii="Times New Roman" w:hAnsi="Times New Roman" w:eastAsia="宋体" w:cs="Times New Roman"/>
                <w:b/>
                <w:sz w:val="24"/>
              </w:rPr>
              <w:t>2、</w:t>
            </w:r>
            <w:r>
              <w:rPr>
                <w:rFonts w:ascii="Times New Roman" w:hAnsi="Times New Roman" w:eastAsia="宋体" w:cs="Times New Roman"/>
                <w:b/>
                <w:bCs/>
                <w:sz w:val="24"/>
              </w:rPr>
              <w:t>废水排放及治理措施</w:t>
            </w:r>
          </w:p>
          <w:p w14:paraId="396FC06A">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项目运营期厂区内实行“清污分流、雨污分流”制，雨水经屋面雨水采用雨水斗收集后汇入市政雨水管网。</w:t>
            </w:r>
          </w:p>
          <w:p w14:paraId="0F356C51">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（1）生活污水</w:t>
            </w:r>
          </w:p>
          <w:p w14:paraId="0F890FAF">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项目企业共有员工6人，用水量按40L/</w:t>
            </w:r>
            <w:r>
              <w:rPr>
                <w:rFonts w:hint="eastAsia" w:ascii="Times New Roman" w:hAnsi="Times New Roman" w:eastAsia="宋体" w:cs="Times New Roman"/>
                <w:bCs/>
                <w:sz w:val="24"/>
                <w:lang w:eastAsia="zh-CN"/>
              </w:rPr>
              <w:t>（</w:t>
            </w:r>
            <w:r>
              <w:rPr>
                <w:rFonts w:ascii="Times New Roman" w:hAnsi="Times New Roman" w:eastAsia="宋体" w:cs="Times New Roman"/>
                <w:bCs/>
                <w:sz w:val="24"/>
              </w:rPr>
              <w:t>人.d</w:t>
            </w:r>
            <w:r>
              <w:rPr>
                <w:rFonts w:hint="eastAsia" w:ascii="Times New Roman" w:hAnsi="Times New Roman" w:eastAsia="宋体" w:cs="Times New Roman"/>
                <w:bCs/>
                <w:sz w:val="24"/>
                <w:lang w:eastAsia="zh-CN"/>
              </w:rPr>
              <w:t>）</w:t>
            </w:r>
            <w:r>
              <w:rPr>
                <w:rFonts w:ascii="Times New Roman" w:hAnsi="Times New Roman" w:eastAsia="宋体" w:cs="Times New Roman"/>
                <w:bCs/>
                <w:sz w:val="24"/>
              </w:rPr>
              <w:t>计，则用水量为0.24</w:t>
            </w:r>
            <w:r>
              <w:rPr>
                <w:rFonts w:ascii="Times New Roman" w:hAnsi="Times New Roman" w:eastAsia="宋体" w:cs="Times New Roman"/>
                <w:sz w:val="24"/>
              </w:rPr>
              <w:t>m</w:t>
            </w:r>
            <w:r>
              <w:rPr>
                <w:rFonts w:ascii="Times New Roman" w:hAnsi="Times New Roman" w:eastAsia="宋体" w:cs="Times New Roman"/>
                <w:sz w:val="24"/>
                <w:vertAlign w:val="superscript"/>
              </w:rPr>
              <w:t>3</w:t>
            </w:r>
            <w:r>
              <w:rPr>
                <w:rFonts w:ascii="Times New Roman" w:hAnsi="Times New Roman" w:eastAsia="宋体" w:cs="Times New Roman"/>
                <w:sz w:val="24"/>
              </w:rPr>
              <w:t>/d，产污系数按0.80计，则生活污水排水量为0.192m</w:t>
            </w:r>
            <w:r>
              <w:rPr>
                <w:rFonts w:ascii="Times New Roman" w:hAnsi="Times New Roman" w:eastAsia="宋体" w:cs="Times New Roman"/>
                <w:sz w:val="24"/>
                <w:vertAlign w:val="superscript"/>
              </w:rPr>
              <w:t>3</w:t>
            </w:r>
            <w:r>
              <w:rPr>
                <w:rFonts w:ascii="Times New Roman" w:hAnsi="Times New Roman" w:eastAsia="宋体" w:cs="Times New Roman"/>
                <w:sz w:val="24"/>
              </w:rPr>
              <w:t>/d。项目生活废水</w:t>
            </w:r>
            <w:r>
              <w:rPr>
                <w:rFonts w:hint="eastAsia" w:ascii="Times New Roman" w:hAnsi="Times New Roman" w:eastAsia="宋体" w:cs="Times New Roman"/>
                <w:sz w:val="24"/>
              </w:rPr>
              <w:t>利用二级生化处理设施</w:t>
            </w:r>
            <w:r>
              <w:rPr>
                <w:rFonts w:ascii="Times New Roman" w:hAnsi="Times New Roman" w:eastAsia="宋体" w:cs="Times New Roman"/>
                <w:sz w:val="24"/>
              </w:rPr>
              <w:t>收集</w:t>
            </w:r>
            <w:r>
              <w:rPr>
                <w:rFonts w:hint="eastAsia" w:ascii="Times New Roman" w:hAnsi="Times New Roman" w:eastAsia="宋体" w:cs="Times New Roman"/>
                <w:sz w:val="24"/>
              </w:rPr>
              <w:t>处理</w:t>
            </w:r>
            <w:r>
              <w:rPr>
                <w:rFonts w:ascii="Times New Roman" w:hAnsi="Times New Roman" w:eastAsia="宋体" w:cs="Times New Roman"/>
                <w:sz w:val="24"/>
              </w:rPr>
              <w:t>后</w:t>
            </w:r>
            <w:r>
              <w:rPr>
                <w:rFonts w:hint="eastAsia" w:ascii="Times New Roman" w:hAnsi="Times New Roman" w:eastAsia="宋体" w:cs="Times New Roman"/>
                <w:sz w:val="24"/>
              </w:rPr>
              <w:t>外运农肥</w:t>
            </w:r>
            <w:r>
              <w:rPr>
                <w:rFonts w:ascii="Times New Roman" w:hAnsi="Times New Roman" w:eastAsia="宋体" w:cs="Times New Roman"/>
                <w:bCs/>
                <w:sz w:val="24"/>
              </w:rPr>
              <w:t>，不外排。项目</w:t>
            </w:r>
            <w:r>
              <w:rPr>
                <w:rFonts w:hint="eastAsia" w:ascii="Times New Roman" w:hAnsi="Times New Roman" w:eastAsia="宋体" w:cs="Times New Roman"/>
                <w:bCs/>
                <w:sz w:val="24"/>
              </w:rPr>
              <w:t>污水产生量较少且</w:t>
            </w:r>
            <w:r>
              <w:rPr>
                <w:rFonts w:ascii="Times New Roman" w:hAnsi="Times New Roman" w:eastAsia="宋体" w:cs="Times New Roman"/>
                <w:bCs/>
                <w:sz w:val="24"/>
              </w:rPr>
              <w:t>周边有大片农田，完全可消纳这部分废水。</w:t>
            </w:r>
          </w:p>
          <w:p w14:paraId="182B5F27">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（2）生产废水</w:t>
            </w:r>
          </w:p>
          <w:p w14:paraId="52EE25F2">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fldChar w:fldCharType="begin"/>
            </w:r>
            <w:r>
              <w:rPr>
                <w:rFonts w:ascii="Times New Roman" w:hAnsi="Times New Roman" w:eastAsia="宋体" w:cs="Times New Roman"/>
                <w:bCs/>
                <w:sz w:val="24"/>
              </w:rPr>
              <w:instrText xml:space="preserve"> = 1 \* GB3 </w:instrText>
            </w:r>
            <w:r>
              <w:rPr>
                <w:rFonts w:ascii="Times New Roman" w:hAnsi="Times New Roman" w:eastAsia="宋体" w:cs="Times New Roman"/>
                <w:bCs/>
                <w:sz w:val="24"/>
              </w:rPr>
              <w:fldChar w:fldCharType="separate"/>
            </w:r>
            <w:r>
              <w:rPr>
                <w:rFonts w:hint="eastAsia" w:ascii="宋体" w:hAnsi="宋体" w:eastAsia="宋体" w:cs="宋体"/>
                <w:bCs/>
                <w:sz w:val="24"/>
              </w:rPr>
              <w:t>①</w:t>
            </w:r>
            <w:r>
              <w:rPr>
                <w:rFonts w:ascii="Times New Roman" w:hAnsi="Times New Roman" w:eastAsia="宋体" w:cs="Times New Roman"/>
                <w:bCs/>
                <w:sz w:val="24"/>
              </w:rPr>
              <w:fldChar w:fldCharType="end"/>
            </w:r>
            <w:r>
              <w:rPr>
                <w:rFonts w:ascii="Times New Roman" w:hAnsi="Times New Roman" w:eastAsia="宋体" w:cs="Times New Roman"/>
                <w:bCs/>
                <w:sz w:val="24"/>
              </w:rPr>
              <w:t>轮胎冲洗水：项目为防止车辆扬尘，</w:t>
            </w:r>
            <w:r>
              <w:rPr>
                <w:rFonts w:hint="eastAsia" w:ascii="Times New Roman" w:hAnsi="Times New Roman" w:eastAsia="宋体" w:cs="Times New Roman"/>
                <w:bCs/>
                <w:sz w:val="24"/>
              </w:rPr>
              <w:t>环评建议</w:t>
            </w:r>
            <w:r>
              <w:rPr>
                <w:rFonts w:ascii="Times New Roman" w:hAnsi="Times New Roman" w:eastAsia="宋体" w:cs="Times New Roman"/>
                <w:bCs/>
                <w:sz w:val="24"/>
              </w:rPr>
              <w:t>于厂区进场公路处设置有轮胎</w:t>
            </w:r>
            <w:r>
              <w:rPr>
                <w:rFonts w:hint="eastAsia" w:ascii="Times New Roman" w:hAnsi="Times New Roman" w:eastAsia="宋体" w:cs="Times New Roman"/>
                <w:bCs/>
                <w:sz w:val="24"/>
              </w:rPr>
              <w:t>冲洗池</w:t>
            </w:r>
            <w:r>
              <w:rPr>
                <w:rFonts w:ascii="Times New Roman" w:hAnsi="Times New Roman" w:eastAsia="宋体" w:cs="Times New Roman"/>
                <w:bCs/>
                <w:sz w:val="24"/>
              </w:rPr>
              <w:t>1个，轮胎冲洗水除轮胎带着外，其余全部自然蒸发，不外排。</w:t>
            </w:r>
          </w:p>
          <w:p w14:paraId="15329965">
            <w:pPr>
              <w:tabs>
                <w:tab w:val="left" w:pos="5670"/>
              </w:tabs>
              <w:spacing w:line="480" w:lineRule="exact"/>
              <w:ind w:firstLine="482" w:firstLineChars="200"/>
              <w:rPr>
                <w:rFonts w:ascii="Times New Roman" w:hAnsi="Times New Roman" w:eastAsia="宋体" w:cs="Times New Roman"/>
                <w:bCs/>
                <w:sz w:val="24"/>
              </w:rPr>
            </w:pPr>
            <w:r>
              <w:rPr>
                <w:rFonts w:ascii="Times New Roman" w:hAnsi="Times New Roman" w:eastAsia="宋体" w:cs="Times New Roman"/>
                <w:b/>
                <w:bCs/>
                <w:sz w:val="24"/>
              </w:rPr>
              <w:t>治理措施</w:t>
            </w:r>
            <w:r>
              <w:rPr>
                <w:rFonts w:ascii="Times New Roman" w:hAnsi="Times New Roman" w:eastAsia="宋体" w:cs="Times New Roman"/>
                <w:bCs/>
                <w:sz w:val="24"/>
              </w:rPr>
              <w:t>：项目</w:t>
            </w:r>
            <w:r>
              <w:rPr>
                <w:rFonts w:hint="eastAsia" w:ascii="Times New Roman" w:hAnsi="Times New Roman" w:eastAsia="宋体" w:cs="Times New Roman"/>
                <w:bCs/>
                <w:sz w:val="24"/>
              </w:rPr>
              <w:t>于厂区进出口处设置轮胎冲洗池1个，用于进出厂轮胎清洗防止车辆扬尘</w:t>
            </w:r>
            <w:r>
              <w:rPr>
                <w:rFonts w:ascii="Times New Roman" w:hAnsi="Times New Roman" w:eastAsia="宋体" w:cs="Times New Roman"/>
                <w:bCs/>
                <w:sz w:val="24"/>
              </w:rPr>
              <w:t>，</w:t>
            </w:r>
            <w:r>
              <w:rPr>
                <w:rFonts w:hint="eastAsia" w:ascii="Times New Roman" w:hAnsi="Times New Roman" w:eastAsia="宋体" w:cs="Times New Roman"/>
                <w:bCs/>
                <w:sz w:val="24"/>
              </w:rPr>
              <w:t>轮胎洗涤水只补加，自然蒸发，</w:t>
            </w:r>
            <w:r>
              <w:rPr>
                <w:rFonts w:ascii="Times New Roman" w:hAnsi="Times New Roman" w:eastAsia="宋体" w:cs="Times New Roman"/>
                <w:bCs/>
                <w:sz w:val="24"/>
              </w:rPr>
              <w:t>不外排。</w:t>
            </w:r>
          </w:p>
          <w:p w14:paraId="5133816C">
            <w:pPr>
              <w:tabs>
                <w:tab w:val="left" w:pos="5670"/>
              </w:tabs>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②喷雾降尘水</w:t>
            </w:r>
          </w:p>
          <w:p w14:paraId="3FF8DBE2">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项目破碎生产线和堆场</w:t>
            </w:r>
            <w:r>
              <w:rPr>
                <w:rFonts w:hint="eastAsia" w:ascii="Times New Roman" w:hAnsi="Times New Roman" w:eastAsia="宋体" w:cs="Times New Roman"/>
                <w:bCs/>
                <w:sz w:val="24"/>
              </w:rPr>
              <w:t>扬尘</w:t>
            </w:r>
            <w:r>
              <w:rPr>
                <w:rFonts w:ascii="Times New Roman" w:hAnsi="Times New Roman" w:eastAsia="宋体" w:cs="Times New Roman"/>
                <w:bCs/>
                <w:sz w:val="24"/>
              </w:rPr>
              <w:t>均采用雾炮机进行喷雾降尘，水经雾炮机雾化降尘后混入产品或自然蒸发，不会形成地表径流，无生产废水产生。</w:t>
            </w:r>
          </w:p>
          <w:p w14:paraId="49184A2A">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fldChar w:fldCharType="begin"/>
            </w:r>
            <w:r>
              <w:rPr>
                <w:rFonts w:ascii="Times New Roman" w:hAnsi="Times New Roman" w:eastAsia="宋体" w:cs="Times New Roman"/>
                <w:bCs/>
                <w:sz w:val="24"/>
              </w:rPr>
              <w:instrText xml:space="preserve"> = 3 \* GB3 </w:instrText>
            </w:r>
            <w:r>
              <w:rPr>
                <w:rFonts w:ascii="Times New Roman" w:hAnsi="Times New Roman" w:eastAsia="宋体" w:cs="Times New Roman"/>
                <w:bCs/>
                <w:sz w:val="24"/>
              </w:rPr>
              <w:fldChar w:fldCharType="separate"/>
            </w:r>
            <w:r>
              <w:rPr>
                <w:rFonts w:hint="eastAsia" w:ascii="宋体" w:hAnsi="宋体" w:eastAsia="宋体" w:cs="宋体"/>
                <w:bCs/>
                <w:sz w:val="24"/>
              </w:rPr>
              <w:t>③</w:t>
            </w:r>
            <w:r>
              <w:rPr>
                <w:rFonts w:ascii="Times New Roman" w:hAnsi="Times New Roman" w:eastAsia="宋体" w:cs="Times New Roman"/>
                <w:bCs/>
                <w:sz w:val="24"/>
              </w:rPr>
              <w:fldChar w:fldCharType="end"/>
            </w:r>
            <w:r>
              <w:rPr>
                <w:rFonts w:ascii="Times New Roman" w:hAnsi="Times New Roman" w:eastAsia="宋体" w:cs="Times New Roman"/>
                <w:bCs/>
                <w:sz w:val="24"/>
              </w:rPr>
              <w:t>湿法作业废水：项目在头破后振动筛分将使用大量水进行</w:t>
            </w:r>
            <w:r>
              <w:rPr>
                <w:rFonts w:hint="eastAsia" w:ascii="Times New Roman" w:hAnsi="Times New Roman" w:eastAsia="宋体" w:cs="Times New Roman"/>
                <w:bCs/>
                <w:sz w:val="24"/>
              </w:rPr>
              <w:t>降尘</w:t>
            </w:r>
            <w:r>
              <w:rPr>
                <w:rFonts w:ascii="Times New Roman" w:hAnsi="Times New Roman" w:eastAsia="宋体" w:cs="Times New Roman"/>
                <w:bCs/>
                <w:sz w:val="24"/>
              </w:rPr>
              <w:t>，根据其运行经验，</w:t>
            </w:r>
            <w:r>
              <w:rPr>
                <w:rFonts w:hint="eastAsia" w:ascii="Times New Roman" w:hAnsi="Times New Roman" w:eastAsia="宋体" w:cs="Times New Roman"/>
                <w:bCs/>
                <w:sz w:val="24"/>
              </w:rPr>
              <w:t>湿法作业</w:t>
            </w:r>
            <w:r>
              <w:rPr>
                <w:rFonts w:ascii="Times New Roman" w:hAnsi="Times New Roman" w:eastAsia="宋体" w:cs="Times New Roman"/>
                <w:bCs/>
                <w:sz w:val="24"/>
              </w:rPr>
              <w:t>用水体积比约为1.3，故项目湿法作业中需用水481m</w:t>
            </w:r>
            <w:r>
              <w:rPr>
                <w:rFonts w:ascii="Times New Roman" w:hAnsi="Times New Roman" w:eastAsia="宋体" w:cs="Times New Roman"/>
                <w:bCs/>
                <w:sz w:val="24"/>
                <w:vertAlign w:val="superscript"/>
              </w:rPr>
              <w:t>3</w:t>
            </w:r>
            <w:r>
              <w:rPr>
                <w:rFonts w:ascii="Times New Roman" w:hAnsi="Times New Roman" w:eastAsia="宋体" w:cs="Times New Roman"/>
                <w:bCs/>
                <w:sz w:val="24"/>
              </w:rPr>
              <w:t>/d，将产生</w:t>
            </w:r>
            <w:r>
              <w:rPr>
                <w:rFonts w:hint="eastAsia" w:ascii="Times New Roman" w:hAnsi="Times New Roman" w:eastAsia="宋体" w:cs="Times New Roman"/>
                <w:bCs/>
                <w:sz w:val="24"/>
              </w:rPr>
              <w:t>湿法作业</w:t>
            </w:r>
            <w:r>
              <w:rPr>
                <w:rFonts w:ascii="Times New Roman" w:hAnsi="Times New Roman" w:eastAsia="宋体" w:cs="Times New Roman"/>
                <w:bCs/>
                <w:sz w:val="24"/>
              </w:rPr>
              <w:t>废水约384.8m</w:t>
            </w:r>
            <w:r>
              <w:rPr>
                <w:rFonts w:ascii="Times New Roman" w:hAnsi="Times New Roman" w:eastAsia="宋体" w:cs="Times New Roman"/>
                <w:bCs/>
                <w:sz w:val="24"/>
                <w:vertAlign w:val="superscript"/>
              </w:rPr>
              <w:t>3</w:t>
            </w:r>
            <w:r>
              <w:rPr>
                <w:rFonts w:ascii="Times New Roman" w:hAnsi="Times New Roman" w:eastAsia="宋体" w:cs="Times New Roman"/>
                <w:bCs/>
                <w:sz w:val="24"/>
              </w:rPr>
              <w:t>/d（约96.2m</w:t>
            </w:r>
            <w:r>
              <w:rPr>
                <w:rFonts w:ascii="Times New Roman" w:hAnsi="Times New Roman" w:eastAsia="宋体" w:cs="Times New Roman"/>
                <w:bCs/>
                <w:sz w:val="24"/>
                <w:vertAlign w:val="superscript"/>
              </w:rPr>
              <w:t>3</w:t>
            </w:r>
            <w:r>
              <w:rPr>
                <w:rFonts w:ascii="Times New Roman" w:hAnsi="Times New Roman" w:eastAsia="宋体" w:cs="Times New Roman"/>
                <w:bCs/>
                <w:sz w:val="24"/>
              </w:rPr>
              <w:t>/d混入产品和淤泥），该水质主要为悬浮物。</w:t>
            </w:r>
          </w:p>
          <w:p w14:paraId="43E1F7A9">
            <w:pPr>
              <w:tabs>
                <w:tab w:val="left" w:pos="5670"/>
              </w:tabs>
              <w:spacing w:line="480" w:lineRule="exact"/>
              <w:ind w:firstLine="420" w:firstLineChars="200"/>
              <w:rPr>
                <w:rFonts w:ascii="Times New Roman" w:hAnsi="Times New Roman" w:eastAsia="宋体" w:cs="Times New Roman"/>
                <w:bCs/>
                <w:sz w:val="24"/>
              </w:rPr>
            </w:pPr>
            <w:r>
              <w:drawing>
                <wp:anchor distT="0" distB="0" distL="114300" distR="114300" simplePos="0" relativeHeight="251665408" behindDoc="0" locked="0" layoutInCell="1" allowOverlap="1">
                  <wp:simplePos x="0" y="0"/>
                  <wp:positionH relativeFrom="column">
                    <wp:posOffset>437515</wp:posOffset>
                  </wp:positionH>
                  <wp:positionV relativeFrom="paragraph">
                    <wp:posOffset>1012825</wp:posOffset>
                  </wp:positionV>
                  <wp:extent cx="4279265" cy="3048000"/>
                  <wp:effectExtent l="0" t="0" r="6985" b="0"/>
                  <wp:wrapTopAndBottom/>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279265" cy="3048000"/>
                          </a:xfrm>
                          <a:prstGeom prst="rect">
                            <a:avLst/>
                          </a:prstGeom>
                        </pic:spPr>
                      </pic:pic>
                    </a:graphicData>
                  </a:graphic>
                </wp:anchor>
              </w:drawing>
            </w:r>
            <w:r>
              <w:rPr>
                <w:rFonts w:hint="eastAsia" w:ascii="Times New Roman" w:hAnsi="Times New Roman" w:eastAsia="宋体" w:cs="Times New Roman"/>
                <w:b/>
                <w:sz w:val="24"/>
              </w:rPr>
              <w:t>治理措施：</w:t>
            </w:r>
            <w:r>
              <w:rPr>
                <w:rFonts w:hint="eastAsia" w:ascii="Times New Roman" w:hAnsi="Times New Roman" w:eastAsia="宋体" w:cs="Times New Roman"/>
                <w:bCs/>
                <w:sz w:val="24"/>
              </w:rPr>
              <w:t>在厂区低水位处修建废水收集处理循环沉淀池，生产废水通过</w:t>
            </w:r>
            <w:r>
              <w:rPr>
                <w:rFonts w:ascii="Times New Roman" w:hAnsi="Times New Roman" w:eastAsia="宋体" w:cs="Times New Roman"/>
                <w:bCs/>
                <w:sz w:val="24"/>
              </w:rPr>
              <w:t>管道输送至生产废水收集处理设施，生产废水经沉淀后直接泵入头破工序循环使用，不外排。</w:t>
            </w:r>
          </w:p>
          <w:p w14:paraId="739EEAF7">
            <w:pPr>
              <w:tabs>
                <w:tab w:val="left" w:pos="5670"/>
              </w:tabs>
              <w:spacing w:line="480" w:lineRule="exact"/>
              <w:ind w:firstLine="480" w:firstLineChars="200"/>
              <w:jc w:val="center"/>
              <w:rPr>
                <w:rFonts w:ascii="Times New Roman" w:hAnsi="Times New Roman" w:eastAsia="宋体" w:cs="Times New Roman"/>
                <w:bCs/>
                <w:color w:val="FF0000"/>
                <w:sz w:val="24"/>
              </w:rPr>
            </w:pPr>
            <w:r>
              <w:rPr>
                <w:rFonts w:hint="eastAsia" w:ascii="Times New Roman" w:hAnsi="Times New Roman" w:eastAsia="宋体" w:cs="Times New Roman"/>
                <w:bCs/>
                <w:color w:val="FF0000"/>
                <w:sz w:val="24"/>
              </w:rPr>
              <w:t>图5</w:t>
            </w:r>
            <w:r>
              <w:rPr>
                <w:rFonts w:ascii="Times New Roman" w:hAnsi="Times New Roman" w:eastAsia="宋体" w:cs="Times New Roman"/>
                <w:bCs/>
                <w:color w:val="FF0000"/>
                <w:sz w:val="24"/>
              </w:rPr>
              <w:t xml:space="preserve">-3 </w:t>
            </w:r>
            <w:r>
              <w:rPr>
                <w:rFonts w:hint="eastAsia" w:ascii="Times New Roman" w:hAnsi="Times New Roman" w:eastAsia="宋体" w:cs="Times New Roman"/>
                <w:bCs/>
                <w:color w:val="FF0000"/>
                <w:sz w:val="24"/>
              </w:rPr>
              <w:t>水平衡图（t</w:t>
            </w:r>
            <w:r>
              <w:rPr>
                <w:rFonts w:ascii="Times New Roman" w:hAnsi="Times New Roman" w:eastAsia="宋体" w:cs="Times New Roman"/>
                <w:bCs/>
                <w:color w:val="FF0000"/>
                <w:sz w:val="24"/>
              </w:rPr>
              <w:t>/</w:t>
            </w:r>
            <w:r>
              <w:rPr>
                <w:rFonts w:hint="eastAsia" w:ascii="Times New Roman" w:hAnsi="Times New Roman" w:eastAsia="宋体" w:cs="Times New Roman"/>
                <w:bCs/>
                <w:color w:val="FF0000"/>
                <w:sz w:val="24"/>
              </w:rPr>
              <w:t>d）</w:t>
            </w:r>
          </w:p>
          <w:p w14:paraId="4EE6F665">
            <w:pPr>
              <w:tabs>
                <w:tab w:val="left" w:pos="5670"/>
              </w:tabs>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（3）</w:t>
            </w:r>
            <w:r>
              <w:rPr>
                <w:rFonts w:ascii="Times New Roman" w:hAnsi="Times New Roman" w:eastAsia="宋体" w:cs="Times New Roman"/>
                <w:bCs/>
                <w:sz w:val="24"/>
              </w:rPr>
              <w:t>雨水</w:t>
            </w:r>
          </w:p>
          <w:p w14:paraId="0D875F08">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bCs/>
                <w:sz w:val="24"/>
              </w:rPr>
              <w:t>项目</w:t>
            </w:r>
            <w:r>
              <w:rPr>
                <w:rFonts w:hint="eastAsia" w:ascii="Times New Roman" w:hAnsi="Times New Roman" w:eastAsia="宋体" w:cs="Times New Roman"/>
                <w:bCs/>
                <w:sz w:val="24"/>
              </w:rPr>
              <w:t>料仓、生产车间</w:t>
            </w:r>
            <w:r>
              <w:rPr>
                <w:rFonts w:ascii="Times New Roman" w:hAnsi="Times New Roman" w:eastAsia="宋体" w:cs="Times New Roman"/>
                <w:bCs/>
                <w:sz w:val="24"/>
              </w:rPr>
              <w:t>均位于厂房内，约有2000m</w:t>
            </w:r>
            <w:r>
              <w:rPr>
                <w:rFonts w:ascii="Times New Roman" w:hAnsi="Times New Roman" w:eastAsia="宋体" w:cs="Times New Roman"/>
                <w:bCs/>
                <w:sz w:val="24"/>
                <w:vertAlign w:val="superscript"/>
              </w:rPr>
              <w:t>2</w:t>
            </w:r>
            <w:r>
              <w:rPr>
                <w:rFonts w:ascii="Times New Roman" w:hAnsi="Times New Roman" w:eastAsia="宋体" w:cs="Times New Roman"/>
                <w:bCs/>
                <w:sz w:val="24"/>
              </w:rPr>
              <w:t>露天厂区，占地面</w:t>
            </w:r>
            <w:r>
              <w:rPr>
                <w:rFonts w:ascii="Times New Roman" w:hAnsi="Times New Roman" w:eastAsia="宋体" w:cs="Times New Roman"/>
                <w:sz w:val="24"/>
              </w:rPr>
              <w:t>积较大一旦下雨对其冲刷水产生的地表径流，其主要污染物为SS。</w:t>
            </w:r>
          </w:p>
          <w:p w14:paraId="1D555D52">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特别是</w:t>
            </w:r>
            <w:r>
              <w:rPr>
                <w:rFonts w:hint="eastAsia" w:ascii="Times New Roman" w:hAnsi="Times New Roman" w:eastAsia="宋体" w:cs="Times New Roman"/>
                <w:sz w:val="24"/>
                <w:lang w:eastAsia="zh-CN"/>
              </w:rPr>
              <w:t>在</w:t>
            </w:r>
            <w:r>
              <w:rPr>
                <w:rFonts w:ascii="Times New Roman" w:hAnsi="Times New Roman" w:eastAsia="宋体" w:cs="Times New Roman"/>
                <w:sz w:val="24"/>
              </w:rPr>
              <w:t>暴雨、洪水期等恶劣环境下，这部分水量很大，夹杂着大量的泥砂随着地表水直排，若控制得不好，对附近水环境（岷江）造成影响。雨水量计算见下：</w:t>
            </w:r>
          </w:p>
          <w:p w14:paraId="6EE9DB18">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集雨水量按下式计算。</w:t>
            </w:r>
          </w:p>
          <w:p w14:paraId="1C870C6D">
            <w:pPr>
              <w:spacing w:line="360" w:lineRule="auto"/>
              <w:jc w:val="center"/>
              <w:rPr>
                <w:rFonts w:ascii="Times New Roman" w:hAnsi="Times New Roman" w:eastAsia="宋体" w:cs="Times New Roman"/>
                <w:sz w:val="24"/>
              </w:rPr>
            </w:pPr>
            <w:r>
              <w:rPr>
                <w:rFonts w:ascii="Times New Roman" w:hAnsi="Times New Roman" w:eastAsia="宋体" w:cs="Times New Roman"/>
                <w:sz w:val="24"/>
              </w:rPr>
              <w:t>Q</w:t>
            </w:r>
            <w:r>
              <w:rPr>
                <w:rFonts w:ascii="Times New Roman" w:hAnsi="Times New Roman" w:eastAsia="宋体" w:cs="Times New Roman"/>
                <w:sz w:val="24"/>
                <w:vertAlign w:val="subscript"/>
              </w:rPr>
              <w:t>m</w:t>
            </w:r>
            <w:r>
              <w:rPr>
                <w:rFonts w:ascii="Times New Roman" w:hAnsi="Times New Roman" w:eastAsia="宋体" w:cs="Times New Roman"/>
                <w:sz w:val="24"/>
              </w:rPr>
              <w:t>=10</w:t>
            </w:r>
            <w:r>
              <w:rPr>
                <w:rFonts w:ascii="Times New Roman" w:hAnsi="Times New Roman" w:eastAsia="宋体" w:cs="Times New Roman"/>
                <w:sz w:val="24"/>
                <w:vertAlign w:val="superscript"/>
              </w:rPr>
              <w:t>-3</w:t>
            </w:r>
            <w:r>
              <w:rPr>
                <w:rFonts w:ascii="Times New Roman" w:hAnsi="Times New Roman" w:eastAsia="宋体" w:cs="Times New Roman"/>
                <w:sz w:val="24"/>
              </w:rPr>
              <w:t>CQA</w:t>
            </w:r>
          </w:p>
          <w:p w14:paraId="03F469DF">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式中：Q</w:t>
            </w:r>
            <w:r>
              <w:rPr>
                <w:rFonts w:ascii="Times New Roman" w:hAnsi="Times New Roman" w:eastAsia="宋体" w:cs="Times New Roman"/>
                <w:sz w:val="24"/>
                <w:vertAlign w:val="subscript"/>
              </w:rPr>
              <w:t>m</w:t>
            </w:r>
            <w:r>
              <w:rPr>
                <w:rFonts w:ascii="Times New Roman" w:hAnsi="Times New Roman" w:eastAsia="宋体" w:cs="Times New Roman"/>
                <w:sz w:val="24"/>
              </w:rPr>
              <w:t>：降雨产生的路面水量，m</w:t>
            </w:r>
            <w:r>
              <w:rPr>
                <w:rFonts w:ascii="Times New Roman" w:hAnsi="Times New Roman" w:eastAsia="宋体" w:cs="Times New Roman"/>
                <w:sz w:val="24"/>
                <w:vertAlign w:val="superscript"/>
              </w:rPr>
              <w:t>3</w:t>
            </w:r>
            <w:r>
              <w:rPr>
                <w:rFonts w:ascii="Times New Roman" w:hAnsi="Times New Roman" w:eastAsia="宋体" w:cs="Times New Roman"/>
                <w:sz w:val="24"/>
              </w:rPr>
              <w:t>/a；</w:t>
            </w:r>
          </w:p>
          <w:p w14:paraId="528E534C">
            <w:pPr>
              <w:spacing w:line="360" w:lineRule="auto"/>
              <w:ind w:firstLine="1320" w:firstLineChars="550"/>
              <w:rPr>
                <w:rFonts w:ascii="Times New Roman" w:hAnsi="Times New Roman" w:eastAsia="宋体" w:cs="Times New Roman"/>
                <w:sz w:val="24"/>
              </w:rPr>
            </w:pPr>
            <w:r>
              <w:rPr>
                <w:rFonts w:ascii="Times New Roman" w:hAnsi="Times New Roman" w:eastAsia="宋体" w:cs="Times New Roman"/>
                <w:sz w:val="24"/>
              </w:rPr>
              <w:t>C：集水区径流系数，本次环评取0.4；</w:t>
            </w:r>
          </w:p>
          <w:p w14:paraId="391E68CC">
            <w:pPr>
              <w:spacing w:line="360" w:lineRule="auto"/>
              <w:ind w:firstLine="1320" w:firstLineChars="550"/>
              <w:rPr>
                <w:rFonts w:ascii="Times New Roman" w:hAnsi="Times New Roman" w:eastAsia="宋体" w:cs="Times New Roman"/>
                <w:sz w:val="24"/>
              </w:rPr>
            </w:pPr>
            <w:r>
              <w:rPr>
                <w:rFonts w:ascii="Times New Roman" w:hAnsi="Times New Roman" w:eastAsia="宋体" w:cs="Times New Roman"/>
                <w:sz w:val="24"/>
              </w:rPr>
              <w:t>Q：集水区多年平均降雨量，mm；</w:t>
            </w:r>
          </w:p>
          <w:p w14:paraId="5EA719F2">
            <w:pPr>
              <w:spacing w:line="360" w:lineRule="auto"/>
              <w:ind w:firstLine="1320" w:firstLineChars="550"/>
              <w:rPr>
                <w:rFonts w:ascii="Times New Roman" w:hAnsi="Times New Roman" w:eastAsia="宋体" w:cs="Times New Roman"/>
                <w:sz w:val="24"/>
              </w:rPr>
            </w:pPr>
            <w:r>
              <w:rPr>
                <w:rFonts w:ascii="Times New Roman" w:hAnsi="Times New Roman" w:eastAsia="宋体" w:cs="Times New Roman"/>
                <w:sz w:val="24"/>
              </w:rPr>
              <w:t>A：集水区地表面积，m</w:t>
            </w:r>
            <w:r>
              <w:rPr>
                <w:rFonts w:ascii="Times New Roman" w:hAnsi="Times New Roman" w:eastAsia="宋体" w:cs="Times New Roman"/>
                <w:sz w:val="24"/>
                <w:vertAlign w:val="superscript"/>
              </w:rPr>
              <w:t>2</w:t>
            </w:r>
            <w:r>
              <w:rPr>
                <w:rFonts w:ascii="Times New Roman" w:hAnsi="Times New Roman" w:eastAsia="宋体" w:cs="Times New Roman"/>
                <w:sz w:val="24"/>
              </w:rPr>
              <w:t>。</w:t>
            </w:r>
          </w:p>
          <w:p w14:paraId="4B9B4FD3">
            <w:pPr>
              <w:tabs>
                <w:tab w:val="left" w:pos="5670"/>
              </w:tabs>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项目产品暂存区的汇水面积为2000m</w:t>
            </w:r>
            <w:r>
              <w:rPr>
                <w:rFonts w:ascii="Times New Roman" w:hAnsi="Times New Roman" w:eastAsia="宋体" w:cs="Times New Roman"/>
                <w:sz w:val="24"/>
                <w:vertAlign w:val="superscript"/>
              </w:rPr>
              <w:t>2</w:t>
            </w:r>
            <w:r>
              <w:rPr>
                <w:rFonts w:ascii="Times New Roman" w:hAnsi="Times New Roman" w:eastAsia="宋体" w:cs="Times New Roman"/>
                <w:sz w:val="24"/>
              </w:rPr>
              <w:t>。据文献资料可知，乐山市</w:t>
            </w:r>
            <w:r>
              <w:rPr>
                <w:rFonts w:hint="eastAsia" w:ascii="Times New Roman" w:hAnsi="Times New Roman" w:eastAsia="宋体" w:cs="Times New Roman"/>
                <w:sz w:val="24"/>
              </w:rPr>
              <w:t>峨边彝族自治县中山区</w:t>
            </w:r>
            <w:r>
              <w:rPr>
                <w:rFonts w:ascii="Times New Roman" w:hAnsi="Times New Roman" w:eastAsia="宋体" w:cs="Times New Roman"/>
                <w:sz w:val="24"/>
              </w:rPr>
              <w:t>年平均降雨</w:t>
            </w:r>
            <w:r>
              <w:rPr>
                <w:rFonts w:hint="eastAsia" w:ascii="Times New Roman" w:hAnsi="Times New Roman" w:eastAsia="宋体" w:cs="Times New Roman"/>
                <w:sz w:val="24"/>
              </w:rPr>
              <w:t>约</w:t>
            </w:r>
            <w:r>
              <w:rPr>
                <w:rFonts w:ascii="Times New Roman" w:hAnsi="Times New Roman" w:eastAsia="宋体" w:cs="Times New Roman"/>
                <w:sz w:val="24"/>
              </w:rPr>
              <w:t>1000mm，地表径流系数按0.4计，年均集雨量为800m</w:t>
            </w:r>
            <w:r>
              <w:rPr>
                <w:rFonts w:ascii="Times New Roman" w:hAnsi="Times New Roman" w:eastAsia="宋体" w:cs="Times New Roman"/>
                <w:sz w:val="24"/>
                <w:vertAlign w:val="superscript"/>
              </w:rPr>
              <w:t>3</w:t>
            </w:r>
            <w:r>
              <w:rPr>
                <w:rFonts w:ascii="Times New Roman" w:hAnsi="Times New Roman" w:eastAsia="宋体" w:cs="Times New Roman"/>
                <w:sz w:val="24"/>
              </w:rPr>
              <w:t>/a，日均集雨量为2.67m</w:t>
            </w:r>
            <w:r>
              <w:rPr>
                <w:rFonts w:ascii="Times New Roman" w:hAnsi="Times New Roman" w:eastAsia="宋体" w:cs="Times New Roman"/>
                <w:sz w:val="24"/>
                <w:vertAlign w:val="superscript"/>
              </w:rPr>
              <w:t>3</w:t>
            </w:r>
            <w:r>
              <w:rPr>
                <w:rFonts w:ascii="Times New Roman" w:hAnsi="Times New Roman" w:eastAsia="宋体" w:cs="Times New Roman"/>
                <w:sz w:val="24"/>
              </w:rPr>
              <w:t>/d，主要污染物为SS，浓度在500~1000mg/m</w:t>
            </w:r>
            <w:r>
              <w:rPr>
                <w:rFonts w:ascii="Times New Roman" w:hAnsi="Times New Roman" w:eastAsia="宋体" w:cs="Times New Roman"/>
                <w:sz w:val="24"/>
                <w:vertAlign w:val="superscript"/>
              </w:rPr>
              <w:t>3</w:t>
            </w:r>
            <w:r>
              <w:rPr>
                <w:rFonts w:ascii="Times New Roman" w:hAnsi="Times New Roman" w:eastAsia="宋体" w:cs="Times New Roman"/>
                <w:sz w:val="24"/>
              </w:rPr>
              <w:t>之间。</w:t>
            </w:r>
          </w:p>
          <w:p w14:paraId="2052359C">
            <w:pPr>
              <w:tabs>
                <w:tab w:val="left" w:pos="5670"/>
              </w:tabs>
              <w:spacing w:line="480" w:lineRule="exact"/>
              <w:ind w:firstLine="482" w:firstLineChars="200"/>
              <w:rPr>
                <w:rFonts w:ascii="Times New Roman" w:hAnsi="Times New Roman" w:eastAsia="宋体" w:cs="Times New Roman"/>
                <w:sz w:val="24"/>
              </w:rPr>
            </w:pPr>
            <w:r>
              <w:rPr>
                <w:rFonts w:ascii="Times New Roman" w:hAnsi="Times New Roman" w:eastAsia="宋体" w:cs="Times New Roman"/>
                <w:b/>
                <w:sz w:val="24"/>
              </w:rPr>
              <w:t>治理措施</w:t>
            </w:r>
            <w:r>
              <w:rPr>
                <w:rFonts w:ascii="Times New Roman" w:hAnsi="Times New Roman" w:eastAsia="宋体" w:cs="Times New Roman"/>
                <w:sz w:val="24"/>
              </w:rPr>
              <w:t>：</w:t>
            </w:r>
            <w:r>
              <w:rPr>
                <w:rFonts w:ascii="Times New Roman" w:hAnsi="Times New Roman" w:eastAsia="宋体" w:cs="Times New Roman"/>
                <w:bCs/>
                <w:sz w:val="24"/>
              </w:rPr>
              <w:t>于</w:t>
            </w:r>
            <w:r>
              <w:rPr>
                <w:rFonts w:ascii="Times New Roman" w:hAnsi="Times New Roman" w:eastAsia="宋体" w:cs="Times New Roman"/>
                <w:sz w:val="24"/>
              </w:rPr>
              <w:t>场地四周设置截排水沟，将雨水导排至</w:t>
            </w:r>
            <w:r>
              <w:rPr>
                <w:rFonts w:hint="eastAsia" w:ascii="Times New Roman" w:hAnsi="Times New Roman" w:eastAsia="宋体" w:cs="Times New Roman"/>
                <w:sz w:val="24"/>
              </w:rPr>
              <w:t>中部西侧</w:t>
            </w:r>
            <w:r>
              <w:rPr>
                <w:rFonts w:ascii="Times New Roman" w:hAnsi="Times New Roman" w:eastAsia="宋体" w:cs="Times New Roman"/>
                <w:sz w:val="24"/>
              </w:rPr>
              <w:t>低洼处沉淀水池，停留时间不低于3h，经估算沉淀水池有效容积不小于3m</w:t>
            </w:r>
            <w:r>
              <w:rPr>
                <w:rFonts w:ascii="Times New Roman" w:hAnsi="Times New Roman" w:eastAsia="宋体" w:cs="Times New Roman"/>
                <w:sz w:val="24"/>
                <w:vertAlign w:val="superscript"/>
              </w:rPr>
              <w:t>3</w:t>
            </w:r>
            <w:r>
              <w:rPr>
                <w:rFonts w:ascii="Times New Roman" w:hAnsi="Times New Roman" w:eastAsia="宋体" w:cs="Times New Roman"/>
                <w:sz w:val="24"/>
              </w:rPr>
              <w:t>，雨水经沉淀后排至白沙河；另外加强管理产品随产随销，减少堆存量，其次适时清掏雨水经沉淀使之有效运行。</w:t>
            </w:r>
          </w:p>
          <w:p w14:paraId="0CDF60FD">
            <w:pPr>
              <w:tabs>
                <w:tab w:val="left" w:pos="5670"/>
              </w:tabs>
              <w:spacing w:line="480" w:lineRule="exact"/>
              <w:ind w:firstLine="482" w:firstLineChars="200"/>
              <w:rPr>
                <w:rFonts w:ascii="Times New Roman" w:hAnsi="Times New Roman" w:eastAsia="宋体" w:cs="Times New Roman"/>
                <w:b/>
                <w:bCs/>
                <w:sz w:val="24"/>
              </w:rPr>
            </w:pPr>
            <w:r>
              <w:rPr>
                <w:rFonts w:ascii="Times New Roman" w:hAnsi="Times New Roman" w:eastAsia="宋体" w:cs="Times New Roman"/>
                <w:b/>
                <w:bCs/>
                <w:sz w:val="24"/>
              </w:rPr>
              <w:t>3、噪声排放及治理措施</w:t>
            </w:r>
          </w:p>
          <w:p w14:paraId="7098900A">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本项目噪声主要来源于生产设备的运行，主要为设备运行时产生的机械噪声，声源强度值为80~95dB（A），高噪声设备及其噪声源</w:t>
            </w:r>
            <w:r>
              <w:rPr>
                <w:rFonts w:hint="eastAsia" w:ascii="Times New Roman" w:hAnsi="Times New Roman" w:eastAsia="宋体" w:cs="Times New Roman"/>
                <w:sz w:val="24"/>
                <w:lang w:eastAsia="zh-CN"/>
              </w:rPr>
              <w:t>强度</w:t>
            </w:r>
            <w:r>
              <w:rPr>
                <w:rFonts w:ascii="Times New Roman" w:hAnsi="Times New Roman" w:eastAsia="宋体" w:cs="Times New Roman"/>
                <w:sz w:val="24"/>
              </w:rPr>
              <w:t>见下表5-6。</w:t>
            </w:r>
          </w:p>
          <w:p w14:paraId="27DAD070">
            <w:pPr>
              <w:tabs>
                <w:tab w:val="left" w:pos="5670"/>
              </w:tabs>
              <w:spacing w:line="480" w:lineRule="exact"/>
              <w:ind w:firstLine="480" w:firstLineChars="200"/>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表5-6 项目</w:t>
            </w:r>
            <w:r>
              <w:rPr>
                <w:rFonts w:hint="eastAsia" w:ascii="Times New Roman" w:hAnsi="Times New Roman" w:eastAsia="宋体" w:cs="Times New Roman"/>
                <w:snapToGrid w:val="0"/>
                <w:kern w:val="0"/>
                <w:sz w:val="24"/>
                <w:szCs w:val="24"/>
              </w:rPr>
              <w:t>主要产噪设备噪声产生情况</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158"/>
              <w:gridCol w:w="2645"/>
              <w:gridCol w:w="1494"/>
              <w:gridCol w:w="1363"/>
              <w:gridCol w:w="1622"/>
            </w:tblGrid>
            <w:tr w14:paraId="7C4978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 w:hRule="atLeast"/>
                <w:jc w:val="center"/>
              </w:trPr>
              <w:tc>
                <w:tcPr>
                  <w:tcW w:w="699" w:type="pct"/>
                  <w:tcBorders>
                    <w:top w:val="single" w:color="auto" w:sz="12" w:space="0"/>
                    <w:left w:val="single" w:color="auto" w:sz="12" w:space="0"/>
                    <w:bottom w:val="single" w:color="auto" w:sz="12" w:space="0"/>
                    <w:right w:val="single" w:color="auto" w:sz="6" w:space="0"/>
                  </w:tcBorders>
                  <w:vAlign w:val="center"/>
                </w:tcPr>
                <w:p w14:paraId="107B1575">
                  <w:pPr>
                    <w:widowControl/>
                    <w:jc w:val="center"/>
                    <w:rPr>
                      <w:rFonts w:ascii="Times New Roman" w:hAnsi="Times New Roman" w:eastAsia="宋体" w:cs="Times New Roman"/>
                    </w:rPr>
                  </w:pPr>
                  <w:r>
                    <w:rPr>
                      <w:rFonts w:ascii="Times New Roman" w:hAnsi="Times New Roman" w:eastAsia="宋体" w:cs="Times New Roman"/>
                    </w:rPr>
                    <w:t>序号</w:t>
                  </w:r>
                </w:p>
              </w:tc>
              <w:tc>
                <w:tcPr>
                  <w:tcW w:w="1597" w:type="pct"/>
                  <w:tcBorders>
                    <w:top w:val="single" w:color="auto" w:sz="12" w:space="0"/>
                    <w:left w:val="single" w:color="auto" w:sz="6" w:space="0"/>
                    <w:bottom w:val="single" w:color="auto" w:sz="12" w:space="0"/>
                    <w:right w:val="single" w:color="auto" w:sz="6" w:space="0"/>
                  </w:tcBorders>
                  <w:vAlign w:val="center"/>
                </w:tcPr>
                <w:p w14:paraId="5CF2E8E4">
                  <w:pPr>
                    <w:widowControl/>
                    <w:jc w:val="center"/>
                    <w:rPr>
                      <w:rFonts w:ascii="Times New Roman" w:hAnsi="Times New Roman" w:eastAsia="宋体" w:cs="Times New Roman"/>
                    </w:rPr>
                  </w:pPr>
                  <w:r>
                    <w:rPr>
                      <w:rFonts w:ascii="Times New Roman" w:hAnsi="Times New Roman" w:eastAsia="宋体" w:cs="Times New Roman"/>
                    </w:rPr>
                    <w:t>设备</w:t>
                  </w:r>
                </w:p>
              </w:tc>
              <w:tc>
                <w:tcPr>
                  <w:tcW w:w="902" w:type="pct"/>
                  <w:tcBorders>
                    <w:top w:val="single" w:color="auto" w:sz="12" w:space="0"/>
                    <w:left w:val="single" w:color="auto" w:sz="6" w:space="0"/>
                    <w:bottom w:val="single" w:color="auto" w:sz="12" w:space="0"/>
                    <w:right w:val="single" w:color="auto" w:sz="6" w:space="0"/>
                  </w:tcBorders>
                  <w:vAlign w:val="center"/>
                </w:tcPr>
                <w:p w14:paraId="6DDD664A">
                  <w:pPr>
                    <w:widowControl/>
                    <w:jc w:val="center"/>
                    <w:rPr>
                      <w:rFonts w:ascii="Times New Roman" w:hAnsi="Times New Roman" w:eastAsia="宋体" w:cs="Times New Roman"/>
                    </w:rPr>
                  </w:pPr>
                  <w:r>
                    <w:rPr>
                      <w:rFonts w:ascii="Times New Roman" w:hAnsi="Times New Roman" w:eastAsia="宋体" w:cs="Times New Roman"/>
                    </w:rPr>
                    <w:t>数量</w:t>
                  </w:r>
                </w:p>
              </w:tc>
              <w:tc>
                <w:tcPr>
                  <w:tcW w:w="823" w:type="pct"/>
                  <w:tcBorders>
                    <w:top w:val="single" w:color="auto" w:sz="12" w:space="0"/>
                    <w:left w:val="single" w:color="auto" w:sz="6" w:space="0"/>
                    <w:bottom w:val="single" w:color="auto" w:sz="12" w:space="0"/>
                    <w:right w:val="single" w:color="auto" w:sz="6" w:space="0"/>
                  </w:tcBorders>
                  <w:vAlign w:val="center"/>
                </w:tcPr>
                <w:p w14:paraId="61AA2190">
                  <w:pPr>
                    <w:widowControl/>
                    <w:jc w:val="center"/>
                    <w:rPr>
                      <w:rFonts w:ascii="Times New Roman" w:hAnsi="Times New Roman" w:eastAsia="宋体" w:cs="Times New Roman"/>
                    </w:rPr>
                  </w:pPr>
                  <w:r>
                    <w:rPr>
                      <w:rFonts w:ascii="Times New Roman" w:hAnsi="Times New Roman" w:eastAsia="宋体" w:cs="Times New Roman"/>
                    </w:rPr>
                    <w:t>最大声级[dB(A)]</w:t>
                  </w:r>
                </w:p>
              </w:tc>
              <w:tc>
                <w:tcPr>
                  <w:tcW w:w="979" w:type="pct"/>
                  <w:tcBorders>
                    <w:top w:val="single" w:color="auto" w:sz="12" w:space="0"/>
                    <w:left w:val="single" w:color="auto" w:sz="6" w:space="0"/>
                    <w:bottom w:val="single" w:color="auto" w:sz="12" w:space="0"/>
                    <w:right w:val="single" w:color="auto" w:sz="12" w:space="0"/>
                  </w:tcBorders>
                  <w:vAlign w:val="center"/>
                </w:tcPr>
                <w:p w14:paraId="56D674BE">
                  <w:pPr>
                    <w:widowControl/>
                    <w:jc w:val="center"/>
                    <w:rPr>
                      <w:rFonts w:ascii="Times New Roman" w:hAnsi="Times New Roman" w:eastAsia="宋体" w:cs="Times New Roman"/>
                    </w:rPr>
                  </w:pPr>
                  <w:r>
                    <w:rPr>
                      <w:rFonts w:hint="eastAsia" w:ascii="Times New Roman" w:hAnsi="Times New Roman" w:eastAsia="宋体" w:cs="Times New Roman"/>
                    </w:rPr>
                    <w:t>位置</w:t>
                  </w:r>
                </w:p>
              </w:tc>
            </w:tr>
            <w:tr w14:paraId="058F4E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 w:hRule="atLeast"/>
                <w:jc w:val="center"/>
              </w:trPr>
              <w:tc>
                <w:tcPr>
                  <w:tcW w:w="699" w:type="pct"/>
                  <w:tcBorders>
                    <w:top w:val="single" w:color="auto" w:sz="12" w:space="0"/>
                    <w:left w:val="single" w:color="auto" w:sz="12" w:space="0"/>
                    <w:bottom w:val="single" w:color="auto" w:sz="6" w:space="0"/>
                    <w:right w:val="single" w:color="auto" w:sz="6" w:space="0"/>
                  </w:tcBorders>
                  <w:vAlign w:val="center"/>
                </w:tcPr>
                <w:p w14:paraId="29986B80">
                  <w:pPr>
                    <w:widowControl/>
                    <w:jc w:val="center"/>
                    <w:rPr>
                      <w:rFonts w:ascii="Times New Roman" w:hAnsi="Times New Roman" w:eastAsia="宋体" w:cs="Times New Roman"/>
                    </w:rPr>
                  </w:pPr>
                  <w:r>
                    <w:rPr>
                      <w:rFonts w:ascii="Times New Roman" w:hAnsi="Times New Roman" w:eastAsia="宋体" w:cs="Times New Roman"/>
                    </w:rPr>
                    <w:t>1</w:t>
                  </w:r>
                </w:p>
              </w:tc>
              <w:tc>
                <w:tcPr>
                  <w:tcW w:w="1597" w:type="pct"/>
                  <w:tcBorders>
                    <w:top w:val="single" w:color="auto" w:sz="12" w:space="0"/>
                    <w:left w:val="single" w:color="auto" w:sz="6" w:space="0"/>
                    <w:bottom w:val="single" w:color="auto" w:sz="6" w:space="0"/>
                    <w:right w:val="single" w:color="auto" w:sz="6" w:space="0"/>
                  </w:tcBorders>
                  <w:shd w:val="clear" w:color="auto" w:fill="auto"/>
                  <w:vAlign w:val="center"/>
                </w:tcPr>
                <w:p w14:paraId="5760E564">
                  <w:pPr>
                    <w:jc w:val="center"/>
                    <w:rPr>
                      <w:rFonts w:ascii="Times New Roman" w:hAnsi="Times New Roman" w:eastAsia="宋体" w:cs="Times New Roman"/>
                      <w:szCs w:val="21"/>
                    </w:rPr>
                  </w:pPr>
                  <w:r>
                    <w:rPr>
                      <w:rFonts w:hint="eastAsia" w:ascii="Times New Roman" w:hAnsi="Times New Roman" w:eastAsia="宋体" w:cs="Times New Roman"/>
                      <w:szCs w:val="21"/>
                    </w:rPr>
                    <w:t>颚式破碎机</w:t>
                  </w:r>
                </w:p>
              </w:tc>
              <w:tc>
                <w:tcPr>
                  <w:tcW w:w="902" w:type="pct"/>
                  <w:tcBorders>
                    <w:top w:val="single" w:color="auto" w:sz="12" w:space="0"/>
                    <w:left w:val="single" w:color="auto" w:sz="6" w:space="0"/>
                    <w:bottom w:val="single" w:color="auto" w:sz="6" w:space="0"/>
                    <w:right w:val="single" w:color="auto" w:sz="6" w:space="0"/>
                  </w:tcBorders>
                  <w:vAlign w:val="center"/>
                </w:tcPr>
                <w:p w14:paraId="3B4D09A4">
                  <w:pPr>
                    <w:widowControl/>
                    <w:jc w:val="center"/>
                    <w:rPr>
                      <w:rFonts w:ascii="Times New Roman" w:hAnsi="Times New Roman" w:eastAsia="宋体" w:cs="Times New Roman"/>
                    </w:rPr>
                  </w:pPr>
                  <w:r>
                    <w:rPr>
                      <w:rFonts w:hint="eastAsia" w:ascii="Times New Roman" w:hAnsi="Times New Roman" w:eastAsia="宋体" w:cs="Times New Roman"/>
                    </w:rPr>
                    <w:t>1</w:t>
                  </w:r>
                </w:p>
              </w:tc>
              <w:tc>
                <w:tcPr>
                  <w:tcW w:w="823" w:type="pct"/>
                  <w:tcBorders>
                    <w:top w:val="single" w:color="auto" w:sz="12" w:space="0"/>
                    <w:left w:val="single" w:color="auto" w:sz="6" w:space="0"/>
                    <w:bottom w:val="single" w:color="auto" w:sz="6" w:space="0"/>
                    <w:right w:val="single" w:color="auto" w:sz="6" w:space="0"/>
                  </w:tcBorders>
                  <w:vAlign w:val="center"/>
                </w:tcPr>
                <w:p w14:paraId="1577AA07">
                  <w:pPr>
                    <w:widowControl/>
                    <w:jc w:val="center"/>
                    <w:rPr>
                      <w:rFonts w:ascii="Times New Roman" w:hAnsi="Times New Roman" w:eastAsia="宋体" w:cs="Times New Roman"/>
                    </w:rPr>
                  </w:pPr>
                  <w:r>
                    <w:rPr>
                      <w:rFonts w:ascii="Times New Roman" w:hAnsi="Times New Roman" w:eastAsia="宋体" w:cs="Times New Roman"/>
                    </w:rPr>
                    <w:t>95</w:t>
                  </w:r>
                </w:p>
              </w:tc>
              <w:tc>
                <w:tcPr>
                  <w:tcW w:w="979" w:type="pct"/>
                  <w:vMerge w:val="restart"/>
                  <w:tcBorders>
                    <w:top w:val="single" w:color="auto" w:sz="12" w:space="0"/>
                    <w:left w:val="single" w:color="auto" w:sz="6" w:space="0"/>
                    <w:right w:val="single" w:color="auto" w:sz="12" w:space="0"/>
                  </w:tcBorders>
                  <w:vAlign w:val="center"/>
                </w:tcPr>
                <w:p w14:paraId="2AC29307">
                  <w:pPr>
                    <w:jc w:val="center"/>
                    <w:rPr>
                      <w:rFonts w:ascii="Times New Roman" w:hAnsi="Times New Roman" w:eastAsia="宋体" w:cs="Times New Roman"/>
                    </w:rPr>
                  </w:pPr>
                  <w:r>
                    <w:rPr>
                      <w:rFonts w:hint="eastAsia" w:ascii="Times New Roman" w:hAnsi="Times New Roman" w:eastAsia="宋体" w:cs="Times New Roman"/>
                    </w:rPr>
                    <w:t>加工车间</w:t>
                  </w:r>
                </w:p>
              </w:tc>
            </w:tr>
            <w:tr w14:paraId="1CF78C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 w:hRule="atLeast"/>
                <w:jc w:val="center"/>
              </w:trPr>
              <w:tc>
                <w:tcPr>
                  <w:tcW w:w="699" w:type="pct"/>
                  <w:tcBorders>
                    <w:top w:val="single" w:color="auto" w:sz="6" w:space="0"/>
                    <w:left w:val="single" w:color="auto" w:sz="12" w:space="0"/>
                    <w:bottom w:val="single" w:color="auto" w:sz="6" w:space="0"/>
                    <w:right w:val="single" w:color="auto" w:sz="6" w:space="0"/>
                  </w:tcBorders>
                  <w:vAlign w:val="center"/>
                </w:tcPr>
                <w:p w14:paraId="65B538FA">
                  <w:pPr>
                    <w:widowControl/>
                    <w:jc w:val="center"/>
                    <w:rPr>
                      <w:rFonts w:ascii="Times New Roman" w:hAnsi="Times New Roman" w:eastAsia="宋体" w:cs="Times New Roman"/>
                    </w:rPr>
                  </w:pPr>
                  <w:r>
                    <w:rPr>
                      <w:rFonts w:ascii="Times New Roman" w:hAnsi="Times New Roman" w:eastAsia="宋体" w:cs="Times New Roman"/>
                    </w:rPr>
                    <w:t>2</w:t>
                  </w:r>
                </w:p>
              </w:tc>
              <w:tc>
                <w:tcPr>
                  <w:tcW w:w="1597" w:type="pct"/>
                  <w:tcBorders>
                    <w:top w:val="single" w:color="auto" w:sz="6" w:space="0"/>
                    <w:left w:val="single" w:color="auto" w:sz="6" w:space="0"/>
                    <w:bottom w:val="single" w:color="auto" w:sz="6" w:space="0"/>
                    <w:right w:val="single" w:color="auto" w:sz="6" w:space="0"/>
                  </w:tcBorders>
                  <w:vAlign w:val="center"/>
                </w:tcPr>
                <w:p w14:paraId="7457CBB9">
                  <w:pPr>
                    <w:jc w:val="center"/>
                    <w:rPr>
                      <w:rFonts w:ascii="Times New Roman" w:hAnsi="Times New Roman" w:eastAsia="宋体" w:cs="Times New Roman"/>
                      <w:szCs w:val="21"/>
                    </w:rPr>
                  </w:pPr>
                  <w:r>
                    <w:rPr>
                      <w:rFonts w:hint="eastAsia" w:ascii="Times New Roman" w:hAnsi="Times New Roman" w:eastAsia="宋体" w:cs="Times New Roman"/>
                      <w:szCs w:val="21"/>
                    </w:rPr>
                    <w:t>重型给料机</w:t>
                  </w:r>
                </w:p>
              </w:tc>
              <w:tc>
                <w:tcPr>
                  <w:tcW w:w="902" w:type="pct"/>
                  <w:tcBorders>
                    <w:top w:val="single" w:color="auto" w:sz="6" w:space="0"/>
                    <w:left w:val="single" w:color="auto" w:sz="6" w:space="0"/>
                    <w:bottom w:val="single" w:color="auto" w:sz="6" w:space="0"/>
                    <w:right w:val="single" w:color="auto" w:sz="6" w:space="0"/>
                  </w:tcBorders>
                  <w:vAlign w:val="center"/>
                </w:tcPr>
                <w:p w14:paraId="672F708A">
                  <w:pPr>
                    <w:widowControl/>
                    <w:jc w:val="center"/>
                    <w:rPr>
                      <w:rFonts w:ascii="Times New Roman" w:hAnsi="Times New Roman" w:eastAsia="宋体" w:cs="Times New Roman"/>
                    </w:rPr>
                  </w:pPr>
                  <w:r>
                    <w:rPr>
                      <w:rFonts w:hint="eastAsia" w:ascii="Times New Roman" w:hAnsi="Times New Roman" w:eastAsia="宋体" w:cs="Times New Roman"/>
                    </w:rPr>
                    <w:t>1</w:t>
                  </w:r>
                </w:p>
              </w:tc>
              <w:tc>
                <w:tcPr>
                  <w:tcW w:w="823" w:type="pct"/>
                  <w:tcBorders>
                    <w:top w:val="single" w:color="auto" w:sz="6" w:space="0"/>
                    <w:left w:val="single" w:color="auto" w:sz="6" w:space="0"/>
                    <w:bottom w:val="single" w:color="auto" w:sz="6" w:space="0"/>
                    <w:right w:val="single" w:color="auto" w:sz="6" w:space="0"/>
                  </w:tcBorders>
                  <w:vAlign w:val="center"/>
                </w:tcPr>
                <w:p w14:paraId="21FD538C">
                  <w:pPr>
                    <w:widowControl/>
                    <w:jc w:val="center"/>
                    <w:rPr>
                      <w:rFonts w:ascii="Times New Roman" w:hAnsi="Times New Roman" w:eastAsia="宋体" w:cs="Times New Roman"/>
                    </w:rPr>
                  </w:pPr>
                  <w:r>
                    <w:rPr>
                      <w:rFonts w:ascii="Times New Roman" w:hAnsi="Times New Roman" w:eastAsia="宋体" w:cs="Times New Roman"/>
                    </w:rPr>
                    <w:t>80</w:t>
                  </w:r>
                </w:p>
              </w:tc>
              <w:tc>
                <w:tcPr>
                  <w:tcW w:w="979" w:type="pct"/>
                  <w:vMerge w:val="continue"/>
                  <w:tcBorders>
                    <w:left w:val="single" w:color="auto" w:sz="6" w:space="0"/>
                    <w:right w:val="single" w:color="auto" w:sz="12" w:space="0"/>
                  </w:tcBorders>
                  <w:vAlign w:val="center"/>
                </w:tcPr>
                <w:p w14:paraId="0E7AED8A">
                  <w:pPr>
                    <w:jc w:val="center"/>
                    <w:rPr>
                      <w:rFonts w:ascii="Times New Roman" w:hAnsi="Times New Roman" w:eastAsia="宋体" w:cs="Times New Roman"/>
                    </w:rPr>
                  </w:pPr>
                </w:p>
              </w:tc>
            </w:tr>
            <w:tr w14:paraId="17A065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 w:hRule="atLeast"/>
                <w:jc w:val="center"/>
              </w:trPr>
              <w:tc>
                <w:tcPr>
                  <w:tcW w:w="699" w:type="pct"/>
                  <w:tcBorders>
                    <w:top w:val="single" w:color="auto" w:sz="6" w:space="0"/>
                    <w:left w:val="single" w:color="auto" w:sz="12" w:space="0"/>
                    <w:bottom w:val="single" w:color="auto" w:sz="6" w:space="0"/>
                    <w:right w:val="single" w:color="auto" w:sz="6" w:space="0"/>
                  </w:tcBorders>
                  <w:vAlign w:val="center"/>
                </w:tcPr>
                <w:p w14:paraId="5FC82614">
                  <w:pPr>
                    <w:widowControl/>
                    <w:jc w:val="center"/>
                    <w:rPr>
                      <w:rFonts w:ascii="Times New Roman" w:hAnsi="Times New Roman" w:eastAsia="宋体" w:cs="Times New Roman"/>
                    </w:rPr>
                  </w:pPr>
                  <w:r>
                    <w:rPr>
                      <w:rFonts w:ascii="Times New Roman" w:hAnsi="Times New Roman" w:eastAsia="宋体" w:cs="Times New Roman"/>
                    </w:rPr>
                    <w:t>3</w:t>
                  </w:r>
                </w:p>
              </w:tc>
              <w:tc>
                <w:tcPr>
                  <w:tcW w:w="1597" w:type="pct"/>
                  <w:tcBorders>
                    <w:top w:val="single" w:color="auto" w:sz="6" w:space="0"/>
                    <w:left w:val="single" w:color="auto" w:sz="6" w:space="0"/>
                    <w:bottom w:val="single" w:color="auto" w:sz="6" w:space="0"/>
                    <w:right w:val="single" w:color="auto" w:sz="6" w:space="0"/>
                  </w:tcBorders>
                  <w:vAlign w:val="center"/>
                </w:tcPr>
                <w:p w14:paraId="1C69C7C7">
                  <w:pPr>
                    <w:jc w:val="center"/>
                    <w:rPr>
                      <w:rFonts w:ascii="Times New Roman" w:hAnsi="Times New Roman" w:eastAsia="宋体" w:cs="Times New Roman"/>
                      <w:szCs w:val="21"/>
                    </w:rPr>
                  </w:pPr>
                  <w:r>
                    <w:rPr>
                      <w:rFonts w:ascii="Times New Roman" w:hAnsi="Times New Roman" w:eastAsia="宋体" w:cs="Times New Roman"/>
                      <w:szCs w:val="21"/>
                    </w:rPr>
                    <w:t>制砂机</w:t>
                  </w:r>
                </w:p>
              </w:tc>
              <w:tc>
                <w:tcPr>
                  <w:tcW w:w="902" w:type="pct"/>
                  <w:tcBorders>
                    <w:top w:val="single" w:color="auto" w:sz="6" w:space="0"/>
                    <w:left w:val="single" w:color="auto" w:sz="6" w:space="0"/>
                    <w:bottom w:val="single" w:color="auto" w:sz="6" w:space="0"/>
                    <w:right w:val="single" w:color="auto" w:sz="6" w:space="0"/>
                  </w:tcBorders>
                  <w:vAlign w:val="center"/>
                </w:tcPr>
                <w:p w14:paraId="2121D019">
                  <w:pPr>
                    <w:widowControl/>
                    <w:jc w:val="center"/>
                    <w:rPr>
                      <w:rFonts w:ascii="Times New Roman" w:hAnsi="Times New Roman" w:eastAsia="宋体" w:cs="Times New Roman"/>
                    </w:rPr>
                  </w:pPr>
                  <w:r>
                    <w:rPr>
                      <w:rFonts w:hint="eastAsia" w:ascii="Times New Roman" w:hAnsi="Times New Roman" w:eastAsia="宋体" w:cs="Times New Roman"/>
                    </w:rPr>
                    <w:t>1</w:t>
                  </w:r>
                </w:p>
              </w:tc>
              <w:tc>
                <w:tcPr>
                  <w:tcW w:w="823" w:type="pct"/>
                  <w:tcBorders>
                    <w:top w:val="single" w:color="auto" w:sz="6" w:space="0"/>
                    <w:left w:val="single" w:color="auto" w:sz="6" w:space="0"/>
                    <w:bottom w:val="single" w:color="auto" w:sz="6" w:space="0"/>
                    <w:right w:val="single" w:color="auto" w:sz="6" w:space="0"/>
                  </w:tcBorders>
                  <w:vAlign w:val="center"/>
                </w:tcPr>
                <w:p w14:paraId="29390867">
                  <w:pPr>
                    <w:widowControl/>
                    <w:jc w:val="center"/>
                    <w:rPr>
                      <w:rFonts w:ascii="Times New Roman" w:hAnsi="Times New Roman" w:eastAsia="宋体" w:cs="Times New Roman"/>
                    </w:rPr>
                  </w:pPr>
                  <w:r>
                    <w:rPr>
                      <w:rFonts w:ascii="Times New Roman" w:hAnsi="Times New Roman" w:eastAsia="宋体" w:cs="Times New Roman"/>
                    </w:rPr>
                    <w:t>95</w:t>
                  </w:r>
                </w:p>
              </w:tc>
              <w:tc>
                <w:tcPr>
                  <w:tcW w:w="979" w:type="pct"/>
                  <w:vMerge w:val="continue"/>
                  <w:tcBorders>
                    <w:left w:val="single" w:color="auto" w:sz="6" w:space="0"/>
                    <w:right w:val="single" w:color="auto" w:sz="12" w:space="0"/>
                  </w:tcBorders>
                  <w:vAlign w:val="center"/>
                </w:tcPr>
                <w:p w14:paraId="0C042F8A">
                  <w:pPr>
                    <w:jc w:val="center"/>
                    <w:rPr>
                      <w:rFonts w:ascii="Times New Roman" w:hAnsi="Times New Roman" w:eastAsia="宋体" w:cs="Times New Roman"/>
                    </w:rPr>
                  </w:pPr>
                </w:p>
              </w:tc>
            </w:tr>
            <w:tr w14:paraId="195F6B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18" w:hRule="atLeast"/>
                <w:jc w:val="center"/>
              </w:trPr>
              <w:tc>
                <w:tcPr>
                  <w:tcW w:w="699" w:type="pct"/>
                  <w:tcBorders>
                    <w:top w:val="single" w:color="auto" w:sz="6" w:space="0"/>
                    <w:left w:val="single" w:color="auto" w:sz="12" w:space="0"/>
                    <w:bottom w:val="single" w:color="auto" w:sz="6" w:space="0"/>
                    <w:right w:val="single" w:color="auto" w:sz="6" w:space="0"/>
                  </w:tcBorders>
                  <w:vAlign w:val="center"/>
                </w:tcPr>
                <w:p w14:paraId="7F677035">
                  <w:pPr>
                    <w:widowControl/>
                    <w:jc w:val="center"/>
                    <w:rPr>
                      <w:rFonts w:ascii="Times New Roman" w:hAnsi="Times New Roman" w:eastAsia="宋体" w:cs="Times New Roman"/>
                    </w:rPr>
                  </w:pPr>
                  <w:r>
                    <w:rPr>
                      <w:rFonts w:ascii="Times New Roman" w:hAnsi="Times New Roman" w:eastAsia="宋体" w:cs="Times New Roman"/>
                    </w:rPr>
                    <w:t>4</w:t>
                  </w:r>
                </w:p>
              </w:tc>
              <w:tc>
                <w:tcPr>
                  <w:tcW w:w="1597" w:type="pct"/>
                  <w:tcBorders>
                    <w:top w:val="single" w:color="auto" w:sz="6" w:space="0"/>
                    <w:left w:val="single" w:color="auto" w:sz="6" w:space="0"/>
                    <w:bottom w:val="single" w:color="auto" w:sz="6" w:space="0"/>
                    <w:right w:val="single" w:color="auto" w:sz="6" w:space="0"/>
                  </w:tcBorders>
                  <w:vAlign w:val="center"/>
                </w:tcPr>
                <w:p w14:paraId="3E488D3A">
                  <w:pPr>
                    <w:widowControl/>
                    <w:jc w:val="center"/>
                    <w:rPr>
                      <w:rFonts w:ascii="Times New Roman" w:hAnsi="Times New Roman" w:eastAsia="宋体" w:cs="Times New Roman"/>
                    </w:rPr>
                  </w:pPr>
                  <w:r>
                    <w:rPr>
                      <w:rFonts w:ascii="Times New Roman" w:hAnsi="Times New Roman" w:eastAsia="宋体" w:cs="Times New Roman"/>
                    </w:rPr>
                    <w:t>振动筛</w:t>
                  </w:r>
                </w:p>
              </w:tc>
              <w:tc>
                <w:tcPr>
                  <w:tcW w:w="902" w:type="pct"/>
                  <w:tcBorders>
                    <w:top w:val="single" w:color="auto" w:sz="6" w:space="0"/>
                    <w:left w:val="single" w:color="auto" w:sz="6" w:space="0"/>
                    <w:bottom w:val="single" w:color="auto" w:sz="6" w:space="0"/>
                    <w:right w:val="single" w:color="auto" w:sz="6" w:space="0"/>
                  </w:tcBorders>
                  <w:vAlign w:val="center"/>
                </w:tcPr>
                <w:p w14:paraId="005EBA2C">
                  <w:pPr>
                    <w:widowControl/>
                    <w:jc w:val="center"/>
                    <w:rPr>
                      <w:rFonts w:ascii="Times New Roman" w:hAnsi="Times New Roman" w:eastAsia="宋体" w:cs="Times New Roman"/>
                    </w:rPr>
                  </w:pPr>
                  <w:r>
                    <w:rPr>
                      <w:rFonts w:hint="eastAsia" w:ascii="Times New Roman" w:hAnsi="Times New Roman" w:eastAsia="宋体" w:cs="Times New Roman"/>
                    </w:rPr>
                    <w:t>1</w:t>
                  </w:r>
                </w:p>
              </w:tc>
              <w:tc>
                <w:tcPr>
                  <w:tcW w:w="823" w:type="pct"/>
                  <w:tcBorders>
                    <w:top w:val="single" w:color="auto" w:sz="6" w:space="0"/>
                    <w:left w:val="single" w:color="auto" w:sz="6" w:space="0"/>
                    <w:bottom w:val="single" w:color="auto" w:sz="6" w:space="0"/>
                    <w:right w:val="single" w:color="auto" w:sz="6" w:space="0"/>
                  </w:tcBorders>
                  <w:vAlign w:val="center"/>
                </w:tcPr>
                <w:p w14:paraId="4D18E421">
                  <w:pPr>
                    <w:widowControl/>
                    <w:jc w:val="center"/>
                    <w:rPr>
                      <w:rFonts w:ascii="Times New Roman" w:hAnsi="Times New Roman" w:eastAsia="宋体" w:cs="Times New Roman"/>
                    </w:rPr>
                  </w:pPr>
                  <w:r>
                    <w:rPr>
                      <w:rFonts w:ascii="Times New Roman" w:hAnsi="Times New Roman" w:eastAsia="宋体" w:cs="Times New Roman"/>
                    </w:rPr>
                    <w:t>90</w:t>
                  </w:r>
                </w:p>
              </w:tc>
              <w:tc>
                <w:tcPr>
                  <w:tcW w:w="979" w:type="pct"/>
                  <w:vMerge w:val="continue"/>
                  <w:tcBorders>
                    <w:left w:val="single" w:color="auto" w:sz="6" w:space="0"/>
                    <w:right w:val="single" w:color="auto" w:sz="12" w:space="0"/>
                  </w:tcBorders>
                  <w:vAlign w:val="center"/>
                </w:tcPr>
                <w:p w14:paraId="4EF49E08">
                  <w:pPr>
                    <w:jc w:val="center"/>
                    <w:rPr>
                      <w:rFonts w:ascii="Times New Roman" w:hAnsi="Times New Roman" w:eastAsia="宋体" w:cs="Times New Roman"/>
                    </w:rPr>
                  </w:pPr>
                </w:p>
              </w:tc>
            </w:tr>
            <w:tr w14:paraId="756B9D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18" w:hRule="atLeast"/>
                <w:jc w:val="center"/>
              </w:trPr>
              <w:tc>
                <w:tcPr>
                  <w:tcW w:w="699" w:type="pct"/>
                  <w:tcBorders>
                    <w:top w:val="single" w:color="auto" w:sz="6" w:space="0"/>
                    <w:left w:val="single" w:color="auto" w:sz="12" w:space="0"/>
                    <w:bottom w:val="single" w:color="auto" w:sz="6" w:space="0"/>
                    <w:right w:val="single" w:color="auto" w:sz="6" w:space="0"/>
                  </w:tcBorders>
                  <w:vAlign w:val="center"/>
                </w:tcPr>
                <w:p w14:paraId="7C9F881E">
                  <w:pPr>
                    <w:widowControl/>
                    <w:jc w:val="center"/>
                    <w:rPr>
                      <w:rFonts w:ascii="Times New Roman" w:hAnsi="Times New Roman" w:eastAsia="宋体" w:cs="Times New Roman"/>
                    </w:rPr>
                  </w:pPr>
                  <w:r>
                    <w:rPr>
                      <w:rFonts w:ascii="Times New Roman" w:hAnsi="Times New Roman" w:eastAsia="宋体" w:cs="Times New Roman"/>
                    </w:rPr>
                    <w:t>5</w:t>
                  </w:r>
                </w:p>
              </w:tc>
              <w:tc>
                <w:tcPr>
                  <w:tcW w:w="1597" w:type="pct"/>
                  <w:tcBorders>
                    <w:top w:val="single" w:color="auto" w:sz="6" w:space="0"/>
                    <w:left w:val="single" w:color="auto" w:sz="6" w:space="0"/>
                    <w:bottom w:val="single" w:color="auto" w:sz="6" w:space="0"/>
                    <w:right w:val="single" w:color="auto" w:sz="6" w:space="0"/>
                  </w:tcBorders>
                  <w:vAlign w:val="center"/>
                </w:tcPr>
                <w:p w14:paraId="0F35E0E3">
                  <w:pPr>
                    <w:widowControl/>
                    <w:jc w:val="center"/>
                    <w:rPr>
                      <w:rFonts w:ascii="Times New Roman" w:hAnsi="Times New Roman" w:eastAsia="宋体" w:cs="Times New Roman"/>
                    </w:rPr>
                  </w:pPr>
                  <w:r>
                    <w:rPr>
                      <w:rFonts w:ascii="Times New Roman" w:hAnsi="Times New Roman" w:eastAsia="宋体" w:cs="Times New Roman"/>
                    </w:rPr>
                    <w:t>雾炮机</w:t>
                  </w:r>
                </w:p>
              </w:tc>
              <w:tc>
                <w:tcPr>
                  <w:tcW w:w="902" w:type="pct"/>
                  <w:tcBorders>
                    <w:top w:val="single" w:color="auto" w:sz="6" w:space="0"/>
                    <w:left w:val="single" w:color="auto" w:sz="6" w:space="0"/>
                    <w:bottom w:val="single" w:color="auto" w:sz="6" w:space="0"/>
                    <w:right w:val="single" w:color="auto" w:sz="6" w:space="0"/>
                  </w:tcBorders>
                  <w:vAlign w:val="center"/>
                </w:tcPr>
                <w:p w14:paraId="21010CDA">
                  <w:pPr>
                    <w:widowControl/>
                    <w:jc w:val="center"/>
                    <w:rPr>
                      <w:rFonts w:ascii="Times New Roman" w:hAnsi="Times New Roman" w:eastAsia="宋体" w:cs="Times New Roman"/>
                    </w:rPr>
                  </w:pPr>
                  <w:r>
                    <w:rPr>
                      <w:rFonts w:hint="eastAsia" w:ascii="Times New Roman" w:hAnsi="Times New Roman" w:eastAsia="宋体" w:cs="Times New Roman"/>
                    </w:rPr>
                    <w:t>1</w:t>
                  </w:r>
                </w:p>
              </w:tc>
              <w:tc>
                <w:tcPr>
                  <w:tcW w:w="823" w:type="pct"/>
                  <w:tcBorders>
                    <w:top w:val="single" w:color="auto" w:sz="6" w:space="0"/>
                    <w:left w:val="single" w:color="auto" w:sz="6" w:space="0"/>
                    <w:bottom w:val="single" w:color="auto" w:sz="6" w:space="0"/>
                    <w:right w:val="single" w:color="auto" w:sz="6" w:space="0"/>
                  </w:tcBorders>
                  <w:vAlign w:val="center"/>
                </w:tcPr>
                <w:p w14:paraId="4056DD5D">
                  <w:pPr>
                    <w:widowControl/>
                    <w:jc w:val="center"/>
                    <w:rPr>
                      <w:rFonts w:ascii="Times New Roman" w:hAnsi="Times New Roman" w:eastAsia="宋体" w:cs="Times New Roman"/>
                    </w:rPr>
                  </w:pPr>
                  <w:r>
                    <w:rPr>
                      <w:rFonts w:ascii="Times New Roman" w:hAnsi="Times New Roman" w:eastAsia="宋体" w:cs="Times New Roman"/>
                    </w:rPr>
                    <w:t>80</w:t>
                  </w:r>
                </w:p>
              </w:tc>
              <w:tc>
                <w:tcPr>
                  <w:tcW w:w="979" w:type="pct"/>
                  <w:vMerge w:val="continue"/>
                  <w:tcBorders>
                    <w:left w:val="single" w:color="auto" w:sz="6" w:space="0"/>
                    <w:right w:val="single" w:color="auto" w:sz="12" w:space="0"/>
                  </w:tcBorders>
                  <w:vAlign w:val="center"/>
                </w:tcPr>
                <w:p w14:paraId="5F770E47">
                  <w:pPr>
                    <w:widowControl/>
                    <w:jc w:val="center"/>
                    <w:rPr>
                      <w:rFonts w:ascii="Times New Roman" w:hAnsi="Times New Roman" w:eastAsia="宋体" w:cs="Times New Roman"/>
                    </w:rPr>
                  </w:pPr>
                </w:p>
              </w:tc>
            </w:tr>
            <w:tr w14:paraId="6287BE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18" w:hRule="atLeast"/>
                <w:jc w:val="center"/>
              </w:trPr>
              <w:tc>
                <w:tcPr>
                  <w:tcW w:w="699" w:type="pct"/>
                  <w:tcBorders>
                    <w:top w:val="single" w:color="auto" w:sz="6" w:space="0"/>
                    <w:left w:val="single" w:color="auto" w:sz="12" w:space="0"/>
                    <w:bottom w:val="single" w:color="auto" w:sz="6" w:space="0"/>
                    <w:right w:val="single" w:color="auto" w:sz="6" w:space="0"/>
                  </w:tcBorders>
                  <w:vAlign w:val="center"/>
                </w:tcPr>
                <w:p w14:paraId="3C7E4ED7">
                  <w:pPr>
                    <w:widowControl/>
                    <w:jc w:val="center"/>
                    <w:rPr>
                      <w:rFonts w:ascii="Times New Roman" w:hAnsi="Times New Roman" w:eastAsia="宋体" w:cs="Times New Roman"/>
                    </w:rPr>
                  </w:pPr>
                  <w:r>
                    <w:rPr>
                      <w:rFonts w:ascii="Times New Roman" w:hAnsi="Times New Roman" w:eastAsia="宋体" w:cs="Times New Roman"/>
                    </w:rPr>
                    <w:t>6</w:t>
                  </w:r>
                </w:p>
              </w:tc>
              <w:tc>
                <w:tcPr>
                  <w:tcW w:w="1597" w:type="pct"/>
                  <w:tcBorders>
                    <w:top w:val="single" w:color="auto" w:sz="6" w:space="0"/>
                    <w:left w:val="single" w:color="auto" w:sz="6" w:space="0"/>
                    <w:bottom w:val="single" w:color="auto" w:sz="6" w:space="0"/>
                    <w:right w:val="single" w:color="auto" w:sz="6" w:space="0"/>
                  </w:tcBorders>
                  <w:vAlign w:val="center"/>
                </w:tcPr>
                <w:p w14:paraId="54A36D0A">
                  <w:pPr>
                    <w:widowControl/>
                    <w:jc w:val="center"/>
                    <w:rPr>
                      <w:rFonts w:ascii="Times New Roman" w:hAnsi="Times New Roman" w:eastAsia="宋体" w:cs="Times New Roman"/>
                    </w:rPr>
                  </w:pPr>
                  <w:r>
                    <w:rPr>
                      <w:rFonts w:ascii="Times New Roman" w:hAnsi="Times New Roman" w:eastAsia="宋体" w:cs="Times New Roman"/>
                    </w:rPr>
                    <w:t>输送机</w:t>
                  </w:r>
                </w:p>
              </w:tc>
              <w:tc>
                <w:tcPr>
                  <w:tcW w:w="902" w:type="pct"/>
                  <w:tcBorders>
                    <w:top w:val="single" w:color="auto" w:sz="6" w:space="0"/>
                    <w:left w:val="single" w:color="auto" w:sz="6" w:space="0"/>
                    <w:bottom w:val="single" w:color="auto" w:sz="6" w:space="0"/>
                    <w:right w:val="single" w:color="auto" w:sz="6" w:space="0"/>
                  </w:tcBorders>
                  <w:vAlign w:val="center"/>
                </w:tcPr>
                <w:p w14:paraId="1C9AF7CB">
                  <w:pPr>
                    <w:widowControl/>
                    <w:jc w:val="center"/>
                    <w:rPr>
                      <w:rFonts w:ascii="Times New Roman" w:hAnsi="Times New Roman" w:eastAsia="宋体" w:cs="Times New Roman"/>
                    </w:rPr>
                  </w:pPr>
                  <w:r>
                    <w:rPr>
                      <w:rFonts w:ascii="Times New Roman" w:hAnsi="Times New Roman" w:eastAsia="宋体" w:cs="Times New Roman"/>
                    </w:rPr>
                    <w:t>若干</w:t>
                  </w:r>
                </w:p>
              </w:tc>
              <w:tc>
                <w:tcPr>
                  <w:tcW w:w="823" w:type="pct"/>
                  <w:tcBorders>
                    <w:top w:val="single" w:color="auto" w:sz="6" w:space="0"/>
                    <w:left w:val="single" w:color="auto" w:sz="6" w:space="0"/>
                    <w:bottom w:val="single" w:color="auto" w:sz="6" w:space="0"/>
                    <w:right w:val="single" w:color="auto" w:sz="6" w:space="0"/>
                  </w:tcBorders>
                  <w:vAlign w:val="center"/>
                </w:tcPr>
                <w:p w14:paraId="0020F473">
                  <w:pPr>
                    <w:widowControl/>
                    <w:jc w:val="center"/>
                    <w:rPr>
                      <w:rFonts w:ascii="Times New Roman" w:hAnsi="Times New Roman" w:eastAsia="宋体" w:cs="Times New Roman"/>
                    </w:rPr>
                  </w:pPr>
                  <w:r>
                    <w:rPr>
                      <w:rFonts w:ascii="Times New Roman" w:hAnsi="Times New Roman" w:eastAsia="宋体" w:cs="Times New Roman"/>
                    </w:rPr>
                    <w:t>85</w:t>
                  </w:r>
                </w:p>
              </w:tc>
              <w:tc>
                <w:tcPr>
                  <w:tcW w:w="979" w:type="pct"/>
                  <w:vMerge w:val="continue"/>
                  <w:tcBorders>
                    <w:left w:val="single" w:color="auto" w:sz="6" w:space="0"/>
                    <w:right w:val="single" w:color="auto" w:sz="12" w:space="0"/>
                  </w:tcBorders>
                  <w:vAlign w:val="center"/>
                </w:tcPr>
                <w:p w14:paraId="0B4EA11E">
                  <w:pPr>
                    <w:widowControl/>
                    <w:jc w:val="center"/>
                    <w:rPr>
                      <w:rFonts w:ascii="Times New Roman" w:hAnsi="Times New Roman" w:eastAsia="宋体" w:cs="Times New Roman"/>
                    </w:rPr>
                  </w:pPr>
                </w:p>
              </w:tc>
            </w:tr>
            <w:tr w14:paraId="4FD05C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18" w:hRule="atLeast"/>
                <w:jc w:val="center"/>
              </w:trPr>
              <w:tc>
                <w:tcPr>
                  <w:tcW w:w="699" w:type="pct"/>
                  <w:tcBorders>
                    <w:top w:val="single" w:color="auto" w:sz="6" w:space="0"/>
                    <w:left w:val="single" w:color="auto" w:sz="12" w:space="0"/>
                    <w:bottom w:val="single" w:color="auto" w:sz="6" w:space="0"/>
                    <w:right w:val="single" w:color="auto" w:sz="6" w:space="0"/>
                  </w:tcBorders>
                  <w:vAlign w:val="center"/>
                </w:tcPr>
                <w:p w14:paraId="0C9EBC10">
                  <w:pPr>
                    <w:widowControl/>
                    <w:jc w:val="center"/>
                    <w:rPr>
                      <w:rFonts w:ascii="Times New Roman" w:hAnsi="Times New Roman" w:eastAsia="宋体" w:cs="Times New Roman"/>
                    </w:rPr>
                  </w:pPr>
                  <w:r>
                    <w:rPr>
                      <w:rFonts w:ascii="Times New Roman" w:hAnsi="Times New Roman" w:eastAsia="宋体" w:cs="Times New Roman"/>
                    </w:rPr>
                    <w:t>7</w:t>
                  </w:r>
                </w:p>
              </w:tc>
              <w:tc>
                <w:tcPr>
                  <w:tcW w:w="1597" w:type="pct"/>
                  <w:tcBorders>
                    <w:top w:val="single" w:color="auto" w:sz="6" w:space="0"/>
                    <w:left w:val="single" w:color="auto" w:sz="6" w:space="0"/>
                    <w:bottom w:val="single" w:color="auto" w:sz="6" w:space="0"/>
                    <w:right w:val="single" w:color="auto" w:sz="6" w:space="0"/>
                  </w:tcBorders>
                  <w:vAlign w:val="center"/>
                </w:tcPr>
                <w:p w14:paraId="40A1648A">
                  <w:pPr>
                    <w:widowControl/>
                    <w:jc w:val="center"/>
                    <w:rPr>
                      <w:rFonts w:ascii="Times New Roman" w:hAnsi="Times New Roman" w:eastAsia="宋体" w:cs="Times New Roman"/>
                    </w:rPr>
                  </w:pPr>
                  <w:r>
                    <w:rPr>
                      <w:rFonts w:ascii="Times New Roman" w:hAnsi="Times New Roman" w:eastAsia="宋体" w:cs="Times New Roman"/>
                    </w:rPr>
                    <w:t>装载机</w:t>
                  </w:r>
                </w:p>
              </w:tc>
              <w:tc>
                <w:tcPr>
                  <w:tcW w:w="902" w:type="pct"/>
                  <w:tcBorders>
                    <w:top w:val="single" w:color="auto" w:sz="6" w:space="0"/>
                    <w:left w:val="single" w:color="auto" w:sz="6" w:space="0"/>
                    <w:bottom w:val="single" w:color="auto" w:sz="6" w:space="0"/>
                    <w:right w:val="single" w:color="auto" w:sz="6" w:space="0"/>
                  </w:tcBorders>
                  <w:vAlign w:val="center"/>
                </w:tcPr>
                <w:p w14:paraId="0A9ADADA">
                  <w:pPr>
                    <w:widowControl/>
                    <w:jc w:val="center"/>
                    <w:rPr>
                      <w:rFonts w:ascii="Times New Roman" w:hAnsi="Times New Roman" w:eastAsia="宋体" w:cs="Times New Roman"/>
                    </w:rPr>
                  </w:pPr>
                  <w:r>
                    <w:rPr>
                      <w:rFonts w:hint="eastAsia" w:ascii="Times New Roman" w:hAnsi="Times New Roman" w:eastAsia="宋体" w:cs="Times New Roman"/>
                    </w:rPr>
                    <w:t>1</w:t>
                  </w:r>
                </w:p>
              </w:tc>
              <w:tc>
                <w:tcPr>
                  <w:tcW w:w="823" w:type="pct"/>
                  <w:tcBorders>
                    <w:top w:val="single" w:color="auto" w:sz="6" w:space="0"/>
                    <w:left w:val="single" w:color="auto" w:sz="6" w:space="0"/>
                    <w:bottom w:val="single" w:color="auto" w:sz="6" w:space="0"/>
                    <w:right w:val="single" w:color="auto" w:sz="6" w:space="0"/>
                  </w:tcBorders>
                  <w:vAlign w:val="center"/>
                </w:tcPr>
                <w:p w14:paraId="71CA9311">
                  <w:pPr>
                    <w:widowControl/>
                    <w:jc w:val="center"/>
                    <w:rPr>
                      <w:rFonts w:ascii="Times New Roman" w:hAnsi="Times New Roman" w:eastAsia="宋体" w:cs="Times New Roman"/>
                    </w:rPr>
                  </w:pPr>
                  <w:r>
                    <w:rPr>
                      <w:rFonts w:ascii="Times New Roman" w:hAnsi="Times New Roman" w:eastAsia="宋体" w:cs="Times New Roman"/>
                    </w:rPr>
                    <w:t>90</w:t>
                  </w:r>
                </w:p>
              </w:tc>
              <w:tc>
                <w:tcPr>
                  <w:tcW w:w="979" w:type="pct"/>
                  <w:vMerge w:val="restart"/>
                  <w:tcBorders>
                    <w:left w:val="single" w:color="auto" w:sz="6" w:space="0"/>
                    <w:right w:val="single" w:color="auto" w:sz="12" w:space="0"/>
                  </w:tcBorders>
                  <w:vAlign w:val="center"/>
                </w:tcPr>
                <w:p w14:paraId="0378E406">
                  <w:pPr>
                    <w:widowControl/>
                    <w:jc w:val="center"/>
                    <w:rPr>
                      <w:rFonts w:ascii="Times New Roman" w:hAnsi="Times New Roman" w:eastAsia="宋体" w:cs="Times New Roman"/>
                    </w:rPr>
                  </w:pPr>
                  <w:r>
                    <w:rPr>
                      <w:rFonts w:ascii="Times New Roman" w:hAnsi="Times New Roman" w:eastAsia="宋体" w:cs="Times New Roman"/>
                    </w:rPr>
                    <w:t>厂区</w:t>
                  </w:r>
                </w:p>
              </w:tc>
            </w:tr>
            <w:tr w14:paraId="3BAAAA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 w:hRule="atLeast"/>
                <w:jc w:val="center"/>
              </w:trPr>
              <w:tc>
                <w:tcPr>
                  <w:tcW w:w="699" w:type="pct"/>
                  <w:tcBorders>
                    <w:top w:val="single" w:color="auto" w:sz="6" w:space="0"/>
                    <w:left w:val="single" w:color="auto" w:sz="12" w:space="0"/>
                    <w:bottom w:val="single" w:color="auto" w:sz="12" w:space="0"/>
                    <w:right w:val="single" w:color="auto" w:sz="6" w:space="0"/>
                  </w:tcBorders>
                  <w:vAlign w:val="center"/>
                </w:tcPr>
                <w:p w14:paraId="0AD694CF">
                  <w:pPr>
                    <w:widowControl/>
                    <w:jc w:val="center"/>
                    <w:rPr>
                      <w:rFonts w:ascii="Times New Roman" w:hAnsi="Times New Roman" w:eastAsia="宋体" w:cs="Times New Roman"/>
                    </w:rPr>
                  </w:pPr>
                  <w:r>
                    <w:rPr>
                      <w:rFonts w:hint="eastAsia" w:ascii="Times New Roman" w:hAnsi="Times New Roman" w:eastAsia="宋体" w:cs="Times New Roman"/>
                    </w:rPr>
                    <w:t>8</w:t>
                  </w:r>
                </w:p>
              </w:tc>
              <w:tc>
                <w:tcPr>
                  <w:tcW w:w="1597" w:type="pct"/>
                  <w:tcBorders>
                    <w:top w:val="single" w:color="auto" w:sz="6" w:space="0"/>
                    <w:left w:val="single" w:color="auto" w:sz="6" w:space="0"/>
                    <w:bottom w:val="single" w:color="auto" w:sz="12" w:space="0"/>
                    <w:right w:val="single" w:color="auto" w:sz="6" w:space="0"/>
                  </w:tcBorders>
                  <w:vAlign w:val="center"/>
                </w:tcPr>
                <w:p w14:paraId="65177F85">
                  <w:pPr>
                    <w:widowControl/>
                    <w:jc w:val="center"/>
                    <w:rPr>
                      <w:rFonts w:hint="eastAsia" w:ascii="Times New Roman" w:hAnsi="Times New Roman" w:eastAsia="宋体" w:cs="Times New Roman"/>
                    </w:rPr>
                  </w:pPr>
                  <w:r>
                    <w:rPr>
                      <w:rFonts w:hint="eastAsia" w:ascii="Times New Roman" w:hAnsi="Times New Roman" w:eastAsia="宋体" w:cs="Times New Roman"/>
                    </w:rPr>
                    <w:t>运输车辆</w:t>
                  </w:r>
                </w:p>
              </w:tc>
              <w:tc>
                <w:tcPr>
                  <w:tcW w:w="902" w:type="pct"/>
                  <w:tcBorders>
                    <w:top w:val="single" w:color="auto" w:sz="6" w:space="0"/>
                    <w:left w:val="single" w:color="auto" w:sz="6" w:space="0"/>
                    <w:bottom w:val="single" w:color="auto" w:sz="12" w:space="0"/>
                    <w:right w:val="single" w:color="auto" w:sz="6" w:space="0"/>
                  </w:tcBorders>
                  <w:vAlign w:val="center"/>
                </w:tcPr>
                <w:p w14:paraId="5184059B">
                  <w:pPr>
                    <w:widowControl/>
                    <w:jc w:val="center"/>
                    <w:rPr>
                      <w:rFonts w:hint="eastAsia" w:ascii="Times New Roman" w:hAnsi="Times New Roman" w:eastAsia="宋体" w:cs="Times New Roman"/>
                    </w:rPr>
                  </w:pPr>
                  <w:r>
                    <w:rPr>
                      <w:rFonts w:hint="eastAsia" w:ascii="Times New Roman" w:hAnsi="Times New Roman" w:eastAsia="宋体" w:cs="Times New Roman"/>
                    </w:rPr>
                    <w:t>/</w:t>
                  </w:r>
                </w:p>
              </w:tc>
              <w:tc>
                <w:tcPr>
                  <w:tcW w:w="823" w:type="pct"/>
                  <w:tcBorders>
                    <w:top w:val="single" w:color="auto" w:sz="6" w:space="0"/>
                    <w:left w:val="single" w:color="auto" w:sz="6" w:space="0"/>
                    <w:bottom w:val="single" w:color="auto" w:sz="12" w:space="0"/>
                    <w:right w:val="single" w:color="auto" w:sz="6" w:space="0"/>
                  </w:tcBorders>
                  <w:vAlign w:val="center"/>
                </w:tcPr>
                <w:p w14:paraId="50D7E18D">
                  <w:pPr>
                    <w:widowControl/>
                    <w:jc w:val="center"/>
                    <w:rPr>
                      <w:rFonts w:ascii="Times New Roman" w:hAnsi="Times New Roman" w:eastAsia="宋体" w:cs="Times New Roman"/>
                    </w:rPr>
                  </w:pPr>
                  <w:r>
                    <w:rPr>
                      <w:rFonts w:hint="eastAsia" w:ascii="Times New Roman" w:hAnsi="Times New Roman" w:eastAsia="宋体" w:cs="Times New Roman"/>
                    </w:rPr>
                    <w:t>8</w:t>
                  </w:r>
                  <w:r>
                    <w:rPr>
                      <w:rFonts w:ascii="Times New Roman" w:hAnsi="Times New Roman" w:eastAsia="宋体" w:cs="Times New Roman"/>
                    </w:rPr>
                    <w:t>5</w:t>
                  </w:r>
                </w:p>
              </w:tc>
              <w:tc>
                <w:tcPr>
                  <w:tcW w:w="979" w:type="pct"/>
                  <w:vMerge w:val="continue"/>
                  <w:tcBorders>
                    <w:left w:val="single" w:color="auto" w:sz="6" w:space="0"/>
                    <w:bottom w:val="single" w:color="auto" w:sz="12" w:space="0"/>
                    <w:right w:val="single" w:color="auto" w:sz="12" w:space="0"/>
                  </w:tcBorders>
                  <w:vAlign w:val="center"/>
                </w:tcPr>
                <w:p w14:paraId="04F4BAB0">
                  <w:pPr>
                    <w:widowControl/>
                    <w:jc w:val="center"/>
                    <w:rPr>
                      <w:rFonts w:ascii="Times New Roman" w:hAnsi="Times New Roman" w:eastAsia="宋体" w:cs="Times New Roman"/>
                    </w:rPr>
                  </w:pPr>
                </w:p>
              </w:tc>
            </w:tr>
          </w:tbl>
          <w:p w14:paraId="077C3531">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为了减轻设备运行产生的噪声对周围环境的影响，建设方拟采取如下降噪措施：</w:t>
            </w:r>
          </w:p>
          <w:p w14:paraId="43115EB6">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1）设备减震降噪措施，购买的设备均为低噪声的设备，各生产设备设置台基减震、橡胶减震、接头及减震垫等减震设施。并对厂房进行整体封闭，降低设备的运行噪声。在生产运转时定期对设备进行检查，保证设备正常运转。</w:t>
            </w:r>
          </w:p>
          <w:p w14:paraId="0C6B31A7">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（2）合理布局，所有产噪设备均布置在厂房车间内，</w:t>
            </w:r>
            <w:r>
              <w:rPr>
                <w:rFonts w:hint="eastAsia" w:ascii="Times New Roman" w:hAnsi="Times New Roman" w:eastAsia="宋体" w:cs="Times New Roman"/>
                <w:sz w:val="24"/>
              </w:rPr>
              <w:t>将高噪声的鄂式破碎机、振动筛、制砂机等设备进行基础减震，安装消声器等措施</w:t>
            </w:r>
            <w:r>
              <w:rPr>
                <w:rFonts w:ascii="Times New Roman" w:hAnsi="Times New Roman" w:eastAsia="宋体" w:cs="Times New Roman"/>
                <w:sz w:val="24"/>
              </w:rPr>
              <w:t>，利用厂房进行隔声减少对周边环境的影响。</w:t>
            </w:r>
          </w:p>
          <w:p w14:paraId="075C9CBA">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（3）加强管理，建立设备定期维护，保养的管理制度，以防止设备故障形成的非正常生产噪声，同时确保环保措施发挥最佳有效的功能。加强职工环保意识教育，提倡文明生产，防止人为噪声。</w:t>
            </w:r>
          </w:p>
          <w:p w14:paraId="06F542DF">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综上所述，在严格采取上述隔声降噪措施后，经其距离衰减、厂界围墙隔声后，其厂界噪声可达到《工业企业厂界环境噪声排放标准》（GB 12348-2008）中2标准昼间60B（A）、夜间50B（A）的要求，从而实现达标排放。</w:t>
            </w:r>
          </w:p>
          <w:p w14:paraId="0A131A70">
            <w:pPr>
              <w:tabs>
                <w:tab w:val="left" w:pos="5670"/>
              </w:tabs>
              <w:spacing w:line="480" w:lineRule="exact"/>
              <w:ind w:firstLine="569" w:firstLineChars="236"/>
              <w:rPr>
                <w:rFonts w:ascii="Times New Roman" w:hAnsi="Times New Roman" w:eastAsia="宋体" w:cs="Times New Roman"/>
                <w:b/>
                <w:sz w:val="24"/>
              </w:rPr>
            </w:pPr>
            <w:r>
              <w:rPr>
                <w:rFonts w:ascii="Times New Roman" w:hAnsi="Times New Roman" w:eastAsia="宋体" w:cs="Times New Roman"/>
                <w:b/>
                <w:sz w:val="24"/>
              </w:rPr>
              <w:t>4、固体废弃物的产生及处置</w:t>
            </w:r>
          </w:p>
          <w:p w14:paraId="19EA01B9">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项目运营产生的固废主要为生活垃圾、</w:t>
            </w:r>
            <w:r>
              <w:rPr>
                <w:rFonts w:hint="eastAsia" w:ascii="Times New Roman" w:hAnsi="Times New Roman" w:eastAsia="宋体" w:cs="Times New Roman"/>
                <w:sz w:val="24"/>
                <w:szCs w:val="24"/>
              </w:rPr>
              <w:t>磁选废铁渣、循环沉淀池淤泥、</w:t>
            </w:r>
            <w:r>
              <w:rPr>
                <w:rFonts w:ascii="Times New Roman" w:hAnsi="Times New Roman" w:eastAsia="宋体" w:cs="Times New Roman"/>
                <w:sz w:val="24"/>
                <w:szCs w:val="24"/>
              </w:rPr>
              <w:t>轮胎冲洗池和雨水沉淀池淤泥</w:t>
            </w:r>
            <w:r>
              <w:rPr>
                <w:rFonts w:hint="eastAsia" w:ascii="Times New Roman" w:hAnsi="Times New Roman" w:eastAsia="宋体" w:cs="Times New Roman"/>
                <w:sz w:val="24"/>
                <w:szCs w:val="24"/>
              </w:rPr>
              <w:t>、维修废物</w:t>
            </w:r>
            <w:r>
              <w:rPr>
                <w:rFonts w:ascii="Times New Roman" w:hAnsi="Times New Roman" w:eastAsia="宋体" w:cs="Times New Roman"/>
                <w:sz w:val="24"/>
                <w:szCs w:val="24"/>
              </w:rPr>
              <w:t>，产生情况如下：</w:t>
            </w:r>
          </w:p>
          <w:p w14:paraId="4150D12D">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（1）一般工业固废</w:t>
            </w:r>
          </w:p>
          <w:p w14:paraId="54758350">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1 \* GB3 </w:instrText>
            </w:r>
            <w:r>
              <w:rPr>
                <w:rFonts w:ascii="Times New Roman" w:hAnsi="Times New Roman" w:eastAsia="宋体" w:cs="Times New Roman"/>
                <w:sz w:val="24"/>
              </w:rPr>
              <w:fldChar w:fldCharType="separate"/>
            </w:r>
            <w:r>
              <w:rPr>
                <w:rFonts w:hint="eastAsia" w:ascii="宋体" w:hAnsi="宋体" w:eastAsia="宋体" w:cs="宋体"/>
                <w:sz w:val="24"/>
              </w:rPr>
              <w:t>①</w:t>
            </w:r>
            <w:r>
              <w:rPr>
                <w:rFonts w:ascii="Times New Roman" w:hAnsi="Times New Roman" w:eastAsia="宋体" w:cs="Times New Roman"/>
                <w:sz w:val="24"/>
              </w:rPr>
              <w:fldChar w:fldCharType="end"/>
            </w:r>
            <w:r>
              <w:rPr>
                <w:rFonts w:hint="eastAsia" w:ascii="Times New Roman" w:hAnsi="Times New Roman" w:eastAsia="宋体" w:cs="Times New Roman"/>
                <w:sz w:val="24"/>
                <w:szCs w:val="24"/>
              </w:rPr>
              <w:t>磁选废铁渣、</w:t>
            </w:r>
            <w:r>
              <w:rPr>
                <w:rFonts w:hint="eastAsia" w:ascii="Times New Roman" w:hAnsi="Times New Roman" w:eastAsia="宋体" w:cs="Times New Roman"/>
                <w:sz w:val="24"/>
                <w:szCs w:val="24"/>
                <w:lang w:eastAsia="zh-CN"/>
              </w:rPr>
              <w:t>粉类</w:t>
            </w:r>
            <w:r>
              <w:rPr>
                <w:rFonts w:hint="eastAsia" w:ascii="Times New Roman" w:hAnsi="Times New Roman" w:eastAsia="宋体" w:cs="Times New Roman"/>
                <w:sz w:val="24"/>
                <w:szCs w:val="24"/>
              </w:rPr>
              <w:t>废料</w:t>
            </w:r>
          </w:p>
          <w:p w14:paraId="3B3B7758">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项目生产过程中除铁工序将产生少量废铁渣、废料（木材、塑料等），根据建设单位提供的资料，磁选废铁渣、</w:t>
            </w:r>
            <w:r>
              <w:rPr>
                <w:rFonts w:hint="eastAsia" w:ascii="Times New Roman" w:hAnsi="Times New Roman" w:eastAsia="宋体" w:cs="Times New Roman"/>
                <w:sz w:val="24"/>
                <w:szCs w:val="24"/>
                <w:lang w:eastAsia="zh-CN"/>
              </w:rPr>
              <w:t>粉类</w:t>
            </w:r>
            <w:r>
              <w:rPr>
                <w:rFonts w:hint="eastAsia" w:ascii="Times New Roman" w:hAnsi="Times New Roman" w:eastAsia="宋体" w:cs="Times New Roman"/>
                <w:sz w:val="24"/>
                <w:szCs w:val="24"/>
              </w:rPr>
              <w:t>废料产量约为</w:t>
            </w:r>
            <w:r>
              <w:rPr>
                <w:rFonts w:ascii="Times New Roman" w:hAnsi="Times New Roman" w:eastAsia="宋体" w:cs="Times New Roman"/>
                <w:sz w:val="24"/>
                <w:szCs w:val="24"/>
              </w:rPr>
              <w:t>5</w:t>
            </w:r>
            <w:r>
              <w:rPr>
                <w:rFonts w:hint="eastAsia" w:ascii="Times New Roman" w:hAnsi="Times New Roman" w:eastAsia="宋体" w:cs="Times New Roman"/>
                <w:sz w:val="24"/>
                <w:szCs w:val="24"/>
              </w:rPr>
              <w:t>t</w:t>
            </w:r>
            <w:r>
              <w:rPr>
                <w:rFonts w:ascii="Times New Roman" w:hAnsi="Times New Roman" w:eastAsia="宋体" w:cs="Times New Roman"/>
                <w:sz w:val="24"/>
                <w:szCs w:val="24"/>
              </w:rPr>
              <w:t>/</w:t>
            </w:r>
            <w:r>
              <w:rPr>
                <w:rFonts w:hint="eastAsia" w:ascii="Times New Roman" w:hAnsi="Times New Roman" w:eastAsia="宋体" w:cs="Times New Roman"/>
                <w:sz w:val="24"/>
                <w:szCs w:val="24"/>
              </w:rPr>
              <w:t>a，皆暂存于料仓，由废品回收公司回收处理。</w:t>
            </w:r>
          </w:p>
          <w:p w14:paraId="735E384B">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②</w:t>
            </w:r>
            <w:r>
              <w:rPr>
                <w:rFonts w:ascii="Times New Roman" w:hAnsi="Times New Roman" w:eastAsia="宋体" w:cs="Times New Roman"/>
                <w:sz w:val="24"/>
              </w:rPr>
              <w:t>生产废水</w:t>
            </w:r>
            <w:r>
              <w:rPr>
                <w:rFonts w:hint="eastAsia" w:ascii="Times New Roman" w:hAnsi="Times New Roman" w:eastAsia="宋体" w:cs="Times New Roman"/>
                <w:sz w:val="24"/>
              </w:rPr>
              <w:t>循环</w:t>
            </w:r>
            <w:r>
              <w:rPr>
                <w:rFonts w:ascii="Times New Roman" w:hAnsi="Times New Roman" w:eastAsia="宋体" w:cs="Times New Roman"/>
                <w:sz w:val="24"/>
              </w:rPr>
              <w:t>沉淀池淤泥</w:t>
            </w:r>
          </w:p>
          <w:p w14:paraId="00A28079">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w:t>
            </w:r>
            <w:r>
              <w:rPr>
                <w:rFonts w:hint="eastAsia" w:ascii="Times New Roman" w:hAnsi="Times New Roman" w:eastAsia="宋体" w:cs="Times New Roman"/>
                <w:sz w:val="24"/>
                <w:szCs w:val="24"/>
              </w:rPr>
              <w:t>湿法作业</w:t>
            </w:r>
            <w:r>
              <w:rPr>
                <w:rFonts w:ascii="Times New Roman" w:hAnsi="Times New Roman" w:eastAsia="宋体" w:cs="Times New Roman"/>
                <w:sz w:val="24"/>
                <w:szCs w:val="24"/>
              </w:rPr>
              <w:t>将产品中泥混合水洗脱出来，湿法作业废水经管道收集至沉淀池处理后成为淤泥，据业主介绍其产生量约为污水量的0.1‰，淤泥产生量约28.86t/a，项目采取定期清掏，清掏频次每</w:t>
            </w:r>
            <w:r>
              <w:rPr>
                <w:rFonts w:hint="eastAsia" w:ascii="Times New Roman" w:hAnsi="Times New Roman" w:eastAsia="宋体" w:cs="Times New Roman"/>
                <w:sz w:val="24"/>
                <w:szCs w:val="24"/>
              </w:rPr>
              <w:t>月</w:t>
            </w:r>
            <w:r>
              <w:rPr>
                <w:rFonts w:ascii="Times New Roman" w:hAnsi="Times New Roman" w:eastAsia="宋体" w:cs="Times New Roman"/>
                <w:sz w:val="24"/>
                <w:szCs w:val="24"/>
              </w:rPr>
              <w:t>清掏一次，清掏淤泥目前采用自然干化后</w:t>
            </w:r>
            <w:r>
              <w:rPr>
                <w:rFonts w:hint="eastAsia" w:ascii="Times New Roman" w:hAnsi="Times New Roman" w:eastAsia="宋体" w:cs="Times New Roman"/>
                <w:sz w:val="24"/>
                <w:szCs w:val="24"/>
              </w:rPr>
              <w:t>回填中铁十五局弃土场</w:t>
            </w:r>
            <w:r>
              <w:rPr>
                <w:rFonts w:ascii="Times New Roman" w:hAnsi="Times New Roman" w:eastAsia="宋体" w:cs="Times New Roman"/>
                <w:sz w:val="24"/>
                <w:szCs w:val="24"/>
              </w:rPr>
              <w:t>。</w:t>
            </w:r>
          </w:p>
          <w:p w14:paraId="752752BC">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③</w:t>
            </w:r>
            <w:r>
              <w:rPr>
                <w:rFonts w:ascii="Times New Roman" w:hAnsi="Times New Roman" w:eastAsia="宋体" w:cs="Times New Roman"/>
                <w:sz w:val="24"/>
                <w:szCs w:val="24"/>
              </w:rPr>
              <w:t>轮胎冲洗池和雨水沉淀池淤泥</w:t>
            </w:r>
          </w:p>
          <w:p w14:paraId="009DD9A8">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项目轮胎冲洗池和雨水沉淀池运行时将产生沉淀淤泥，主要为</w:t>
            </w:r>
            <w:r>
              <w:rPr>
                <w:rFonts w:hint="eastAsia" w:ascii="Times New Roman" w:hAnsi="Times New Roman" w:eastAsia="宋体" w:cs="Times New Roman"/>
                <w:sz w:val="24"/>
                <w:szCs w:val="24"/>
              </w:rPr>
              <w:t>淤泥</w:t>
            </w:r>
            <w:r>
              <w:rPr>
                <w:rFonts w:ascii="Times New Roman" w:hAnsi="Times New Roman" w:eastAsia="宋体" w:cs="Times New Roman"/>
                <w:sz w:val="24"/>
                <w:szCs w:val="24"/>
              </w:rPr>
              <w:t>，项目采取定期清掏，约每年一次，产生量约1t/a，清掏后合并</w:t>
            </w:r>
            <w:r>
              <w:rPr>
                <w:rFonts w:ascii="Times New Roman" w:hAnsi="Times New Roman" w:eastAsia="宋体" w:cs="Times New Roman"/>
                <w:sz w:val="24"/>
              </w:rPr>
              <w:t>沉淀池淤泥一并干化</w:t>
            </w:r>
            <w:r>
              <w:rPr>
                <w:rFonts w:hint="eastAsia" w:ascii="Times New Roman" w:hAnsi="Times New Roman" w:eastAsia="宋体" w:cs="Times New Roman"/>
                <w:sz w:val="24"/>
                <w:szCs w:val="24"/>
              </w:rPr>
              <w:t>回填中铁十五局弃土场</w:t>
            </w:r>
            <w:r>
              <w:rPr>
                <w:rFonts w:ascii="Times New Roman" w:hAnsi="Times New Roman" w:eastAsia="宋体" w:cs="Times New Roman"/>
                <w:sz w:val="24"/>
                <w:szCs w:val="24"/>
              </w:rPr>
              <w:t>。</w:t>
            </w:r>
          </w:p>
          <w:p w14:paraId="42B3BB80">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④维修废物</w:t>
            </w:r>
          </w:p>
          <w:p w14:paraId="042D038F">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项目机械设备维修将产生少量维修废物及含油抹布等，产生量约0</w:t>
            </w:r>
            <w:r>
              <w:rPr>
                <w:rFonts w:ascii="Times New Roman" w:hAnsi="Times New Roman" w:eastAsia="宋体" w:cs="Times New Roman"/>
                <w:sz w:val="24"/>
                <w:szCs w:val="24"/>
              </w:rPr>
              <w:t>.1</w:t>
            </w:r>
            <w:r>
              <w:rPr>
                <w:rFonts w:hint="eastAsia" w:ascii="Times New Roman" w:hAnsi="Times New Roman" w:eastAsia="宋体" w:cs="Times New Roman"/>
                <w:sz w:val="24"/>
                <w:szCs w:val="24"/>
              </w:rPr>
              <w:t>t</w:t>
            </w:r>
            <w:r>
              <w:rPr>
                <w:rFonts w:ascii="Times New Roman" w:hAnsi="Times New Roman" w:eastAsia="宋体" w:cs="Times New Roman"/>
                <w:sz w:val="24"/>
                <w:szCs w:val="24"/>
              </w:rPr>
              <w:t>/</w:t>
            </w:r>
            <w:r>
              <w:rPr>
                <w:rFonts w:hint="eastAsia" w:ascii="Times New Roman" w:hAnsi="Times New Roman" w:eastAsia="宋体" w:cs="Times New Roman"/>
                <w:sz w:val="24"/>
                <w:szCs w:val="24"/>
              </w:rPr>
              <w:t>a。</w:t>
            </w:r>
          </w:p>
          <w:p w14:paraId="4DEE2CA9">
            <w:pPr>
              <w:adjustRightInd w:val="0"/>
              <w:snapToGrid w:val="0"/>
              <w:spacing w:line="480" w:lineRule="exact"/>
              <w:ind w:firstLine="480" w:firstLineChars="200"/>
              <w:rPr>
                <w:rFonts w:ascii="Times New Roman" w:hAnsi="Times New Roman" w:eastAsia="宋体" w:cs="Times New Roman"/>
                <w:color w:val="FF0000"/>
                <w:sz w:val="24"/>
                <w:szCs w:val="24"/>
              </w:rPr>
            </w:pPr>
            <w:r>
              <w:rPr>
                <w:rFonts w:hint="eastAsia" w:ascii="Times New Roman" w:hAnsi="Times New Roman" w:eastAsia="宋体" w:cs="Times New Roman"/>
                <w:color w:val="FF0000"/>
                <w:sz w:val="24"/>
                <w:szCs w:val="24"/>
              </w:rPr>
              <w:t>含油抹布：根据《国家危险废物名录》(2016版</w:t>
            </w:r>
            <w:r>
              <w:rPr>
                <w:rFonts w:hint="eastAsia" w:ascii="Times New Roman" w:hAnsi="Times New Roman" w:eastAsia="宋体" w:cs="Times New Roman"/>
                <w:color w:val="FF0000"/>
                <w:sz w:val="24"/>
                <w:szCs w:val="24"/>
                <w:lang w:eastAsia="zh-CN"/>
              </w:rPr>
              <w:t>）</w:t>
            </w:r>
            <w:r>
              <w:rPr>
                <w:rFonts w:hint="eastAsia" w:ascii="Times New Roman" w:hAnsi="Times New Roman" w:eastAsia="宋体" w:cs="Times New Roman"/>
                <w:color w:val="FF0000"/>
                <w:sz w:val="24"/>
                <w:szCs w:val="24"/>
              </w:rPr>
              <w:t>，含油抹布</w:t>
            </w:r>
            <w:r>
              <w:rPr>
                <w:rFonts w:hint="eastAsia" w:ascii="Times New Roman" w:hAnsi="Times New Roman" w:eastAsia="宋体" w:cs="Times New Roman"/>
                <w:color w:val="FF0000"/>
                <w:sz w:val="24"/>
                <w:szCs w:val="24"/>
                <w:lang w:eastAsia="zh-CN"/>
              </w:rPr>
              <w:t>（</w:t>
            </w:r>
            <w:r>
              <w:rPr>
                <w:rFonts w:hint="eastAsia" w:ascii="Times New Roman" w:hAnsi="Times New Roman" w:eastAsia="宋体" w:cs="Times New Roman"/>
                <w:color w:val="FF0000"/>
                <w:sz w:val="24"/>
                <w:szCs w:val="24"/>
              </w:rPr>
              <w:t>废物代码900-041-49</w:t>
            </w:r>
            <w:r>
              <w:rPr>
                <w:rFonts w:hint="eastAsia" w:ascii="Times New Roman" w:hAnsi="Times New Roman" w:eastAsia="宋体" w:cs="Times New Roman"/>
                <w:color w:val="FF0000"/>
                <w:sz w:val="24"/>
                <w:szCs w:val="24"/>
                <w:lang w:eastAsia="zh-CN"/>
              </w:rPr>
              <w:t>）</w:t>
            </w:r>
            <w:r>
              <w:rPr>
                <w:rFonts w:hint="eastAsia" w:ascii="Times New Roman" w:hAnsi="Times New Roman" w:eastAsia="宋体" w:cs="Times New Roman"/>
                <w:color w:val="FF0000"/>
                <w:sz w:val="24"/>
                <w:szCs w:val="24"/>
              </w:rPr>
              <w:t>，皆临时贮存在危废暂存间中，最终交由具有危险废物处置资质的单位妥善处置。</w:t>
            </w:r>
          </w:p>
          <w:p w14:paraId="45343393">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（2）生活垃圾</w:t>
            </w:r>
          </w:p>
          <w:p w14:paraId="7EAB629E">
            <w:pPr>
              <w:pStyle w:val="9"/>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项目生活垃圾由项目员工共6人，人均垃圾产生量以0.5kg/d计算，则垃圾产生量为3kg/d，0.9t/a。生活垃圾采用垃圾桶收集后，</w:t>
            </w:r>
            <w:r>
              <w:rPr>
                <w:rFonts w:hint="eastAsia" w:ascii="Times New Roman" w:hAnsi="Times New Roman" w:eastAsia="宋体" w:cs="Times New Roman"/>
                <w:sz w:val="24"/>
                <w:szCs w:val="24"/>
              </w:rPr>
              <w:t>自行清运至垃圾收集点，</w:t>
            </w:r>
            <w:r>
              <w:rPr>
                <w:rFonts w:ascii="Times New Roman" w:hAnsi="Times New Roman" w:eastAsia="宋体" w:cs="Times New Roman"/>
                <w:sz w:val="24"/>
                <w:szCs w:val="24"/>
              </w:rPr>
              <w:t>定期由环卫部门统一清运处理。</w:t>
            </w:r>
          </w:p>
          <w:p w14:paraId="0FF34DE6">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本项目固废</w:t>
            </w:r>
            <w:r>
              <w:rPr>
                <w:rFonts w:hint="eastAsia" w:ascii="Times New Roman" w:hAnsi="Times New Roman" w:eastAsia="宋体" w:cs="Times New Roman"/>
                <w:sz w:val="24"/>
                <w:szCs w:val="24"/>
              </w:rPr>
              <w:t>产生情况</w:t>
            </w:r>
            <w:r>
              <w:rPr>
                <w:rFonts w:ascii="Times New Roman" w:hAnsi="Times New Roman" w:eastAsia="宋体" w:cs="Times New Roman"/>
                <w:sz w:val="24"/>
                <w:szCs w:val="24"/>
              </w:rPr>
              <w:t>见表5-7。</w:t>
            </w:r>
          </w:p>
          <w:p w14:paraId="040025D5">
            <w:pPr>
              <w:tabs>
                <w:tab w:val="left" w:pos="5670"/>
              </w:tabs>
              <w:spacing w:line="480" w:lineRule="exact"/>
              <w:ind w:firstLine="480" w:firstLineChars="200"/>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表5-7  本项目固废</w:t>
            </w:r>
            <w:r>
              <w:rPr>
                <w:rFonts w:hint="eastAsia" w:ascii="Times New Roman" w:hAnsi="Times New Roman" w:eastAsia="宋体" w:cs="Times New Roman"/>
                <w:snapToGrid w:val="0"/>
                <w:kern w:val="0"/>
                <w:sz w:val="24"/>
                <w:szCs w:val="24"/>
              </w:rPr>
              <w:t>产生情况</w:t>
            </w:r>
            <w:r>
              <w:rPr>
                <w:rFonts w:ascii="Times New Roman" w:hAnsi="Times New Roman" w:eastAsia="宋体" w:cs="Times New Roman"/>
                <w:snapToGrid w:val="0"/>
                <w:kern w:val="0"/>
                <w:sz w:val="24"/>
                <w:szCs w:val="24"/>
              </w:rPr>
              <w:t>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156"/>
              <w:gridCol w:w="1295"/>
              <w:gridCol w:w="1438"/>
              <w:gridCol w:w="1232"/>
              <w:gridCol w:w="1042"/>
              <w:gridCol w:w="1437"/>
            </w:tblGrid>
            <w:tr w14:paraId="580898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12" w:type="pct"/>
                  <w:vMerge w:val="restart"/>
                  <w:shd w:val="clear" w:color="auto" w:fill="auto"/>
                  <w:vAlign w:val="center"/>
                </w:tcPr>
                <w:p w14:paraId="14B8157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698" w:type="pct"/>
                  <w:vMerge w:val="restart"/>
                  <w:shd w:val="clear" w:color="auto" w:fill="auto"/>
                  <w:vAlign w:val="center"/>
                </w:tcPr>
                <w:p w14:paraId="751CAC8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固废名称</w:t>
                  </w:r>
                </w:p>
              </w:tc>
              <w:tc>
                <w:tcPr>
                  <w:tcW w:w="782" w:type="pct"/>
                  <w:vMerge w:val="restart"/>
                  <w:shd w:val="clear" w:color="auto" w:fill="auto"/>
                  <w:vAlign w:val="center"/>
                </w:tcPr>
                <w:p w14:paraId="6813B49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产生工序</w:t>
                  </w:r>
                </w:p>
              </w:tc>
              <w:tc>
                <w:tcPr>
                  <w:tcW w:w="868" w:type="pct"/>
                  <w:vMerge w:val="restart"/>
                  <w:vAlign w:val="center"/>
                </w:tcPr>
                <w:p w14:paraId="5705221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预测产生量</w:t>
                  </w:r>
                </w:p>
              </w:tc>
              <w:tc>
                <w:tcPr>
                  <w:tcW w:w="744" w:type="pct"/>
                  <w:vMerge w:val="restart"/>
                  <w:shd w:val="clear" w:color="auto" w:fill="auto"/>
                  <w:vAlign w:val="center"/>
                </w:tcPr>
                <w:p w14:paraId="7AF9762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固废类别</w:t>
                  </w:r>
                </w:p>
              </w:tc>
              <w:tc>
                <w:tcPr>
                  <w:tcW w:w="629" w:type="pct"/>
                  <w:vMerge w:val="restart"/>
                  <w:shd w:val="clear" w:color="auto" w:fill="auto"/>
                  <w:vAlign w:val="center"/>
                </w:tcPr>
                <w:p w14:paraId="4F3710B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处置方式</w:t>
                  </w:r>
                </w:p>
              </w:tc>
              <w:tc>
                <w:tcPr>
                  <w:tcW w:w="867" w:type="pct"/>
                  <w:vMerge w:val="restart"/>
                  <w:shd w:val="clear" w:color="auto" w:fill="auto"/>
                  <w:vAlign w:val="center"/>
                </w:tcPr>
                <w:p w14:paraId="0E89D04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备注</w:t>
                  </w:r>
                </w:p>
              </w:tc>
            </w:tr>
            <w:tr w14:paraId="50FA36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12" w:type="pct"/>
                  <w:vMerge w:val="continue"/>
                  <w:shd w:val="clear" w:color="auto" w:fill="auto"/>
                  <w:vAlign w:val="center"/>
                </w:tcPr>
                <w:p w14:paraId="5CCE41E2">
                  <w:pPr>
                    <w:adjustRightInd w:val="0"/>
                    <w:snapToGrid w:val="0"/>
                    <w:jc w:val="center"/>
                    <w:rPr>
                      <w:rFonts w:ascii="Times New Roman" w:hAnsi="Times New Roman" w:eastAsia="宋体" w:cs="Times New Roman"/>
                      <w:szCs w:val="21"/>
                    </w:rPr>
                  </w:pPr>
                </w:p>
              </w:tc>
              <w:tc>
                <w:tcPr>
                  <w:tcW w:w="698" w:type="pct"/>
                  <w:vMerge w:val="continue"/>
                  <w:shd w:val="clear" w:color="auto" w:fill="auto"/>
                  <w:vAlign w:val="center"/>
                </w:tcPr>
                <w:p w14:paraId="6FC25277">
                  <w:pPr>
                    <w:adjustRightInd w:val="0"/>
                    <w:snapToGrid w:val="0"/>
                    <w:jc w:val="center"/>
                    <w:rPr>
                      <w:rFonts w:ascii="Times New Roman" w:hAnsi="Times New Roman" w:eastAsia="宋体" w:cs="Times New Roman"/>
                      <w:szCs w:val="21"/>
                    </w:rPr>
                  </w:pPr>
                </w:p>
              </w:tc>
              <w:tc>
                <w:tcPr>
                  <w:tcW w:w="782" w:type="pct"/>
                  <w:vMerge w:val="continue"/>
                  <w:shd w:val="clear" w:color="auto" w:fill="auto"/>
                  <w:vAlign w:val="center"/>
                </w:tcPr>
                <w:p w14:paraId="0CE2977E">
                  <w:pPr>
                    <w:adjustRightInd w:val="0"/>
                    <w:snapToGrid w:val="0"/>
                    <w:jc w:val="center"/>
                    <w:rPr>
                      <w:rFonts w:ascii="Times New Roman" w:hAnsi="Times New Roman" w:eastAsia="宋体" w:cs="Times New Roman"/>
                      <w:szCs w:val="21"/>
                    </w:rPr>
                  </w:pPr>
                </w:p>
              </w:tc>
              <w:tc>
                <w:tcPr>
                  <w:tcW w:w="868" w:type="pct"/>
                  <w:vMerge w:val="continue"/>
                  <w:vAlign w:val="center"/>
                </w:tcPr>
                <w:p w14:paraId="6BDA84C7">
                  <w:pPr>
                    <w:adjustRightInd w:val="0"/>
                    <w:snapToGrid w:val="0"/>
                    <w:jc w:val="center"/>
                    <w:rPr>
                      <w:rFonts w:ascii="Times New Roman" w:hAnsi="Times New Roman" w:eastAsia="宋体" w:cs="Times New Roman"/>
                      <w:szCs w:val="21"/>
                    </w:rPr>
                  </w:pPr>
                </w:p>
              </w:tc>
              <w:tc>
                <w:tcPr>
                  <w:tcW w:w="744" w:type="pct"/>
                  <w:vMerge w:val="continue"/>
                  <w:shd w:val="clear" w:color="auto" w:fill="auto"/>
                  <w:vAlign w:val="center"/>
                </w:tcPr>
                <w:p w14:paraId="3924B57D">
                  <w:pPr>
                    <w:adjustRightInd w:val="0"/>
                    <w:snapToGrid w:val="0"/>
                    <w:jc w:val="center"/>
                    <w:rPr>
                      <w:rFonts w:ascii="Times New Roman" w:hAnsi="Times New Roman" w:eastAsia="宋体" w:cs="Times New Roman"/>
                      <w:szCs w:val="21"/>
                    </w:rPr>
                  </w:pPr>
                </w:p>
              </w:tc>
              <w:tc>
                <w:tcPr>
                  <w:tcW w:w="629" w:type="pct"/>
                  <w:vMerge w:val="continue"/>
                  <w:shd w:val="clear" w:color="auto" w:fill="auto"/>
                  <w:vAlign w:val="center"/>
                </w:tcPr>
                <w:p w14:paraId="5053452A">
                  <w:pPr>
                    <w:adjustRightInd w:val="0"/>
                    <w:snapToGrid w:val="0"/>
                    <w:jc w:val="center"/>
                    <w:rPr>
                      <w:rFonts w:ascii="Times New Roman" w:hAnsi="Times New Roman" w:eastAsia="宋体" w:cs="Times New Roman"/>
                      <w:szCs w:val="21"/>
                    </w:rPr>
                  </w:pPr>
                </w:p>
              </w:tc>
              <w:tc>
                <w:tcPr>
                  <w:tcW w:w="867" w:type="pct"/>
                  <w:vMerge w:val="continue"/>
                  <w:shd w:val="clear" w:color="auto" w:fill="auto"/>
                  <w:vAlign w:val="center"/>
                </w:tcPr>
                <w:p w14:paraId="25914469">
                  <w:pPr>
                    <w:adjustRightInd w:val="0"/>
                    <w:snapToGrid w:val="0"/>
                    <w:jc w:val="center"/>
                    <w:rPr>
                      <w:rFonts w:ascii="Times New Roman" w:hAnsi="Times New Roman" w:eastAsia="宋体" w:cs="Times New Roman"/>
                      <w:szCs w:val="21"/>
                    </w:rPr>
                  </w:pPr>
                </w:p>
              </w:tc>
            </w:tr>
            <w:tr w14:paraId="75F525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12" w:type="pct"/>
                  <w:shd w:val="clear" w:color="auto" w:fill="auto"/>
                  <w:vAlign w:val="center"/>
                </w:tcPr>
                <w:p w14:paraId="29F87C9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698" w:type="pct"/>
                  <w:shd w:val="clear" w:color="auto" w:fill="auto"/>
                  <w:vAlign w:val="center"/>
                </w:tcPr>
                <w:p w14:paraId="3CD1A8D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磁选废铁渣、分类废料</w:t>
                  </w:r>
                </w:p>
              </w:tc>
              <w:tc>
                <w:tcPr>
                  <w:tcW w:w="782" w:type="pct"/>
                  <w:shd w:val="clear" w:color="auto" w:fill="auto"/>
                  <w:vAlign w:val="center"/>
                </w:tcPr>
                <w:p w14:paraId="5246379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bCs/>
                      <w:szCs w:val="21"/>
                    </w:rPr>
                    <w:t>除铁</w:t>
                  </w:r>
                </w:p>
              </w:tc>
              <w:tc>
                <w:tcPr>
                  <w:tcW w:w="868" w:type="pct"/>
                  <w:vAlign w:val="center"/>
                </w:tcPr>
                <w:p w14:paraId="6ACF514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5t/a</w:t>
                  </w:r>
                </w:p>
              </w:tc>
              <w:tc>
                <w:tcPr>
                  <w:tcW w:w="744" w:type="pct"/>
                  <w:shd w:val="clear" w:color="auto" w:fill="auto"/>
                  <w:vAlign w:val="center"/>
                </w:tcPr>
                <w:p w14:paraId="2E6DFE3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一般固废</w:t>
                  </w:r>
                </w:p>
              </w:tc>
              <w:tc>
                <w:tcPr>
                  <w:tcW w:w="629" w:type="pct"/>
                  <w:shd w:val="clear" w:color="auto" w:fill="auto"/>
                  <w:vAlign w:val="center"/>
                </w:tcPr>
                <w:p w14:paraId="4CBD58C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废品公司</w:t>
                  </w:r>
                  <w:r>
                    <w:rPr>
                      <w:rFonts w:ascii="Times New Roman" w:hAnsi="Times New Roman" w:eastAsia="宋体" w:cs="Times New Roman"/>
                      <w:szCs w:val="21"/>
                    </w:rPr>
                    <w:t>回收外售</w:t>
                  </w:r>
                </w:p>
              </w:tc>
              <w:tc>
                <w:tcPr>
                  <w:tcW w:w="867" w:type="pct"/>
                  <w:shd w:val="clear" w:color="auto" w:fill="auto"/>
                  <w:vAlign w:val="center"/>
                </w:tcPr>
                <w:p w14:paraId="1703558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木材、塑料、铁</w:t>
                  </w:r>
                </w:p>
              </w:tc>
            </w:tr>
            <w:tr w14:paraId="6E34C9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12" w:type="pct"/>
                  <w:shd w:val="clear" w:color="auto" w:fill="auto"/>
                  <w:vAlign w:val="center"/>
                </w:tcPr>
                <w:p w14:paraId="58B39E4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w:t>
                  </w:r>
                </w:p>
              </w:tc>
              <w:tc>
                <w:tcPr>
                  <w:tcW w:w="698" w:type="pct"/>
                  <w:shd w:val="clear" w:color="auto" w:fill="auto"/>
                  <w:vAlign w:val="center"/>
                </w:tcPr>
                <w:p w14:paraId="7DCB5B8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循环沉淀池淤泥</w:t>
                  </w:r>
                </w:p>
              </w:tc>
              <w:tc>
                <w:tcPr>
                  <w:tcW w:w="782" w:type="pct"/>
                  <w:shd w:val="clear" w:color="auto" w:fill="auto"/>
                  <w:vAlign w:val="center"/>
                </w:tcPr>
                <w:p w14:paraId="7D847A6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沉淀回用</w:t>
                  </w:r>
                </w:p>
              </w:tc>
              <w:tc>
                <w:tcPr>
                  <w:tcW w:w="868" w:type="pct"/>
                  <w:vAlign w:val="center"/>
                </w:tcPr>
                <w:p w14:paraId="5E57B7C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28.86t/a</w:t>
                  </w:r>
                </w:p>
              </w:tc>
              <w:tc>
                <w:tcPr>
                  <w:tcW w:w="744" w:type="pct"/>
                  <w:shd w:val="clear" w:color="auto" w:fill="auto"/>
                  <w:vAlign w:val="center"/>
                </w:tcPr>
                <w:p w14:paraId="66320D5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一般固废</w:t>
                  </w:r>
                </w:p>
              </w:tc>
              <w:tc>
                <w:tcPr>
                  <w:tcW w:w="629" w:type="pct"/>
                  <w:shd w:val="clear" w:color="auto" w:fill="auto"/>
                  <w:vAlign w:val="center"/>
                </w:tcPr>
                <w:p w14:paraId="2937418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回填中铁十五局弃土场</w:t>
                  </w:r>
                </w:p>
              </w:tc>
              <w:tc>
                <w:tcPr>
                  <w:tcW w:w="867" w:type="pct"/>
                  <w:shd w:val="clear" w:color="auto" w:fill="auto"/>
                  <w:vAlign w:val="center"/>
                </w:tcPr>
                <w:p w14:paraId="47D9162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淤泥</w:t>
                  </w:r>
                </w:p>
              </w:tc>
            </w:tr>
            <w:tr w14:paraId="1D31FF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12" w:type="pct"/>
                  <w:shd w:val="clear" w:color="auto" w:fill="auto"/>
                  <w:vAlign w:val="center"/>
                </w:tcPr>
                <w:p w14:paraId="7A23888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w:t>
                  </w:r>
                </w:p>
              </w:tc>
              <w:tc>
                <w:tcPr>
                  <w:tcW w:w="698" w:type="pct"/>
                  <w:shd w:val="clear" w:color="auto" w:fill="auto"/>
                  <w:vAlign w:val="center"/>
                </w:tcPr>
                <w:p w14:paraId="40393FB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轮胎冲洗池和雨水沉淀池淤泥</w:t>
                  </w:r>
                </w:p>
              </w:tc>
              <w:tc>
                <w:tcPr>
                  <w:tcW w:w="782" w:type="pct"/>
                  <w:shd w:val="clear" w:color="auto" w:fill="auto"/>
                  <w:vAlign w:val="center"/>
                </w:tcPr>
                <w:p w14:paraId="6F4F256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轮胎清洗、雨水沉淀</w:t>
                  </w:r>
                </w:p>
              </w:tc>
              <w:tc>
                <w:tcPr>
                  <w:tcW w:w="868" w:type="pct"/>
                  <w:vAlign w:val="center"/>
                </w:tcPr>
                <w:p w14:paraId="4A59CD6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r>
                    <w:rPr>
                      <w:rFonts w:hint="eastAsia" w:ascii="Times New Roman" w:hAnsi="Times New Roman" w:eastAsia="宋体" w:cs="Times New Roman"/>
                      <w:szCs w:val="21"/>
                    </w:rPr>
                    <w:t>t</w:t>
                  </w:r>
                  <w:r>
                    <w:rPr>
                      <w:rFonts w:ascii="Times New Roman" w:hAnsi="Times New Roman" w:eastAsia="宋体" w:cs="Times New Roman"/>
                      <w:szCs w:val="21"/>
                    </w:rPr>
                    <w:t>/</w:t>
                  </w:r>
                  <w:r>
                    <w:rPr>
                      <w:rFonts w:hint="eastAsia" w:ascii="Times New Roman" w:hAnsi="Times New Roman" w:eastAsia="宋体" w:cs="Times New Roman"/>
                      <w:szCs w:val="21"/>
                    </w:rPr>
                    <w:t>a</w:t>
                  </w:r>
                </w:p>
              </w:tc>
              <w:tc>
                <w:tcPr>
                  <w:tcW w:w="744" w:type="pct"/>
                  <w:shd w:val="clear" w:color="auto" w:fill="auto"/>
                  <w:vAlign w:val="center"/>
                </w:tcPr>
                <w:p w14:paraId="722A009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一般固废</w:t>
                  </w:r>
                </w:p>
              </w:tc>
              <w:tc>
                <w:tcPr>
                  <w:tcW w:w="629" w:type="pct"/>
                  <w:shd w:val="clear" w:color="auto" w:fill="auto"/>
                  <w:vAlign w:val="center"/>
                </w:tcPr>
                <w:p w14:paraId="5065C40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回填中铁十五局弃土场</w:t>
                  </w:r>
                </w:p>
              </w:tc>
              <w:tc>
                <w:tcPr>
                  <w:tcW w:w="867" w:type="pct"/>
                  <w:shd w:val="clear" w:color="auto" w:fill="auto"/>
                  <w:vAlign w:val="center"/>
                </w:tcPr>
                <w:p w14:paraId="6B1EF1E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淤泥</w:t>
                  </w:r>
                </w:p>
              </w:tc>
            </w:tr>
            <w:tr w14:paraId="089DE7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12" w:type="pct"/>
                  <w:shd w:val="clear" w:color="auto" w:fill="auto"/>
                  <w:vAlign w:val="center"/>
                </w:tcPr>
                <w:p w14:paraId="221D3B8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4</w:t>
                  </w:r>
                </w:p>
              </w:tc>
              <w:tc>
                <w:tcPr>
                  <w:tcW w:w="698" w:type="pct"/>
                  <w:shd w:val="clear" w:color="auto" w:fill="auto"/>
                  <w:vAlign w:val="center"/>
                </w:tcPr>
                <w:p w14:paraId="5681166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维修废物</w:t>
                  </w:r>
                </w:p>
              </w:tc>
              <w:tc>
                <w:tcPr>
                  <w:tcW w:w="782" w:type="pct"/>
                  <w:shd w:val="clear" w:color="auto" w:fill="auto"/>
                  <w:vAlign w:val="center"/>
                </w:tcPr>
                <w:p w14:paraId="3145A3B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设备维修</w:t>
                  </w:r>
                </w:p>
              </w:tc>
              <w:tc>
                <w:tcPr>
                  <w:tcW w:w="868" w:type="pct"/>
                  <w:vAlign w:val="center"/>
                </w:tcPr>
                <w:p w14:paraId="57A6A10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0</w:t>
                  </w:r>
                  <w:r>
                    <w:rPr>
                      <w:rFonts w:ascii="Times New Roman" w:hAnsi="Times New Roman" w:eastAsia="宋体" w:cs="Times New Roman"/>
                      <w:szCs w:val="21"/>
                    </w:rPr>
                    <w:t>.2</w:t>
                  </w:r>
                  <w:r>
                    <w:rPr>
                      <w:rFonts w:hint="eastAsia" w:ascii="Times New Roman" w:hAnsi="Times New Roman" w:eastAsia="宋体" w:cs="Times New Roman"/>
                      <w:szCs w:val="21"/>
                    </w:rPr>
                    <w:t>t</w:t>
                  </w:r>
                  <w:r>
                    <w:rPr>
                      <w:rFonts w:ascii="Times New Roman" w:hAnsi="Times New Roman" w:eastAsia="宋体" w:cs="Times New Roman"/>
                      <w:szCs w:val="21"/>
                    </w:rPr>
                    <w:t>/</w:t>
                  </w:r>
                  <w:r>
                    <w:rPr>
                      <w:rFonts w:hint="eastAsia" w:ascii="Times New Roman" w:hAnsi="Times New Roman" w:eastAsia="宋体" w:cs="Times New Roman"/>
                      <w:szCs w:val="21"/>
                    </w:rPr>
                    <w:t>a</w:t>
                  </w:r>
                </w:p>
              </w:tc>
              <w:tc>
                <w:tcPr>
                  <w:tcW w:w="744" w:type="pct"/>
                  <w:shd w:val="clear" w:color="auto" w:fill="auto"/>
                  <w:vAlign w:val="center"/>
                </w:tcPr>
                <w:p w14:paraId="2E7DA6C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危险废物</w:t>
                  </w:r>
                </w:p>
              </w:tc>
              <w:tc>
                <w:tcPr>
                  <w:tcW w:w="629" w:type="pct"/>
                  <w:shd w:val="clear" w:color="auto" w:fill="auto"/>
                  <w:vAlign w:val="center"/>
                </w:tcPr>
                <w:p w14:paraId="2573CA1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环卫部门</w:t>
                  </w:r>
                  <w:r>
                    <w:rPr>
                      <w:rFonts w:hint="eastAsia" w:ascii="Times New Roman" w:hAnsi="Times New Roman" w:eastAsia="宋体" w:cs="Times New Roman"/>
                      <w:szCs w:val="21"/>
                    </w:rPr>
                    <w:t>清运处理</w:t>
                  </w:r>
                </w:p>
              </w:tc>
              <w:tc>
                <w:tcPr>
                  <w:tcW w:w="867" w:type="pct"/>
                  <w:shd w:val="clear" w:color="auto" w:fill="auto"/>
                  <w:vAlign w:val="center"/>
                </w:tcPr>
                <w:p w14:paraId="661D2EE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机械零件、含油抹布等</w:t>
                  </w:r>
                </w:p>
              </w:tc>
            </w:tr>
            <w:tr w14:paraId="6887B5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12" w:type="pct"/>
                  <w:shd w:val="clear" w:color="auto" w:fill="auto"/>
                  <w:vAlign w:val="center"/>
                </w:tcPr>
                <w:p w14:paraId="2CCCDC4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w:t>
                  </w:r>
                </w:p>
              </w:tc>
              <w:tc>
                <w:tcPr>
                  <w:tcW w:w="698" w:type="pct"/>
                  <w:shd w:val="clear" w:color="auto" w:fill="auto"/>
                  <w:vAlign w:val="center"/>
                </w:tcPr>
                <w:p w14:paraId="4A2BEEE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生活垃圾</w:t>
                  </w:r>
                </w:p>
              </w:tc>
              <w:tc>
                <w:tcPr>
                  <w:tcW w:w="782" w:type="pct"/>
                  <w:shd w:val="clear" w:color="auto" w:fill="auto"/>
                  <w:vAlign w:val="center"/>
                </w:tcPr>
                <w:p w14:paraId="1279F775">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办公生活区等</w:t>
                  </w:r>
                </w:p>
              </w:tc>
              <w:tc>
                <w:tcPr>
                  <w:tcW w:w="868" w:type="pct"/>
                  <w:vAlign w:val="center"/>
                </w:tcPr>
                <w:p w14:paraId="6C16F28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0.9t/a</w:t>
                  </w:r>
                </w:p>
              </w:tc>
              <w:tc>
                <w:tcPr>
                  <w:tcW w:w="744" w:type="pct"/>
                  <w:shd w:val="clear" w:color="auto" w:fill="auto"/>
                  <w:vAlign w:val="center"/>
                </w:tcPr>
                <w:p w14:paraId="4764347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一般固废</w:t>
                  </w:r>
                </w:p>
              </w:tc>
              <w:tc>
                <w:tcPr>
                  <w:tcW w:w="629" w:type="pct"/>
                  <w:shd w:val="clear" w:color="auto" w:fill="auto"/>
                  <w:vAlign w:val="center"/>
                </w:tcPr>
                <w:p w14:paraId="6A3E5F7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环卫部门</w:t>
                  </w:r>
                  <w:r>
                    <w:rPr>
                      <w:rFonts w:hint="eastAsia" w:ascii="Times New Roman" w:hAnsi="Times New Roman" w:eastAsia="宋体" w:cs="Times New Roman"/>
                      <w:szCs w:val="21"/>
                    </w:rPr>
                    <w:t>清运处理</w:t>
                  </w:r>
                </w:p>
              </w:tc>
              <w:tc>
                <w:tcPr>
                  <w:tcW w:w="867" w:type="pct"/>
                  <w:shd w:val="clear" w:color="auto" w:fill="auto"/>
                  <w:vAlign w:val="center"/>
                </w:tcPr>
                <w:p w14:paraId="75E18A6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垃圾</w:t>
                  </w:r>
                </w:p>
              </w:tc>
            </w:tr>
          </w:tbl>
          <w:p w14:paraId="303C094B">
            <w:pPr>
              <w:tabs>
                <w:tab w:val="left" w:pos="5670"/>
              </w:tabs>
              <w:spacing w:line="480" w:lineRule="exact"/>
              <w:ind w:firstLine="482" w:firstLineChars="200"/>
              <w:jc w:val="center"/>
              <w:rPr>
                <w:rFonts w:ascii="Times New Roman" w:hAnsi="Times New Roman" w:eastAsia="宋体" w:cs="Times New Roman"/>
                <w:b/>
                <w:bCs/>
                <w:snapToGrid w:val="0"/>
                <w:color w:val="FF0000"/>
                <w:kern w:val="0"/>
                <w:sz w:val="24"/>
                <w:szCs w:val="24"/>
              </w:rPr>
            </w:pPr>
            <w:r>
              <w:rPr>
                <w:rFonts w:ascii="Times New Roman" w:hAnsi="Times New Roman" w:eastAsia="宋体" w:cs="Times New Roman"/>
                <w:b/>
                <w:bCs/>
                <w:snapToGrid w:val="0"/>
                <w:color w:val="FF0000"/>
                <w:kern w:val="0"/>
                <w:sz w:val="24"/>
                <w:szCs w:val="24"/>
              </w:rPr>
              <w:t>表5-8  本项目危废汇总情况一览表</w:t>
            </w:r>
          </w:p>
          <w:tbl>
            <w:tblPr>
              <w:tblStyle w:val="27"/>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54"/>
              <w:gridCol w:w="565"/>
              <w:gridCol w:w="869"/>
              <w:gridCol w:w="1234"/>
              <w:gridCol w:w="710"/>
              <w:gridCol w:w="594"/>
              <w:gridCol w:w="455"/>
              <w:gridCol w:w="511"/>
              <w:gridCol w:w="511"/>
              <w:gridCol w:w="518"/>
              <w:gridCol w:w="532"/>
              <w:gridCol w:w="1329"/>
            </w:tblGrid>
            <w:tr w14:paraId="005F62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0A3D5233">
                  <w:pPr>
                    <w:jc w:val="center"/>
                    <w:rPr>
                      <w:rFonts w:ascii="Times New Roman" w:hAnsi="Times New Roman" w:eastAsia="宋体" w:cs="Times New Roman"/>
                      <w:b/>
                      <w:color w:val="FF0000"/>
                      <w:szCs w:val="16"/>
                    </w:rPr>
                  </w:pPr>
                  <w:r>
                    <w:rPr>
                      <w:rFonts w:ascii="Times New Roman" w:hAnsi="Times New Roman" w:eastAsia="宋体" w:cs="Times New Roman"/>
                      <w:b/>
                      <w:color w:val="FF0000"/>
                      <w:szCs w:val="16"/>
                    </w:rPr>
                    <w:t>序号</w:t>
                  </w:r>
                </w:p>
              </w:tc>
              <w:tc>
                <w:tcPr>
                  <w:tcW w:w="0" w:type="auto"/>
                  <w:vAlign w:val="center"/>
                </w:tcPr>
                <w:p w14:paraId="6D871ABC">
                  <w:pPr>
                    <w:jc w:val="center"/>
                    <w:rPr>
                      <w:rFonts w:ascii="Times New Roman" w:hAnsi="Times New Roman" w:eastAsia="宋体" w:cs="Times New Roman"/>
                      <w:b/>
                      <w:color w:val="FF0000"/>
                      <w:szCs w:val="16"/>
                    </w:rPr>
                  </w:pPr>
                  <w:r>
                    <w:rPr>
                      <w:rFonts w:ascii="Times New Roman" w:hAnsi="Times New Roman" w:eastAsia="宋体" w:cs="Times New Roman"/>
                      <w:b/>
                      <w:color w:val="FF0000"/>
                      <w:szCs w:val="16"/>
                    </w:rPr>
                    <w:t>危险废物名称</w:t>
                  </w:r>
                </w:p>
              </w:tc>
              <w:tc>
                <w:tcPr>
                  <w:tcW w:w="0" w:type="auto"/>
                  <w:vAlign w:val="center"/>
                </w:tcPr>
                <w:p w14:paraId="73197E94">
                  <w:pPr>
                    <w:jc w:val="center"/>
                    <w:rPr>
                      <w:rFonts w:ascii="Times New Roman" w:hAnsi="Times New Roman" w:eastAsia="宋体" w:cs="Times New Roman"/>
                      <w:b/>
                      <w:color w:val="FF0000"/>
                      <w:szCs w:val="16"/>
                    </w:rPr>
                  </w:pPr>
                  <w:r>
                    <w:rPr>
                      <w:rFonts w:ascii="Times New Roman" w:hAnsi="Times New Roman" w:eastAsia="宋体" w:cs="Times New Roman"/>
                      <w:b/>
                      <w:color w:val="FF0000"/>
                      <w:szCs w:val="16"/>
                    </w:rPr>
                    <w:t>危险废物类别</w:t>
                  </w:r>
                </w:p>
              </w:tc>
              <w:tc>
                <w:tcPr>
                  <w:tcW w:w="0" w:type="auto"/>
                  <w:vAlign w:val="center"/>
                </w:tcPr>
                <w:p w14:paraId="3419DD57">
                  <w:pPr>
                    <w:jc w:val="center"/>
                    <w:rPr>
                      <w:rFonts w:ascii="Times New Roman" w:hAnsi="Times New Roman" w:eastAsia="宋体" w:cs="Times New Roman"/>
                      <w:b/>
                      <w:color w:val="FF0000"/>
                      <w:szCs w:val="16"/>
                    </w:rPr>
                  </w:pPr>
                  <w:r>
                    <w:rPr>
                      <w:rFonts w:ascii="Times New Roman" w:hAnsi="Times New Roman" w:eastAsia="宋体" w:cs="Times New Roman"/>
                      <w:b/>
                      <w:color w:val="FF0000"/>
                      <w:szCs w:val="16"/>
                    </w:rPr>
                    <w:t>危险废物代码</w:t>
                  </w:r>
                </w:p>
              </w:tc>
              <w:tc>
                <w:tcPr>
                  <w:tcW w:w="0" w:type="auto"/>
                  <w:vAlign w:val="center"/>
                </w:tcPr>
                <w:p w14:paraId="5F4D29E5">
                  <w:pPr>
                    <w:jc w:val="center"/>
                    <w:rPr>
                      <w:rFonts w:ascii="Times New Roman" w:hAnsi="Times New Roman" w:eastAsia="宋体" w:cs="Times New Roman"/>
                      <w:b/>
                      <w:color w:val="FF0000"/>
                      <w:szCs w:val="16"/>
                    </w:rPr>
                  </w:pPr>
                  <w:r>
                    <w:rPr>
                      <w:rFonts w:ascii="Times New Roman" w:hAnsi="Times New Roman" w:eastAsia="宋体" w:cs="Times New Roman"/>
                      <w:b/>
                      <w:color w:val="FF0000"/>
                      <w:szCs w:val="16"/>
                    </w:rPr>
                    <w:t>产生量</w:t>
                  </w:r>
                </w:p>
              </w:tc>
              <w:tc>
                <w:tcPr>
                  <w:tcW w:w="0" w:type="auto"/>
                  <w:vAlign w:val="center"/>
                </w:tcPr>
                <w:p w14:paraId="2E4D277C">
                  <w:pPr>
                    <w:jc w:val="center"/>
                    <w:rPr>
                      <w:rFonts w:ascii="Times New Roman" w:hAnsi="Times New Roman" w:eastAsia="宋体" w:cs="Times New Roman"/>
                      <w:b/>
                      <w:color w:val="FF0000"/>
                      <w:szCs w:val="16"/>
                    </w:rPr>
                  </w:pPr>
                  <w:r>
                    <w:rPr>
                      <w:rFonts w:ascii="Times New Roman" w:hAnsi="Times New Roman" w:eastAsia="宋体" w:cs="Times New Roman"/>
                      <w:b/>
                      <w:color w:val="FF0000"/>
                      <w:szCs w:val="16"/>
                    </w:rPr>
                    <w:t>产生工序及装置</w:t>
                  </w:r>
                </w:p>
              </w:tc>
              <w:tc>
                <w:tcPr>
                  <w:tcW w:w="0" w:type="auto"/>
                  <w:vAlign w:val="center"/>
                </w:tcPr>
                <w:p w14:paraId="60F08C19">
                  <w:pPr>
                    <w:jc w:val="center"/>
                    <w:rPr>
                      <w:rFonts w:ascii="Times New Roman" w:hAnsi="Times New Roman" w:eastAsia="宋体" w:cs="Times New Roman"/>
                      <w:b/>
                      <w:color w:val="FF0000"/>
                      <w:szCs w:val="16"/>
                    </w:rPr>
                  </w:pPr>
                  <w:r>
                    <w:rPr>
                      <w:rFonts w:ascii="Times New Roman" w:hAnsi="Times New Roman" w:eastAsia="宋体" w:cs="Times New Roman"/>
                      <w:b/>
                      <w:color w:val="FF0000"/>
                      <w:szCs w:val="16"/>
                    </w:rPr>
                    <w:t>形态</w:t>
                  </w:r>
                </w:p>
              </w:tc>
              <w:tc>
                <w:tcPr>
                  <w:tcW w:w="0" w:type="auto"/>
                  <w:vAlign w:val="center"/>
                </w:tcPr>
                <w:p w14:paraId="073B82F0">
                  <w:pPr>
                    <w:jc w:val="center"/>
                    <w:rPr>
                      <w:rFonts w:ascii="Times New Roman" w:hAnsi="Times New Roman" w:eastAsia="宋体" w:cs="Times New Roman"/>
                      <w:b/>
                      <w:color w:val="FF0000"/>
                      <w:szCs w:val="16"/>
                    </w:rPr>
                  </w:pPr>
                  <w:r>
                    <w:rPr>
                      <w:rFonts w:ascii="Times New Roman" w:hAnsi="Times New Roman" w:eastAsia="宋体" w:cs="Times New Roman"/>
                      <w:b/>
                      <w:color w:val="FF0000"/>
                      <w:szCs w:val="16"/>
                    </w:rPr>
                    <w:t>主要成分</w:t>
                  </w:r>
                </w:p>
              </w:tc>
              <w:tc>
                <w:tcPr>
                  <w:tcW w:w="0" w:type="auto"/>
                  <w:vAlign w:val="center"/>
                </w:tcPr>
                <w:p w14:paraId="111ADB3A">
                  <w:pPr>
                    <w:jc w:val="center"/>
                    <w:rPr>
                      <w:rFonts w:ascii="Times New Roman" w:hAnsi="Times New Roman" w:eastAsia="宋体" w:cs="Times New Roman"/>
                      <w:b/>
                      <w:color w:val="FF0000"/>
                      <w:szCs w:val="16"/>
                    </w:rPr>
                  </w:pPr>
                  <w:r>
                    <w:rPr>
                      <w:rFonts w:ascii="Times New Roman" w:hAnsi="Times New Roman" w:eastAsia="宋体" w:cs="Times New Roman"/>
                      <w:b/>
                      <w:color w:val="FF0000"/>
                      <w:szCs w:val="16"/>
                    </w:rPr>
                    <w:t>有害成分</w:t>
                  </w:r>
                </w:p>
              </w:tc>
              <w:tc>
                <w:tcPr>
                  <w:tcW w:w="0" w:type="auto"/>
                  <w:vAlign w:val="center"/>
                </w:tcPr>
                <w:p w14:paraId="4E58EFB9">
                  <w:pPr>
                    <w:jc w:val="center"/>
                    <w:rPr>
                      <w:rFonts w:ascii="Times New Roman" w:hAnsi="Times New Roman" w:eastAsia="宋体" w:cs="Times New Roman"/>
                      <w:b/>
                      <w:color w:val="FF0000"/>
                      <w:szCs w:val="16"/>
                    </w:rPr>
                  </w:pPr>
                  <w:r>
                    <w:rPr>
                      <w:rFonts w:ascii="Times New Roman" w:hAnsi="Times New Roman" w:eastAsia="宋体" w:cs="Times New Roman"/>
                      <w:b/>
                      <w:color w:val="FF0000"/>
                      <w:szCs w:val="16"/>
                    </w:rPr>
                    <w:t>产废周期</w:t>
                  </w:r>
                </w:p>
              </w:tc>
              <w:tc>
                <w:tcPr>
                  <w:tcW w:w="0" w:type="auto"/>
                  <w:vAlign w:val="center"/>
                </w:tcPr>
                <w:p w14:paraId="44F17A20">
                  <w:pPr>
                    <w:jc w:val="center"/>
                    <w:rPr>
                      <w:rFonts w:ascii="Times New Roman" w:hAnsi="Times New Roman" w:eastAsia="宋体" w:cs="Times New Roman"/>
                      <w:b/>
                      <w:color w:val="FF0000"/>
                      <w:szCs w:val="16"/>
                    </w:rPr>
                  </w:pPr>
                  <w:r>
                    <w:rPr>
                      <w:rFonts w:ascii="Times New Roman" w:hAnsi="Times New Roman" w:eastAsia="宋体" w:cs="Times New Roman"/>
                      <w:b/>
                      <w:color w:val="FF0000"/>
                      <w:szCs w:val="16"/>
                    </w:rPr>
                    <w:t>危险特性</w:t>
                  </w:r>
                </w:p>
              </w:tc>
              <w:tc>
                <w:tcPr>
                  <w:tcW w:w="0" w:type="auto"/>
                  <w:vAlign w:val="center"/>
                </w:tcPr>
                <w:p w14:paraId="7EE7095E">
                  <w:pPr>
                    <w:jc w:val="center"/>
                    <w:rPr>
                      <w:rFonts w:ascii="Times New Roman" w:hAnsi="Times New Roman" w:eastAsia="宋体" w:cs="Times New Roman"/>
                      <w:b/>
                      <w:color w:val="FF0000"/>
                      <w:szCs w:val="16"/>
                    </w:rPr>
                  </w:pPr>
                  <w:r>
                    <w:rPr>
                      <w:rFonts w:ascii="Times New Roman" w:hAnsi="Times New Roman" w:eastAsia="宋体" w:cs="Times New Roman"/>
                      <w:b/>
                      <w:color w:val="FF0000"/>
                      <w:szCs w:val="16"/>
                    </w:rPr>
                    <w:t>污染防治措施</w:t>
                  </w:r>
                </w:p>
              </w:tc>
            </w:tr>
            <w:tr w14:paraId="0B594A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66659040">
                  <w:pPr>
                    <w:jc w:val="center"/>
                    <w:rPr>
                      <w:rFonts w:ascii="Times New Roman" w:hAnsi="Times New Roman" w:eastAsia="宋体" w:cs="Times New Roman"/>
                      <w:bCs/>
                      <w:color w:val="FF0000"/>
                      <w:szCs w:val="16"/>
                    </w:rPr>
                  </w:pPr>
                  <w:r>
                    <w:rPr>
                      <w:rFonts w:ascii="Times New Roman" w:hAnsi="Times New Roman" w:eastAsia="宋体" w:cs="Times New Roman"/>
                      <w:bCs/>
                      <w:color w:val="FF0000"/>
                      <w:szCs w:val="16"/>
                    </w:rPr>
                    <w:t>1</w:t>
                  </w:r>
                </w:p>
              </w:tc>
              <w:tc>
                <w:tcPr>
                  <w:tcW w:w="0" w:type="auto"/>
                  <w:vAlign w:val="center"/>
                </w:tcPr>
                <w:p w14:paraId="615BC942">
                  <w:pPr>
                    <w:jc w:val="center"/>
                    <w:rPr>
                      <w:rFonts w:ascii="Times New Roman" w:hAnsi="Times New Roman" w:eastAsia="宋体" w:cs="Times New Roman"/>
                      <w:bCs/>
                      <w:color w:val="FF0000"/>
                      <w:szCs w:val="16"/>
                    </w:rPr>
                  </w:pPr>
                  <w:r>
                    <w:rPr>
                      <w:rFonts w:ascii="Times New Roman" w:hAnsi="Times New Roman" w:eastAsia="宋体" w:cs="Times New Roman"/>
                      <w:color w:val="FF0000"/>
                    </w:rPr>
                    <w:t>废油类</w:t>
                  </w:r>
                </w:p>
              </w:tc>
              <w:tc>
                <w:tcPr>
                  <w:tcW w:w="0" w:type="auto"/>
                  <w:vAlign w:val="center"/>
                </w:tcPr>
                <w:p w14:paraId="1944C152">
                  <w:pPr>
                    <w:jc w:val="center"/>
                    <w:rPr>
                      <w:rFonts w:ascii="Times New Roman" w:hAnsi="Times New Roman" w:eastAsia="宋体" w:cs="Times New Roman"/>
                      <w:bCs/>
                      <w:color w:val="FF0000"/>
                      <w:szCs w:val="16"/>
                    </w:rPr>
                  </w:pPr>
                  <w:r>
                    <w:rPr>
                      <w:rFonts w:ascii="Times New Roman" w:hAnsi="Times New Roman" w:eastAsia="宋体" w:cs="Times New Roman"/>
                      <w:color w:val="FF0000"/>
                    </w:rPr>
                    <w:t>HW49</w:t>
                  </w:r>
                </w:p>
              </w:tc>
              <w:tc>
                <w:tcPr>
                  <w:tcW w:w="0" w:type="auto"/>
                  <w:vAlign w:val="center"/>
                </w:tcPr>
                <w:p w14:paraId="7DB9202E">
                  <w:pPr>
                    <w:jc w:val="center"/>
                    <w:rPr>
                      <w:rFonts w:ascii="Times New Roman" w:hAnsi="Times New Roman" w:eastAsia="宋体" w:cs="Times New Roman"/>
                      <w:bCs/>
                      <w:color w:val="FF0000"/>
                      <w:szCs w:val="16"/>
                    </w:rPr>
                  </w:pPr>
                  <w:r>
                    <w:rPr>
                      <w:rFonts w:ascii="Times New Roman" w:hAnsi="Times New Roman" w:eastAsia="宋体" w:cs="Times New Roman"/>
                      <w:color w:val="FF0000"/>
                    </w:rPr>
                    <w:t>900-041-49</w:t>
                  </w:r>
                </w:p>
              </w:tc>
              <w:tc>
                <w:tcPr>
                  <w:tcW w:w="0" w:type="auto"/>
                  <w:vAlign w:val="center"/>
                </w:tcPr>
                <w:p w14:paraId="42148A29">
                  <w:pPr>
                    <w:jc w:val="center"/>
                    <w:rPr>
                      <w:rFonts w:ascii="Times New Roman" w:hAnsi="Times New Roman" w:eastAsia="宋体" w:cs="Times New Roman"/>
                      <w:bCs/>
                      <w:color w:val="FF0000"/>
                      <w:szCs w:val="16"/>
                    </w:rPr>
                  </w:pPr>
                  <w:r>
                    <w:rPr>
                      <w:rFonts w:ascii="Times New Roman" w:hAnsi="Times New Roman" w:eastAsia="宋体" w:cs="Times New Roman"/>
                      <w:color w:val="FF0000"/>
                    </w:rPr>
                    <w:t>0.1t/a</w:t>
                  </w:r>
                </w:p>
              </w:tc>
              <w:tc>
                <w:tcPr>
                  <w:tcW w:w="0" w:type="auto"/>
                  <w:vAlign w:val="center"/>
                </w:tcPr>
                <w:p w14:paraId="29050DB4">
                  <w:pPr>
                    <w:jc w:val="center"/>
                    <w:rPr>
                      <w:rFonts w:ascii="Times New Roman" w:hAnsi="Times New Roman" w:eastAsia="宋体" w:cs="Times New Roman"/>
                      <w:bCs/>
                      <w:color w:val="FF0000"/>
                      <w:szCs w:val="16"/>
                    </w:rPr>
                  </w:pPr>
                  <w:r>
                    <w:rPr>
                      <w:rFonts w:ascii="Times New Roman" w:hAnsi="Times New Roman" w:eastAsia="宋体" w:cs="Times New Roman"/>
                      <w:color w:val="FF0000"/>
                    </w:rPr>
                    <w:t>设备</w:t>
                  </w:r>
                </w:p>
              </w:tc>
              <w:tc>
                <w:tcPr>
                  <w:tcW w:w="0" w:type="auto"/>
                  <w:vAlign w:val="center"/>
                </w:tcPr>
                <w:p w14:paraId="41EB7ED1">
                  <w:pPr>
                    <w:jc w:val="center"/>
                    <w:rPr>
                      <w:rFonts w:ascii="Times New Roman" w:hAnsi="Times New Roman" w:eastAsia="宋体" w:cs="Times New Roman"/>
                      <w:bCs/>
                      <w:color w:val="FF0000"/>
                      <w:szCs w:val="16"/>
                    </w:rPr>
                  </w:pPr>
                  <w:r>
                    <w:rPr>
                      <w:rFonts w:ascii="Times New Roman" w:hAnsi="Times New Roman" w:eastAsia="宋体" w:cs="Times New Roman"/>
                      <w:color w:val="FF0000"/>
                    </w:rPr>
                    <w:t>固态</w:t>
                  </w:r>
                </w:p>
              </w:tc>
              <w:tc>
                <w:tcPr>
                  <w:tcW w:w="0" w:type="auto"/>
                  <w:vAlign w:val="center"/>
                </w:tcPr>
                <w:p w14:paraId="026CFC42">
                  <w:pPr>
                    <w:jc w:val="center"/>
                    <w:rPr>
                      <w:rFonts w:ascii="Times New Roman" w:hAnsi="Times New Roman" w:eastAsia="宋体" w:cs="Times New Roman"/>
                      <w:bCs/>
                      <w:color w:val="FF0000"/>
                      <w:szCs w:val="16"/>
                    </w:rPr>
                  </w:pPr>
                  <w:r>
                    <w:rPr>
                      <w:rFonts w:ascii="Times New Roman" w:hAnsi="Times New Roman" w:eastAsia="宋体" w:cs="Times New Roman"/>
                      <w:color w:val="FF0000"/>
                    </w:rPr>
                    <w:t>油类物质</w:t>
                  </w:r>
                </w:p>
              </w:tc>
              <w:tc>
                <w:tcPr>
                  <w:tcW w:w="0" w:type="auto"/>
                  <w:vAlign w:val="center"/>
                </w:tcPr>
                <w:p w14:paraId="2A162BC5">
                  <w:pPr>
                    <w:jc w:val="center"/>
                    <w:rPr>
                      <w:rFonts w:ascii="Times New Roman" w:hAnsi="Times New Roman" w:eastAsia="宋体" w:cs="Times New Roman"/>
                      <w:bCs/>
                      <w:color w:val="FF0000"/>
                      <w:szCs w:val="16"/>
                    </w:rPr>
                  </w:pPr>
                  <w:r>
                    <w:rPr>
                      <w:rFonts w:ascii="Times New Roman" w:hAnsi="Times New Roman" w:eastAsia="宋体" w:cs="Times New Roman"/>
                      <w:color w:val="FF0000"/>
                    </w:rPr>
                    <w:t>油类物质</w:t>
                  </w:r>
                </w:p>
              </w:tc>
              <w:tc>
                <w:tcPr>
                  <w:tcW w:w="0" w:type="auto"/>
                  <w:vAlign w:val="center"/>
                </w:tcPr>
                <w:p w14:paraId="2F99FC76">
                  <w:pPr>
                    <w:jc w:val="center"/>
                    <w:rPr>
                      <w:rFonts w:ascii="Times New Roman" w:hAnsi="Times New Roman" w:eastAsia="宋体" w:cs="Times New Roman"/>
                      <w:bCs/>
                      <w:color w:val="FF0000"/>
                      <w:szCs w:val="16"/>
                    </w:rPr>
                  </w:pPr>
                  <w:r>
                    <w:rPr>
                      <w:rFonts w:ascii="Times New Roman" w:hAnsi="Times New Roman" w:eastAsia="宋体" w:cs="Times New Roman"/>
                      <w:color w:val="FF0000"/>
                    </w:rPr>
                    <w:t>每季度/次</w:t>
                  </w:r>
                </w:p>
              </w:tc>
              <w:tc>
                <w:tcPr>
                  <w:tcW w:w="0" w:type="auto"/>
                  <w:vAlign w:val="center"/>
                </w:tcPr>
                <w:p w14:paraId="417707D2">
                  <w:pPr>
                    <w:jc w:val="center"/>
                    <w:rPr>
                      <w:rFonts w:ascii="Times New Roman" w:hAnsi="Times New Roman" w:eastAsia="宋体" w:cs="Times New Roman"/>
                      <w:bCs/>
                      <w:color w:val="FF0000"/>
                      <w:szCs w:val="16"/>
                    </w:rPr>
                  </w:pPr>
                  <w:r>
                    <w:rPr>
                      <w:rFonts w:ascii="Times New Roman" w:hAnsi="Times New Roman" w:eastAsia="宋体" w:cs="Times New Roman"/>
                      <w:color w:val="FF0000"/>
                    </w:rPr>
                    <w:t>T</w:t>
                  </w:r>
                  <w:r>
                    <w:rPr>
                      <w:rFonts w:hint="eastAsia" w:ascii="Times New Roman" w:hAnsi="Times New Roman" w:eastAsia="宋体" w:cs="Times New Roman"/>
                      <w:color w:val="FF0000"/>
                      <w:lang w:eastAsia="zh-CN"/>
                    </w:rPr>
                    <w:t>,</w:t>
                  </w:r>
                  <w:r>
                    <w:rPr>
                      <w:rFonts w:ascii="Times New Roman" w:hAnsi="Times New Roman" w:eastAsia="宋体" w:cs="Times New Roman"/>
                      <w:color w:val="FF0000"/>
                    </w:rPr>
                    <w:t>I</w:t>
                  </w:r>
                </w:p>
              </w:tc>
              <w:tc>
                <w:tcPr>
                  <w:tcW w:w="0" w:type="auto"/>
                  <w:vAlign w:val="center"/>
                </w:tcPr>
                <w:p w14:paraId="0E73CBAC">
                  <w:pPr>
                    <w:jc w:val="center"/>
                    <w:rPr>
                      <w:rFonts w:ascii="Times New Roman" w:hAnsi="Times New Roman" w:eastAsia="宋体" w:cs="Times New Roman"/>
                      <w:bCs/>
                      <w:color w:val="FF0000"/>
                      <w:szCs w:val="16"/>
                    </w:rPr>
                  </w:pPr>
                  <w:r>
                    <w:rPr>
                      <w:rFonts w:ascii="Times New Roman" w:hAnsi="Times New Roman" w:eastAsia="宋体" w:cs="Times New Roman"/>
                      <w:bCs/>
                      <w:color w:val="FF0000"/>
                      <w:szCs w:val="16"/>
                    </w:rPr>
                    <w:t>建设危废暂存间，分区存放，三防处理，委托有资质单位处理</w:t>
                  </w:r>
                </w:p>
              </w:tc>
            </w:tr>
          </w:tbl>
          <w:p w14:paraId="3953D42D">
            <w:pPr>
              <w:spacing w:line="480" w:lineRule="exact"/>
              <w:ind w:firstLine="482" w:firstLineChars="200"/>
              <w:rPr>
                <w:rFonts w:ascii="Times New Roman" w:hAnsi="Times New Roman" w:eastAsia="宋体" w:cs="Times New Roman"/>
                <w:b/>
                <w:sz w:val="24"/>
              </w:rPr>
            </w:pPr>
            <w:r>
              <w:rPr>
                <w:rFonts w:ascii="Times New Roman" w:hAnsi="Times New Roman" w:eastAsia="宋体" w:cs="Times New Roman"/>
                <w:b/>
                <w:sz w:val="24"/>
              </w:rPr>
              <w:t>5、地下水污染防治措施</w:t>
            </w:r>
          </w:p>
          <w:p w14:paraId="5FFF84E2">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地下水污染防治措施坚持“源头控制、末端防治、污染监控、应急响应相结合”的原则，即采取主动控制和被动控制相结合的措施。为更好防止项目</w:t>
            </w:r>
            <w:r>
              <w:rPr>
                <w:rFonts w:hint="eastAsia" w:ascii="Times New Roman" w:hAnsi="Times New Roman" w:eastAsia="宋体" w:cs="Times New Roman"/>
                <w:sz w:val="24"/>
                <w:lang w:eastAsia="zh-CN"/>
              </w:rPr>
              <w:t>地下水</w:t>
            </w:r>
            <w:r>
              <w:rPr>
                <w:rFonts w:ascii="Times New Roman" w:hAnsi="Times New Roman" w:eastAsia="宋体" w:cs="Times New Roman"/>
                <w:sz w:val="24"/>
              </w:rPr>
              <w:t>污染的可能性，本次评价参照《环境影响评价导则 地下水环境》（HJ610-2016）中表7要求，提出防渗要求，项目分区防渗。</w:t>
            </w:r>
          </w:p>
          <w:p w14:paraId="1EB5F26C">
            <w:pPr>
              <w:spacing w:line="360" w:lineRule="auto"/>
              <w:ind w:firstLine="480" w:firstLineChars="200"/>
              <w:rPr>
                <w:rFonts w:ascii="Times New Roman" w:hAnsi="Times New Roman" w:eastAsia="宋体" w:cs="Times New Roman"/>
                <w:color w:val="FF0000"/>
                <w:sz w:val="24"/>
                <w:szCs w:val="24"/>
              </w:rPr>
            </w:pPr>
            <w:r>
              <w:rPr>
                <w:rFonts w:hint="eastAsia" w:ascii="宋体" w:hAnsi="宋体" w:eastAsia="宋体" w:cs="宋体"/>
                <w:color w:val="FF0000"/>
                <w:sz w:val="24"/>
                <w:szCs w:val="24"/>
              </w:rPr>
              <w:t>①</w:t>
            </w:r>
            <w:r>
              <w:rPr>
                <w:rFonts w:ascii="Times New Roman" w:hAnsi="Times New Roman" w:eastAsia="宋体" w:cs="Times New Roman"/>
                <w:color w:val="FF0000"/>
                <w:sz w:val="24"/>
                <w:szCs w:val="24"/>
              </w:rPr>
              <w:t>源项分析</w:t>
            </w:r>
          </w:p>
          <w:p w14:paraId="4521CD03">
            <w:pPr>
              <w:spacing w:line="360" w:lineRule="auto"/>
              <w:ind w:firstLine="480" w:firstLineChars="200"/>
              <w:rPr>
                <w:rFonts w:ascii="Times New Roman" w:hAnsi="Times New Roman" w:eastAsia="宋体" w:cs="Times New Roman"/>
                <w:color w:val="FF0000"/>
                <w:sz w:val="24"/>
                <w:szCs w:val="24"/>
              </w:rPr>
            </w:pPr>
            <w:r>
              <w:rPr>
                <w:rFonts w:ascii="Times New Roman" w:hAnsi="Times New Roman" w:eastAsia="宋体" w:cs="Times New Roman"/>
                <w:color w:val="FF0000"/>
                <w:sz w:val="24"/>
                <w:szCs w:val="24"/>
              </w:rPr>
              <w:t>本项目地下水影响主要是初期雨水、生产废水、危险化学品泄漏等对地下水造成的水质污染影响。必须强化项目防渗措施，以防止项目区地下水因项目生产运营而受到污染，项目全厂应硬化。排水沟管定期巡检，杜绝地下水污染隐患。</w:t>
            </w:r>
          </w:p>
          <w:p w14:paraId="3CC2B346">
            <w:pPr>
              <w:spacing w:line="360" w:lineRule="auto"/>
              <w:ind w:firstLine="480" w:firstLineChars="200"/>
              <w:rPr>
                <w:rFonts w:ascii="Times New Roman" w:hAnsi="Times New Roman" w:eastAsia="宋体" w:cs="Times New Roman"/>
                <w:color w:val="FF0000"/>
                <w:sz w:val="24"/>
                <w:szCs w:val="24"/>
              </w:rPr>
            </w:pPr>
            <w:r>
              <w:rPr>
                <w:rFonts w:hint="eastAsia" w:ascii="宋体" w:hAnsi="宋体" w:eastAsia="宋体" w:cs="宋体"/>
                <w:color w:val="FF0000"/>
                <w:sz w:val="24"/>
                <w:szCs w:val="24"/>
              </w:rPr>
              <w:t>②</w:t>
            </w:r>
            <w:r>
              <w:rPr>
                <w:rFonts w:ascii="Times New Roman" w:hAnsi="Times New Roman" w:eastAsia="宋体" w:cs="Times New Roman"/>
                <w:color w:val="FF0000"/>
                <w:sz w:val="24"/>
                <w:szCs w:val="24"/>
              </w:rPr>
              <w:t>防治措施</w:t>
            </w:r>
          </w:p>
          <w:p w14:paraId="14644D57">
            <w:pPr>
              <w:spacing w:line="360" w:lineRule="auto"/>
              <w:ind w:firstLine="480" w:firstLineChars="200"/>
              <w:rPr>
                <w:rFonts w:ascii="Times New Roman" w:hAnsi="Times New Roman" w:eastAsia="宋体" w:cs="Times New Roman"/>
                <w:color w:val="FF0000"/>
                <w:sz w:val="24"/>
                <w:szCs w:val="24"/>
              </w:rPr>
            </w:pPr>
            <w:r>
              <w:rPr>
                <w:rFonts w:ascii="Times New Roman" w:hAnsi="Times New Roman" w:eastAsia="宋体" w:cs="Times New Roman"/>
                <w:color w:val="FF0000"/>
                <w:sz w:val="24"/>
                <w:szCs w:val="24"/>
              </w:rPr>
              <w:t>1）实现厂区雨污分流，加强项目污水管理，确保排水沟不发生堵塞</w:t>
            </w:r>
            <w:r>
              <w:rPr>
                <w:rFonts w:hint="eastAsia" w:ascii="Times New Roman" w:hAnsi="Times New Roman" w:eastAsia="宋体" w:cs="Times New Roman"/>
                <w:color w:val="FF0000"/>
                <w:sz w:val="24"/>
                <w:szCs w:val="24"/>
              </w:rPr>
              <w:t>、</w:t>
            </w:r>
            <w:r>
              <w:rPr>
                <w:rFonts w:ascii="Times New Roman" w:hAnsi="Times New Roman" w:eastAsia="宋体" w:cs="Times New Roman"/>
                <w:color w:val="FF0000"/>
                <w:sz w:val="24"/>
                <w:szCs w:val="24"/>
              </w:rPr>
              <w:t>渗漏。生活垃圾日常日清，避免污水、固废进入地下水体。</w:t>
            </w:r>
          </w:p>
          <w:p w14:paraId="66F7ABF7">
            <w:pPr>
              <w:spacing w:line="360" w:lineRule="auto"/>
              <w:ind w:firstLine="480" w:firstLineChars="200"/>
              <w:rPr>
                <w:rFonts w:ascii="Times New Roman" w:hAnsi="Times New Roman" w:eastAsia="宋体" w:cs="Times New Roman"/>
                <w:color w:val="FF0000"/>
                <w:sz w:val="24"/>
                <w:szCs w:val="24"/>
              </w:rPr>
            </w:pPr>
            <w:r>
              <w:rPr>
                <w:rFonts w:ascii="Times New Roman" w:hAnsi="Times New Roman" w:eastAsia="宋体" w:cs="Times New Roman"/>
                <w:color w:val="FF0000"/>
                <w:sz w:val="24"/>
                <w:szCs w:val="24"/>
              </w:rPr>
              <w:t>2）对重点区域进行地面硬化及防渗处理。</w:t>
            </w:r>
          </w:p>
          <w:p w14:paraId="6899B754">
            <w:pPr>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snapToGrid w:val="0"/>
                <w:kern w:val="0"/>
                <w:sz w:val="24"/>
                <w:szCs w:val="24"/>
              </w:rPr>
              <w:t>表5-9  项目地下水污染分区情况一览表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729"/>
              <w:gridCol w:w="1812"/>
              <w:gridCol w:w="1555"/>
              <w:gridCol w:w="4186"/>
            </w:tblGrid>
            <w:tr w14:paraId="07B142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440" w:type="pct"/>
                  <w:vAlign w:val="center"/>
                </w:tcPr>
                <w:p w14:paraId="6C1AFA90">
                  <w:pPr>
                    <w:autoSpaceDE w:val="0"/>
                    <w:autoSpaceDN w:val="0"/>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序号</w:t>
                  </w:r>
                </w:p>
              </w:tc>
              <w:tc>
                <w:tcPr>
                  <w:tcW w:w="1094" w:type="pct"/>
                  <w:vAlign w:val="center"/>
                </w:tcPr>
                <w:p w14:paraId="620B597A">
                  <w:pPr>
                    <w:autoSpaceDE w:val="0"/>
                    <w:autoSpaceDN w:val="0"/>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构筑物</w:t>
                  </w:r>
                </w:p>
              </w:tc>
              <w:tc>
                <w:tcPr>
                  <w:tcW w:w="939" w:type="pct"/>
                  <w:vAlign w:val="center"/>
                </w:tcPr>
                <w:p w14:paraId="68747E33">
                  <w:pPr>
                    <w:autoSpaceDE w:val="0"/>
                    <w:autoSpaceDN w:val="0"/>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分区类别</w:t>
                  </w:r>
                </w:p>
              </w:tc>
              <w:tc>
                <w:tcPr>
                  <w:tcW w:w="2527" w:type="pct"/>
                  <w:vAlign w:val="center"/>
                </w:tcPr>
                <w:p w14:paraId="581A6569">
                  <w:pPr>
                    <w:autoSpaceDE w:val="0"/>
                    <w:autoSpaceDN w:val="0"/>
                    <w:adjustRightInd w:val="0"/>
                    <w:snapToGrid w:val="0"/>
                    <w:jc w:val="center"/>
                    <w:rPr>
                      <w:rFonts w:ascii="Times New Roman" w:hAnsi="Times New Roman" w:eastAsia="宋体" w:cs="Times New Roman"/>
                      <w:b/>
                      <w:szCs w:val="21"/>
                    </w:rPr>
                  </w:pPr>
                  <w:r>
                    <w:rPr>
                      <w:rFonts w:ascii="Times New Roman" w:hAnsi="Times New Roman" w:eastAsia="宋体" w:cs="Times New Roman"/>
                      <w:b/>
                      <w:szCs w:val="21"/>
                    </w:rPr>
                    <w:t>防渗措施</w:t>
                  </w:r>
                </w:p>
              </w:tc>
            </w:tr>
            <w:tr w14:paraId="118519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440" w:type="pct"/>
                  <w:vAlign w:val="center"/>
                </w:tcPr>
                <w:p w14:paraId="365C0A76">
                  <w:pPr>
                    <w:autoSpaceDE w:val="0"/>
                    <w:autoSpaceDN w:val="0"/>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1</w:t>
                  </w:r>
                </w:p>
              </w:tc>
              <w:tc>
                <w:tcPr>
                  <w:tcW w:w="1094" w:type="pct"/>
                  <w:vAlign w:val="center"/>
                </w:tcPr>
                <w:p w14:paraId="040A2ADC">
                  <w:pPr>
                    <w:autoSpaceDE w:val="0"/>
                    <w:autoSpaceDN w:val="0"/>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生活污水处理设施、机油暂存间</w:t>
                  </w:r>
                </w:p>
              </w:tc>
              <w:tc>
                <w:tcPr>
                  <w:tcW w:w="939" w:type="pct"/>
                  <w:vAlign w:val="center"/>
                </w:tcPr>
                <w:p w14:paraId="151AF32C">
                  <w:pPr>
                    <w:autoSpaceDE w:val="0"/>
                    <w:autoSpaceDN w:val="0"/>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重点防渗区</w:t>
                  </w:r>
                </w:p>
              </w:tc>
              <w:tc>
                <w:tcPr>
                  <w:tcW w:w="2527" w:type="pct"/>
                  <w:vAlign w:val="center"/>
                </w:tcPr>
                <w:p w14:paraId="45EF89C5">
                  <w:pPr>
                    <w:autoSpaceDE w:val="0"/>
                    <w:autoSpaceDN w:val="0"/>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水泥硬化地面上，涂高密度聚乙烯膜防渗，其防渗性能应相当于渗透系数1</w:t>
                  </w:r>
                  <w:r>
                    <w:rPr>
                      <w:rFonts w:ascii="Times New Roman" w:hAnsi="Times New Roman" w:eastAsia="宋体" w:cs="Times New Roman"/>
                      <w:szCs w:val="21"/>
                    </w:rPr>
                    <w:t>.</w:t>
                  </w:r>
                  <w:r>
                    <w:rPr>
                      <w:rFonts w:hint="eastAsia" w:ascii="Times New Roman" w:hAnsi="Times New Roman" w:eastAsia="宋体" w:cs="Times New Roman"/>
                      <w:szCs w:val="21"/>
                    </w:rPr>
                    <w:t>0×10</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vertAlign w:val="superscript"/>
                    </w:rPr>
                    <w:t>10</w:t>
                  </w:r>
                  <w:r>
                    <w:rPr>
                      <w:rFonts w:hint="eastAsia" w:ascii="Times New Roman" w:hAnsi="Times New Roman" w:eastAsia="宋体" w:cs="Times New Roman"/>
                      <w:szCs w:val="21"/>
                    </w:rPr>
                    <w:t>cm</w:t>
                  </w:r>
                  <w:r>
                    <w:rPr>
                      <w:rFonts w:ascii="Times New Roman" w:hAnsi="Times New Roman" w:eastAsia="宋体" w:cs="Times New Roman"/>
                      <w:szCs w:val="21"/>
                    </w:rPr>
                    <w:t>/</w:t>
                  </w:r>
                  <w:r>
                    <w:rPr>
                      <w:rFonts w:hint="eastAsia" w:ascii="Times New Roman" w:hAnsi="Times New Roman" w:eastAsia="宋体" w:cs="Times New Roman"/>
                      <w:szCs w:val="21"/>
                    </w:rPr>
                    <w:t>s和厚度6m的粘土层的防渗性能</w:t>
                  </w:r>
                </w:p>
              </w:tc>
            </w:tr>
            <w:tr w14:paraId="011F23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440" w:type="pct"/>
                  <w:vAlign w:val="center"/>
                </w:tcPr>
                <w:p w14:paraId="3A31AE35">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w:t>
                  </w:r>
                </w:p>
              </w:tc>
              <w:tc>
                <w:tcPr>
                  <w:tcW w:w="1094" w:type="pct"/>
                  <w:vAlign w:val="center"/>
                </w:tcPr>
                <w:p w14:paraId="1EF4F063">
                  <w:pPr>
                    <w:autoSpaceDE w:val="0"/>
                    <w:autoSpaceDN w:val="0"/>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循环沉淀池、清水池</w:t>
                  </w:r>
                  <w:r>
                    <w:rPr>
                      <w:rFonts w:ascii="Times New Roman" w:hAnsi="Times New Roman" w:eastAsia="宋体" w:cs="Times New Roman"/>
                      <w:szCs w:val="21"/>
                    </w:rPr>
                    <w:t>、</w:t>
                  </w:r>
                  <w:r>
                    <w:rPr>
                      <w:rFonts w:hint="eastAsia" w:ascii="Times New Roman" w:hAnsi="Times New Roman" w:eastAsia="宋体" w:cs="Times New Roman"/>
                      <w:szCs w:val="21"/>
                    </w:rPr>
                    <w:t>轮胎</w:t>
                  </w:r>
                  <w:r>
                    <w:rPr>
                      <w:rFonts w:ascii="Times New Roman" w:hAnsi="Times New Roman" w:eastAsia="宋体" w:cs="Times New Roman"/>
                      <w:szCs w:val="21"/>
                    </w:rPr>
                    <w:t>清洗池</w:t>
                  </w:r>
                </w:p>
              </w:tc>
              <w:tc>
                <w:tcPr>
                  <w:tcW w:w="939" w:type="pct"/>
                  <w:vAlign w:val="center"/>
                </w:tcPr>
                <w:p w14:paraId="35B6C43B">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一般防渗区</w:t>
                  </w:r>
                </w:p>
              </w:tc>
              <w:tc>
                <w:tcPr>
                  <w:tcW w:w="2527" w:type="pct"/>
                  <w:vAlign w:val="center"/>
                </w:tcPr>
                <w:p w14:paraId="3F92E31A">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水泥硬化地面，上涂环氧树脂漆防腐、防渗，其防渗性能应相当于渗透系数1.0×10</w:t>
                  </w:r>
                  <w:r>
                    <w:rPr>
                      <w:rFonts w:hint="eastAsia" w:ascii="Times New Roman" w:hAnsi="Times New Roman" w:eastAsia="宋体" w:cs="Times New Roman"/>
                      <w:szCs w:val="21"/>
                      <w:lang w:eastAsia="zh-CN"/>
                    </w:rPr>
                    <w:t>—</w:t>
                  </w:r>
                  <w:r>
                    <w:rPr>
                      <w:rFonts w:ascii="Times New Roman" w:hAnsi="Times New Roman" w:eastAsia="宋体" w:cs="Times New Roman"/>
                      <w:szCs w:val="21"/>
                      <w:vertAlign w:val="superscript"/>
                    </w:rPr>
                    <w:t>7</w:t>
                  </w:r>
                  <w:r>
                    <w:rPr>
                      <w:rFonts w:ascii="Times New Roman" w:hAnsi="Times New Roman" w:eastAsia="宋体" w:cs="Times New Roman"/>
                      <w:szCs w:val="21"/>
                    </w:rPr>
                    <w:t>cm/s和厚度15m的粘土层的防渗性能</w:t>
                  </w:r>
                </w:p>
              </w:tc>
            </w:tr>
            <w:tr w14:paraId="4EAF95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440" w:type="pct"/>
                  <w:vAlign w:val="center"/>
                </w:tcPr>
                <w:p w14:paraId="22AF4002">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w:t>
                  </w:r>
                </w:p>
              </w:tc>
              <w:tc>
                <w:tcPr>
                  <w:tcW w:w="1094" w:type="pct"/>
                  <w:vAlign w:val="center"/>
                </w:tcPr>
                <w:p w14:paraId="38375017">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生产车间、厂区道路、办公生活区</w:t>
                  </w:r>
                </w:p>
              </w:tc>
              <w:tc>
                <w:tcPr>
                  <w:tcW w:w="939" w:type="pct"/>
                  <w:vAlign w:val="center"/>
                </w:tcPr>
                <w:p w14:paraId="3D084CA6">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简单防渗区</w:t>
                  </w:r>
                </w:p>
              </w:tc>
              <w:tc>
                <w:tcPr>
                  <w:tcW w:w="2527" w:type="pct"/>
                  <w:vAlign w:val="center"/>
                </w:tcPr>
                <w:p w14:paraId="027146A3">
                  <w:pPr>
                    <w:autoSpaceDE w:val="0"/>
                    <w:autoSpaceDN w:val="0"/>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一般地面硬化</w:t>
                  </w:r>
                </w:p>
              </w:tc>
            </w:tr>
          </w:tbl>
          <w:p w14:paraId="4115E18F">
            <w:pPr>
              <w:spacing w:line="360" w:lineRule="auto"/>
              <w:rPr>
                <w:rFonts w:ascii="Times New Roman" w:hAnsi="Times New Roman" w:eastAsia="宋体" w:cs="Times New Roman"/>
                <w:b/>
                <w:sz w:val="28"/>
                <w:szCs w:val="21"/>
              </w:rPr>
            </w:pPr>
            <w:r>
              <w:rPr>
                <w:rFonts w:ascii="Times New Roman" w:hAnsi="Times New Roman" w:eastAsia="宋体" w:cs="Times New Roman"/>
                <w:b/>
                <w:bCs/>
                <w:sz w:val="28"/>
                <w:szCs w:val="21"/>
              </w:rPr>
              <w:t>四、环保投资估算一览表</w:t>
            </w:r>
          </w:p>
          <w:p w14:paraId="7F7B0F59">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本项目总投资200万元，项目为</w:t>
            </w:r>
            <w:r>
              <w:rPr>
                <w:rFonts w:hint="eastAsia" w:ascii="Times New Roman" w:hAnsi="Times New Roman" w:eastAsia="宋体" w:cs="Times New Roman"/>
                <w:sz w:val="24"/>
              </w:rPr>
              <w:t>新建</w:t>
            </w:r>
            <w:r>
              <w:rPr>
                <w:rFonts w:ascii="Times New Roman" w:hAnsi="Times New Roman" w:eastAsia="宋体" w:cs="Times New Roman"/>
                <w:sz w:val="24"/>
              </w:rPr>
              <w:t>工程，为确保污染物达标排放，项目环保投资17.5万元，占总投资的8.75%。项目环保投资见表5-10。</w:t>
            </w:r>
          </w:p>
          <w:p w14:paraId="2F08D8D2">
            <w:pPr>
              <w:spacing w:line="276" w:lineRule="auto"/>
              <w:jc w:val="center"/>
              <w:rPr>
                <w:rFonts w:ascii="Times New Roman" w:hAnsi="Times New Roman" w:eastAsia="宋体" w:cs="Times New Roman"/>
                <w:bCs/>
                <w:sz w:val="24"/>
              </w:rPr>
            </w:pPr>
            <w:r>
              <w:rPr>
                <w:rFonts w:ascii="Times New Roman" w:hAnsi="Times New Roman" w:eastAsia="宋体" w:cs="Times New Roman"/>
                <w:bCs/>
                <w:sz w:val="24"/>
              </w:rPr>
              <w:t>表5-10</w:t>
            </w:r>
            <w:r>
              <w:rPr>
                <w:rFonts w:hint="eastAsia" w:ascii="Times New Roman" w:hAnsi="Times New Roman" w:eastAsia="宋体" w:cs="Times New Roman"/>
                <w:bCs/>
                <w:sz w:val="24"/>
              </w:rPr>
              <w:t xml:space="preserve"> </w:t>
            </w:r>
            <w:r>
              <w:rPr>
                <w:rFonts w:ascii="Times New Roman" w:hAnsi="Times New Roman" w:eastAsia="宋体" w:cs="Times New Roman"/>
                <w:bCs/>
                <w:sz w:val="24"/>
              </w:rPr>
              <w:t>环保设施（措施）及投资估算一览表</w:t>
            </w:r>
          </w:p>
          <w:tbl>
            <w:tblPr>
              <w:tblStyle w:val="26"/>
              <w:tblW w:w="5000"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153"/>
              <w:gridCol w:w="1558"/>
              <w:gridCol w:w="2813"/>
              <w:gridCol w:w="1294"/>
              <w:gridCol w:w="1479"/>
            </w:tblGrid>
            <w:tr w14:paraId="43C177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tcBorders>
                    <w:top w:val="single" w:color="auto" w:sz="12" w:space="0"/>
                    <w:left w:val="single" w:color="auto" w:sz="12" w:space="0"/>
                    <w:bottom w:val="single" w:color="auto" w:sz="12" w:space="0"/>
                    <w:right w:val="single" w:color="auto" w:sz="6" w:space="0"/>
                  </w:tcBorders>
                  <w:vAlign w:val="center"/>
                </w:tcPr>
                <w:p w14:paraId="0172C423">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项目</w:t>
                  </w:r>
                </w:p>
              </w:tc>
              <w:tc>
                <w:tcPr>
                  <w:tcW w:w="939" w:type="pct"/>
                  <w:tcBorders>
                    <w:top w:val="single" w:color="auto" w:sz="12" w:space="0"/>
                    <w:left w:val="single" w:color="auto" w:sz="6" w:space="0"/>
                    <w:bottom w:val="single" w:color="auto" w:sz="12" w:space="0"/>
                    <w:right w:val="single" w:color="auto" w:sz="6" w:space="0"/>
                  </w:tcBorders>
                  <w:vAlign w:val="center"/>
                </w:tcPr>
                <w:p w14:paraId="2ADB3002">
                  <w:pPr>
                    <w:widowControl/>
                    <w:ind w:leftChars="-8" w:hanging="16" w:hangingChars="8"/>
                    <w:jc w:val="center"/>
                    <w:rPr>
                      <w:rFonts w:ascii="Times New Roman" w:hAnsi="Times New Roman" w:eastAsia="宋体" w:cs="Times New Roman"/>
                      <w:kern w:val="0"/>
                      <w:szCs w:val="21"/>
                    </w:rPr>
                  </w:pPr>
                  <w:r>
                    <w:rPr>
                      <w:rFonts w:ascii="Times New Roman" w:hAnsi="Times New Roman" w:eastAsia="宋体" w:cs="Times New Roman"/>
                      <w:kern w:val="0"/>
                      <w:szCs w:val="21"/>
                    </w:rPr>
                    <w:t>污染源</w:t>
                  </w:r>
                </w:p>
              </w:tc>
              <w:tc>
                <w:tcPr>
                  <w:tcW w:w="1695" w:type="pct"/>
                  <w:tcBorders>
                    <w:top w:val="single" w:color="auto" w:sz="12" w:space="0"/>
                    <w:left w:val="single" w:color="auto" w:sz="6" w:space="0"/>
                    <w:bottom w:val="single" w:color="auto" w:sz="12" w:space="0"/>
                    <w:right w:val="single" w:color="auto" w:sz="6" w:space="0"/>
                  </w:tcBorders>
                  <w:vAlign w:val="center"/>
                </w:tcPr>
                <w:p w14:paraId="35CD8688">
                  <w:pPr>
                    <w:widowControl/>
                    <w:ind w:firstLine="25" w:firstLineChars="12"/>
                    <w:jc w:val="center"/>
                    <w:rPr>
                      <w:rFonts w:ascii="Times New Roman" w:hAnsi="Times New Roman" w:eastAsia="宋体" w:cs="Times New Roman"/>
                      <w:kern w:val="0"/>
                      <w:szCs w:val="21"/>
                    </w:rPr>
                  </w:pPr>
                  <w:r>
                    <w:rPr>
                      <w:rFonts w:ascii="Times New Roman" w:hAnsi="Times New Roman" w:eastAsia="宋体" w:cs="Times New Roman"/>
                      <w:kern w:val="0"/>
                      <w:szCs w:val="21"/>
                    </w:rPr>
                    <w:t>治理措施</w:t>
                  </w:r>
                </w:p>
              </w:tc>
              <w:tc>
                <w:tcPr>
                  <w:tcW w:w="780" w:type="pct"/>
                  <w:tcBorders>
                    <w:top w:val="single" w:color="auto" w:sz="12" w:space="0"/>
                    <w:left w:val="single" w:color="auto" w:sz="6" w:space="0"/>
                    <w:bottom w:val="single" w:color="auto" w:sz="12" w:space="0"/>
                    <w:right w:val="single" w:color="auto" w:sz="6" w:space="0"/>
                  </w:tcBorders>
                  <w:vAlign w:val="center"/>
                </w:tcPr>
                <w:p w14:paraId="28AEF187">
                  <w:pPr>
                    <w:widowControl/>
                    <w:ind w:hanging="2"/>
                    <w:jc w:val="center"/>
                    <w:rPr>
                      <w:rFonts w:ascii="Times New Roman" w:hAnsi="Times New Roman" w:eastAsia="宋体" w:cs="Times New Roman"/>
                      <w:kern w:val="0"/>
                      <w:szCs w:val="21"/>
                    </w:rPr>
                  </w:pPr>
                  <w:r>
                    <w:rPr>
                      <w:rFonts w:ascii="Times New Roman" w:hAnsi="Times New Roman" w:eastAsia="宋体" w:cs="Times New Roman"/>
                      <w:kern w:val="0"/>
                      <w:szCs w:val="21"/>
                    </w:rPr>
                    <w:t>环保投资（万元）</w:t>
                  </w:r>
                </w:p>
              </w:tc>
              <w:tc>
                <w:tcPr>
                  <w:tcW w:w="891" w:type="pct"/>
                  <w:tcBorders>
                    <w:top w:val="single" w:color="auto" w:sz="12" w:space="0"/>
                    <w:left w:val="single" w:color="auto" w:sz="6" w:space="0"/>
                    <w:bottom w:val="single" w:color="auto" w:sz="12" w:space="0"/>
                    <w:right w:val="single" w:color="auto" w:sz="12" w:space="0"/>
                  </w:tcBorders>
                  <w:vAlign w:val="center"/>
                </w:tcPr>
                <w:p w14:paraId="5A74893B">
                  <w:pPr>
                    <w:widowControl/>
                    <w:ind w:hanging="2"/>
                    <w:jc w:val="center"/>
                    <w:rPr>
                      <w:rFonts w:ascii="Times New Roman" w:hAnsi="Times New Roman" w:eastAsia="宋体" w:cs="Times New Roman"/>
                      <w:kern w:val="0"/>
                      <w:szCs w:val="21"/>
                    </w:rPr>
                  </w:pPr>
                  <w:r>
                    <w:rPr>
                      <w:rFonts w:ascii="Times New Roman" w:hAnsi="Times New Roman" w:eastAsia="宋体" w:cs="Times New Roman"/>
                      <w:kern w:val="0"/>
                      <w:szCs w:val="21"/>
                    </w:rPr>
                    <w:t>备注</w:t>
                  </w:r>
                </w:p>
              </w:tc>
            </w:tr>
            <w:tr w14:paraId="745513A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779" w:hRule="atLeast"/>
                <w:jc w:val="center"/>
              </w:trPr>
              <w:tc>
                <w:tcPr>
                  <w:tcW w:w="695" w:type="pct"/>
                  <w:vMerge w:val="restart"/>
                  <w:tcBorders>
                    <w:top w:val="single" w:color="auto" w:sz="12" w:space="0"/>
                    <w:left w:val="single" w:color="auto" w:sz="12" w:space="0"/>
                    <w:right w:val="single" w:color="auto" w:sz="6" w:space="0"/>
                  </w:tcBorders>
                  <w:vAlign w:val="center"/>
                </w:tcPr>
                <w:p w14:paraId="700B6B4A">
                  <w:pPr>
                    <w:widowControl/>
                    <w:ind w:firstLine="29" w:firstLineChars="14"/>
                    <w:jc w:val="center"/>
                    <w:rPr>
                      <w:rFonts w:ascii="Times New Roman" w:hAnsi="Times New Roman" w:eastAsia="宋体" w:cs="Times New Roman"/>
                      <w:kern w:val="0"/>
                      <w:szCs w:val="21"/>
                    </w:rPr>
                  </w:pPr>
                  <w:r>
                    <w:rPr>
                      <w:rFonts w:ascii="Times New Roman" w:hAnsi="Times New Roman" w:eastAsia="宋体" w:cs="Times New Roman"/>
                      <w:kern w:val="0"/>
                      <w:szCs w:val="21"/>
                    </w:rPr>
                    <w:t>废水</w:t>
                  </w:r>
                </w:p>
              </w:tc>
              <w:tc>
                <w:tcPr>
                  <w:tcW w:w="939" w:type="pct"/>
                  <w:tcBorders>
                    <w:top w:val="single" w:color="auto" w:sz="12" w:space="0"/>
                    <w:left w:val="single" w:color="auto" w:sz="6" w:space="0"/>
                    <w:bottom w:val="single" w:color="auto" w:sz="4" w:space="0"/>
                    <w:right w:val="single" w:color="auto" w:sz="6" w:space="0"/>
                  </w:tcBorders>
                  <w:vAlign w:val="center"/>
                </w:tcPr>
                <w:p w14:paraId="011FE24F">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生活污水</w:t>
                  </w:r>
                </w:p>
              </w:tc>
              <w:tc>
                <w:tcPr>
                  <w:tcW w:w="1695" w:type="pct"/>
                  <w:tcBorders>
                    <w:top w:val="single" w:color="auto" w:sz="12" w:space="0"/>
                    <w:left w:val="single" w:color="auto" w:sz="6" w:space="0"/>
                    <w:bottom w:val="single" w:color="auto" w:sz="4" w:space="0"/>
                    <w:right w:val="single" w:color="auto" w:sz="6" w:space="0"/>
                  </w:tcBorders>
                  <w:vAlign w:val="center"/>
                </w:tcPr>
                <w:p w14:paraId="3F399DE2">
                  <w:pPr>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经</w:t>
                  </w:r>
                  <w:r>
                    <w:rPr>
                      <w:rFonts w:hint="eastAsia" w:ascii="Times New Roman" w:hAnsi="Times New Roman" w:eastAsia="宋体" w:cs="Times New Roman"/>
                      <w:kern w:val="0"/>
                      <w:szCs w:val="21"/>
                    </w:rPr>
                    <w:t>二级生化处理设施</w:t>
                  </w:r>
                  <w:r>
                    <w:rPr>
                      <w:rFonts w:ascii="Times New Roman" w:hAnsi="Times New Roman" w:eastAsia="宋体" w:cs="Times New Roman"/>
                      <w:kern w:val="0"/>
                      <w:szCs w:val="21"/>
                    </w:rPr>
                    <w:t>处理后回用作农肥，不直接外排</w:t>
                  </w:r>
                </w:p>
              </w:tc>
              <w:tc>
                <w:tcPr>
                  <w:tcW w:w="780" w:type="pct"/>
                  <w:tcBorders>
                    <w:top w:val="single" w:color="auto" w:sz="12" w:space="0"/>
                    <w:left w:val="single" w:color="auto" w:sz="6" w:space="0"/>
                    <w:bottom w:val="single" w:color="auto" w:sz="4" w:space="0"/>
                    <w:right w:val="single" w:color="auto" w:sz="6" w:space="0"/>
                  </w:tcBorders>
                  <w:vAlign w:val="center"/>
                </w:tcPr>
                <w:p w14:paraId="206AAEE3">
                  <w:pPr>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2</w:t>
                  </w:r>
                </w:p>
              </w:tc>
              <w:tc>
                <w:tcPr>
                  <w:tcW w:w="891" w:type="pct"/>
                  <w:tcBorders>
                    <w:top w:val="single" w:color="auto" w:sz="12" w:space="0"/>
                    <w:left w:val="single" w:color="auto" w:sz="6" w:space="0"/>
                    <w:bottom w:val="single" w:color="auto" w:sz="4" w:space="0"/>
                    <w:right w:val="single" w:color="auto" w:sz="12" w:space="0"/>
                  </w:tcBorders>
                  <w:vAlign w:val="center"/>
                </w:tcPr>
                <w:p w14:paraId="37C3F9DB">
                  <w:pPr>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新建，</w:t>
                  </w:r>
                  <w:r>
                    <w:rPr>
                      <w:rFonts w:ascii="Times New Roman" w:hAnsi="Times New Roman" w:eastAsia="宋体" w:cs="Times New Roman"/>
                      <w:kern w:val="0"/>
                      <w:szCs w:val="21"/>
                    </w:rPr>
                    <w:t>收集处理</w:t>
                  </w:r>
                </w:p>
              </w:tc>
            </w:tr>
            <w:tr w14:paraId="053F320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49" w:hRule="atLeast"/>
                <w:jc w:val="center"/>
              </w:trPr>
              <w:tc>
                <w:tcPr>
                  <w:tcW w:w="695" w:type="pct"/>
                  <w:vMerge w:val="continue"/>
                  <w:tcBorders>
                    <w:left w:val="single" w:color="auto" w:sz="12" w:space="0"/>
                    <w:right w:val="single" w:color="auto" w:sz="6" w:space="0"/>
                  </w:tcBorders>
                  <w:vAlign w:val="center"/>
                </w:tcPr>
                <w:p w14:paraId="7EE010B5">
                  <w:pPr>
                    <w:widowControl/>
                    <w:ind w:firstLine="29" w:firstLineChars="14"/>
                    <w:jc w:val="center"/>
                    <w:rPr>
                      <w:rFonts w:ascii="Times New Roman" w:hAnsi="Times New Roman" w:eastAsia="宋体" w:cs="Times New Roman"/>
                      <w:kern w:val="0"/>
                      <w:szCs w:val="21"/>
                    </w:rPr>
                  </w:pPr>
                </w:p>
              </w:tc>
              <w:tc>
                <w:tcPr>
                  <w:tcW w:w="939" w:type="pct"/>
                  <w:tcBorders>
                    <w:top w:val="single" w:color="auto" w:sz="4" w:space="0"/>
                    <w:left w:val="single" w:color="auto" w:sz="6" w:space="0"/>
                    <w:bottom w:val="single" w:color="auto" w:sz="6" w:space="0"/>
                    <w:right w:val="single" w:color="auto" w:sz="6" w:space="0"/>
                  </w:tcBorders>
                  <w:vAlign w:val="center"/>
                </w:tcPr>
                <w:p w14:paraId="74EDF98B">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生产废水</w:t>
                  </w:r>
                </w:p>
              </w:tc>
              <w:tc>
                <w:tcPr>
                  <w:tcW w:w="1695" w:type="pct"/>
                  <w:tcBorders>
                    <w:top w:val="single" w:color="auto" w:sz="4" w:space="0"/>
                    <w:left w:val="single" w:color="auto" w:sz="6" w:space="0"/>
                    <w:bottom w:val="single" w:color="auto" w:sz="6" w:space="0"/>
                    <w:right w:val="single" w:color="auto" w:sz="6" w:space="0"/>
                  </w:tcBorders>
                  <w:vAlign w:val="center"/>
                </w:tcPr>
                <w:p w14:paraId="688B4B32">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经生产废水循环沉淀池处理后循环使用，设置事故应急池（容积不小于废水量3</w:t>
                  </w:r>
                  <w:r>
                    <w:rPr>
                      <w:rFonts w:ascii="Times New Roman" w:hAnsi="Times New Roman" w:eastAsia="宋体" w:cs="Times New Roman"/>
                      <w:kern w:val="0"/>
                      <w:szCs w:val="21"/>
                    </w:rPr>
                    <w:t>0</w:t>
                  </w:r>
                  <w:r>
                    <w:rPr>
                      <w:rFonts w:hint="eastAsia" w:ascii="Times New Roman" w:hAnsi="Times New Roman" w:eastAsia="宋体" w:cs="Times New Roman"/>
                      <w:kern w:val="0"/>
                      <w:szCs w:val="21"/>
                    </w:rPr>
                    <w:t>%）</w:t>
                  </w:r>
                </w:p>
              </w:tc>
              <w:tc>
                <w:tcPr>
                  <w:tcW w:w="780" w:type="pct"/>
                  <w:tcBorders>
                    <w:top w:val="single" w:color="auto" w:sz="4" w:space="0"/>
                    <w:left w:val="single" w:color="auto" w:sz="6" w:space="0"/>
                    <w:bottom w:val="single" w:color="auto" w:sz="6" w:space="0"/>
                    <w:right w:val="single" w:color="auto" w:sz="6" w:space="0"/>
                  </w:tcBorders>
                  <w:vAlign w:val="center"/>
                </w:tcPr>
                <w:p w14:paraId="42D0A730">
                  <w:pPr>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891" w:type="pct"/>
                  <w:tcBorders>
                    <w:top w:val="single" w:color="auto" w:sz="4" w:space="0"/>
                    <w:left w:val="single" w:color="auto" w:sz="6" w:space="0"/>
                    <w:bottom w:val="single" w:color="auto" w:sz="6" w:space="0"/>
                    <w:right w:val="single" w:color="auto" w:sz="12" w:space="0"/>
                  </w:tcBorders>
                  <w:vAlign w:val="center"/>
                </w:tcPr>
                <w:p w14:paraId="59AAB719">
                  <w:pPr>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新建，</w:t>
                  </w:r>
                  <w:r>
                    <w:rPr>
                      <w:rFonts w:ascii="Times New Roman" w:hAnsi="Times New Roman" w:eastAsia="宋体" w:cs="Times New Roman"/>
                      <w:kern w:val="0"/>
                      <w:szCs w:val="21"/>
                    </w:rPr>
                    <w:t>收集处理</w:t>
                  </w:r>
                </w:p>
              </w:tc>
            </w:tr>
            <w:tr w14:paraId="1F5D78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49" w:hRule="atLeast"/>
                <w:jc w:val="center"/>
              </w:trPr>
              <w:tc>
                <w:tcPr>
                  <w:tcW w:w="695" w:type="pct"/>
                  <w:vMerge w:val="continue"/>
                  <w:tcBorders>
                    <w:left w:val="single" w:color="auto" w:sz="12" w:space="0"/>
                    <w:right w:val="single" w:color="auto" w:sz="6" w:space="0"/>
                  </w:tcBorders>
                  <w:vAlign w:val="center"/>
                </w:tcPr>
                <w:p w14:paraId="646FA26A">
                  <w:pPr>
                    <w:widowControl/>
                    <w:ind w:firstLine="29" w:firstLineChars="14"/>
                    <w:jc w:val="center"/>
                    <w:rPr>
                      <w:rFonts w:ascii="Times New Roman" w:hAnsi="Times New Roman" w:eastAsia="宋体" w:cs="Times New Roman"/>
                      <w:kern w:val="0"/>
                      <w:szCs w:val="21"/>
                    </w:rPr>
                  </w:pPr>
                </w:p>
              </w:tc>
              <w:tc>
                <w:tcPr>
                  <w:tcW w:w="939" w:type="pct"/>
                  <w:tcBorders>
                    <w:top w:val="single" w:color="auto" w:sz="4" w:space="0"/>
                    <w:left w:val="single" w:color="auto" w:sz="6" w:space="0"/>
                    <w:bottom w:val="single" w:color="auto" w:sz="6" w:space="0"/>
                    <w:right w:val="single" w:color="auto" w:sz="6" w:space="0"/>
                  </w:tcBorders>
                  <w:vAlign w:val="center"/>
                </w:tcPr>
                <w:p w14:paraId="29B6B538">
                  <w:pPr>
                    <w:jc w:val="center"/>
                    <w:rPr>
                      <w:rFonts w:ascii="Times New Roman" w:hAnsi="Times New Roman" w:eastAsia="宋体" w:cs="Times New Roman"/>
                      <w:kern w:val="0"/>
                      <w:szCs w:val="21"/>
                    </w:rPr>
                  </w:pPr>
                  <w:r>
                    <w:rPr>
                      <w:rFonts w:ascii="Times New Roman" w:hAnsi="Times New Roman" w:eastAsia="宋体" w:cs="Times New Roman"/>
                      <w:kern w:val="0"/>
                      <w:szCs w:val="21"/>
                    </w:rPr>
                    <w:t>雨水</w:t>
                  </w:r>
                </w:p>
              </w:tc>
              <w:tc>
                <w:tcPr>
                  <w:tcW w:w="1695" w:type="pct"/>
                  <w:tcBorders>
                    <w:top w:val="single" w:color="auto" w:sz="4" w:space="0"/>
                    <w:left w:val="single" w:color="auto" w:sz="6" w:space="0"/>
                    <w:bottom w:val="single" w:color="auto" w:sz="6" w:space="0"/>
                    <w:right w:val="single" w:color="auto" w:sz="6" w:space="0"/>
                  </w:tcBorders>
                  <w:vAlign w:val="center"/>
                </w:tcPr>
                <w:p w14:paraId="6152F0B8">
                  <w:pPr>
                    <w:jc w:val="center"/>
                    <w:rPr>
                      <w:rFonts w:ascii="Times New Roman" w:hAnsi="Times New Roman" w:eastAsia="宋体" w:cs="Times New Roman"/>
                      <w:bCs/>
                      <w:kern w:val="0"/>
                      <w:szCs w:val="21"/>
                    </w:rPr>
                  </w:pPr>
                  <w:r>
                    <w:rPr>
                      <w:rFonts w:hint="eastAsia" w:ascii="Times New Roman" w:hAnsi="Times New Roman" w:eastAsia="宋体" w:cs="Times New Roman"/>
                      <w:bCs/>
                      <w:kern w:val="0"/>
                      <w:szCs w:val="21"/>
                    </w:rPr>
                    <w:t>雨水导排沟、雨水斗、三级雨水沉淀池等</w:t>
                  </w:r>
                </w:p>
              </w:tc>
              <w:tc>
                <w:tcPr>
                  <w:tcW w:w="780" w:type="pct"/>
                  <w:tcBorders>
                    <w:top w:val="single" w:color="auto" w:sz="4" w:space="0"/>
                    <w:left w:val="single" w:color="auto" w:sz="6" w:space="0"/>
                    <w:bottom w:val="single" w:color="auto" w:sz="6" w:space="0"/>
                    <w:right w:val="single" w:color="auto" w:sz="6" w:space="0"/>
                  </w:tcBorders>
                  <w:vAlign w:val="center"/>
                </w:tcPr>
                <w:p w14:paraId="45E9B8B5">
                  <w:pPr>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2</w:t>
                  </w:r>
                </w:p>
              </w:tc>
              <w:tc>
                <w:tcPr>
                  <w:tcW w:w="891" w:type="pct"/>
                  <w:tcBorders>
                    <w:top w:val="single" w:color="auto" w:sz="4" w:space="0"/>
                    <w:left w:val="single" w:color="auto" w:sz="6" w:space="0"/>
                    <w:bottom w:val="single" w:color="auto" w:sz="6" w:space="0"/>
                    <w:right w:val="single" w:color="auto" w:sz="12" w:space="0"/>
                  </w:tcBorders>
                  <w:vAlign w:val="center"/>
                </w:tcPr>
                <w:p w14:paraId="325FC6E1">
                  <w:pPr>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新建，</w:t>
                  </w:r>
                  <w:r>
                    <w:rPr>
                      <w:rFonts w:ascii="Times New Roman" w:hAnsi="Times New Roman" w:eastAsia="宋体" w:cs="Times New Roman"/>
                      <w:kern w:val="0"/>
                      <w:szCs w:val="21"/>
                    </w:rPr>
                    <w:t>收集处理</w:t>
                  </w:r>
                </w:p>
              </w:tc>
            </w:tr>
            <w:tr w14:paraId="43B8AF0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restart"/>
                  <w:tcBorders>
                    <w:top w:val="single" w:color="auto" w:sz="6" w:space="0"/>
                    <w:left w:val="single" w:color="auto" w:sz="12" w:space="0"/>
                    <w:right w:val="single" w:color="auto" w:sz="6" w:space="0"/>
                  </w:tcBorders>
                  <w:vAlign w:val="center"/>
                </w:tcPr>
                <w:p w14:paraId="5FE02EDA">
                  <w:pPr>
                    <w:widowControl/>
                    <w:ind w:firstLine="29" w:firstLineChars="14"/>
                    <w:jc w:val="center"/>
                    <w:rPr>
                      <w:rFonts w:ascii="Times New Roman" w:hAnsi="Times New Roman" w:eastAsia="宋体" w:cs="Times New Roman"/>
                      <w:kern w:val="0"/>
                      <w:szCs w:val="21"/>
                    </w:rPr>
                  </w:pPr>
                  <w:r>
                    <w:rPr>
                      <w:rFonts w:ascii="Times New Roman" w:hAnsi="Times New Roman" w:eastAsia="宋体" w:cs="Times New Roman"/>
                      <w:kern w:val="0"/>
                      <w:szCs w:val="21"/>
                    </w:rPr>
                    <w:t>废气</w:t>
                  </w:r>
                </w:p>
              </w:tc>
              <w:tc>
                <w:tcPr>
                  <w:tcW w:w="939" w:type="pct"/>
                  <w:tcBorders>
                    <w:top w:val="single" w:color="auto" w:sz="6" w:space="0"/>
                    <w:left w:val="single" w:color="auto" w:sz="6" w:space="0"/>
                    <w:bottom w:val="single" w:color="auto" w:sz="6" w:space="0"/>
                    <w:right w:val="single" w:color="auto" w:sz="6" w:space="0"/>
                  </w:tcBorders>
                  <w:vAlign w:val="center"/>
                </w:tcPr>
                <w:p w14:paraId="36724693">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车间工艺粉尘</w:t>
                  </w:r>
                </w:p>
              </w:tc>
              <w:tc>
                <w:tcPr>
                  <w:tcW w:w="1695" w:type="pct"/>
                  <w:tcBorders>
                    <w:top w:val="single" w:color="auto" w:sz="6" w:space="0"/>
                    <w:left w:val="single" w:color="auto" w:sz="6" w:space="0"/>
                    <w:bottom w:val="single" w:color="auto" w:sz="6" w:space="0"/>
                    <w:right w:val="single" w:color="auto" w:sz="6" w:space="0"/>
                  </w:tcBorders>
                  <w:vAlign w:val="center"/>
                </w:tcPr>
                <w:p w14:paraId="590A4606">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szCs w:val="21"/>
                    </w:rPr>
                    <w:t>车间密闭、湿法作业、喷雾降尘</w:t>
                  </w:r>
                </w:p>
              </w:tc>
              <w:tc>
                <w:tcPr>
                  <w:tcW w:w="780" w:type="pct"/>
                  <w:tcBorders>
                    <w:top w:val="single" w:color="auto" w:sz="6" w:space="0"/>
                    <w:left w:val="single" w:color="auto" w:sz="6" w:space="0"/>
                    <w:bottom w:val="single" w:color="auto" w:sz="6" w:space="0"/>
                    <w:right w:val="single" w:color="auto" w:sz="6" w:space="0"/>
                  </w:tcBorders>
                  <w:vAlign w:val="center"/>
                </w:tcPr>
                <w:p w14:paraId="7A2D3F19">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5</w:t>
                  </w:r>
                </w:p>
              </w:tc>
              <w:tc>
                <w:tcPr>
                  <w:tcW w:w="891" w:type="pct"/>
                  <w:tcBorders>
                    <w:top w:val="single" w:color="auto" w:sz="6" w:space="0"/>
                    <w:left w:val="single" w:color="auto" w:sz="6" w:space="0"/>
                    <w:bottom w:val="single" w:color="auto" w:sz="6" w:space="0"/>
                    <w:right w:val="single" w:color="auto" w:sz="12" w:space="0"/>
                  </w:tcBorders>
                  <w:vAlign w:val="center"/>
                </w:tcPr>
                <w:p w14:paraId="34DAAA01">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设备维护费用</w:t>
                  </w:r>
                  <w:r>
                    <w:rPr>
                      <w:rFonts w:ascii="Times New Roman" w:hAnsi="Times New Roman" w:eastAsia="宋体" w:cs="Times New Roman"/>
                      <w:kern w:val="0"/>
                      <w:szCs w:val="21"/>
                    </w:rPr>
                    <w:t>每年持续投入</w:t>
                  </w:r>
                </w:p>
              </w:tc>
            </w:tr>
            <w:tr w14:paraId="26EC17C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continue"/>
                  <w:tcBorders>
                    <w:left w:val="single" w:color="auto" w:sz="12" w:space="0"/>
                    <w:right w:val="single" w:color="auto" w:sz="6" w:space="0"/>
                  </w:tcBorders>
                  <w:vAlign w:val="center"/>
                </w:tcPr>
                <w:p w14:paraId="1F1F37AC">
                  <w:pPr>
                    <w:widowControl/>
                    <w:ind w:firstLine="29" w:firstLineChars="14"/>
                    <w:jc w:val="center"/>
                    <w:rPr>
                      <w:rFonts w:ascii="Times New Roman" w:hAnsi="Times New Roman" w:eastAsia="宋体" w:cs="Times New Roman"/>
                      <w:kern w:val="0"/>
                      <w:szCs w:val="21"/>
                    </w:rPr>
                  </w:pPr>
                </w:p>
              </w:tc>
              <w:tc>
                <w:tcPr>
                  <w:tcW w:w="939" w:type="pct"/>
                  <w:tcBorders>
                    <w:top w:val="single" w:color="auto" w:sz="6" w:space="0"/>
                    <w:left w:val="single" w:color="auto" w:sz="6" w:space="0"/>
                    <w:bottom w:val="single" w:color="auto" w:sz="6" w:space="0"/>
                    <w:right w:val="single" w:color="auto" w:sz="6" w:space="0"/>
                  </w:tcBorders>
                  <w:vAlign w:val="center"/>
                </w:tcPr>
                <w:p w14:paraId="0BA787B2">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厂区扬尘</w:t>
                  </w:r>
                </w:p>
              </w:tc>
              <w:tc>
                <w:tcPr>
                  <w:tcW w:w="1695" w:type="pct"/>
                  <w:tcBorders>
                    <w:top w:val="single" w:color="auto" w:sz="6" w:space="0"/>
                    <w:left w:val="single" w:color="auto" w:sz="6" w:space="0"/>
                    <w:bottom w:val="single" w:color="auto" w:sz="6" w:space="0"/>
                    <w:right w:val="single" w:color="auto" w:sz="6" w:space="0"/>
                  </w:tcBorders>
                  <w:vAlign w:val="center"/>
                </w:tcPr>
                <w:p w14:paraId="350D72B5">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围挡、遮盖、喷雾降尘、车辆加盖等</w:t>
                  </w:r>
                </w:p>
              </w:tc>
              <w:tc>
                <w:tcPr>
                  <w:tcW w:w="780" w:type="pct"/>
                  <w:tcBorders>
                    <w:top w:val="single" w:color="auto" w:sz="6" w:space="0"/>
                    <w:left w:val="single" w:color="auto" w:sz="6" w:space="0"/>
                    <w:bottom w:val="single" w:color="auto" w:sz="6" w:space="0"/>
                    <w:right w:val="single" w:color="auto" w:sz="6" w:space="0"/>
                  </w:tcBorders>
                  <w:vAlign w:val="center"/>
                </w:tcPr>
                <w:p w14:paraId="5FF668B0">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891" w:type="pct"/>
                  <w:tcBorders>
                    <w:top w:val="single" w:color="auto" w:sz="6" w:space="0"/>
                    <w:left w:val="single" w:color="auto" w:sz="6" w:space="0"/>
                    <w:bottom w:val="single" w:color="auto" w:sz="6" w:space="0"/>
                    <w:right w:val="single" w:color="auto" w:sz="12" w:space="0"/>
                  </w:tcBorders>
                  <w:vAlign w:val="center"/>
                </w:tcPr>
                <w:p w14:paraId="0B1B071A">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设备维护费用</w:t>
                  </w:r>
                  <w:r>
                    <w:rPr>
                      <w:rFonts w:ascii="Times New Roman" w:hAnsi="Times New Roman" w:eastAsia="宋体" w:cs="Times New Roman"/>
                      <w:kern w:val="0"/>
                      <w:szCs w:val="21"/>
                    </w:rPr>
                    <w:t>每年持续投入</w:t>
                  </w:r>
                </w:p>
              </w:tc>
            </w:tr>
            <w:tr w14:paraId="2C8CB1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continue"/>
                  <w:tcBorders>
                    <w:left w:val="single" w:color="auto" w:sz="12" w:space="0"/>
                    <w:bottom w:val="single" w:color="auto" w:sz="6" w:space="0"/>
                    <w:right w:val="single" w:color="auto" w:sz="6" w:space="0"/>
                  </w:tcBorders>
                  <w:vAlign w:val="center"/>
                </w:tcPr>
                <w:p w14:paraId="4A593B5B">
                  <w:pPr>
                    <w:widowControl/>
                    <w:ind w:firstLine="29" w:firstLineChars="14"/>
                    <w:jc w:val="center"/>
                    <w:rPr>
                      <w:rFonts w:ascii="Times New Roman" w:hAnsi="Times New Roman" w:eastAsia="宋体" w:cs="Times New Roman"/>
                      <w:kern w:val="0"/>
                      <w:szCs w:val="21"/>
                    </w:rPr>
                  </w:pPr>
                </w:p>
              </w:tc>
              <w:tc>
                <w:tcPr>
                  <w:tcW w:w="939" w:type="pct"/>
                  <w:tcBorders>
                    <w:top w:val="single" w:color="auto" w:sz="6" w:space="0"/>
                    <w:left w:val="single" w:color="auto" w:sz="6" w:space="0"/>
                    <w:bottom w:val="single" w:color="auto" w:sz="6" w:space="0"/>
                    <w:right w:val="single" w:color="auto" w:sz="6" w:space="0"/>
                  </w:tcBorders>
                  <w:vAlign w:val="center"/>
                </w:tcPr>
                <w:p w14:paraId="5C46FAE2">
                  <w:pPr>
                    <w:jc w:val="center"/>
                    <w:rPr>
                      <w:rFonts w:ascii="Times New Roman" w:hAnsi="Times New Roman" w:eastAsia="宋体" w:cs="Times New Roman"/>
                      <w:kern w:val="0"/>
                      <w:szCs w:val="21"/>
                    </w:rPr>
                  </w:pPr>
                  <w:r>
                    <w:rPr>
                      <w:rFonts w:ascii="Times New Roman" w:hAnsi="Times New Roman" w:eastAsia="宋体" w:cs="Times New Roman"/>
                      <w:kern w:val="0"/>
                      <w:szCs w:val="21"/>
                    </w:rPr>
                    <w:t>汽车运输扬尘</w:t>
                  </w:r>
                </w:p>
              </w:tc>
              <w:tc>
                <w:tcPr>
                  <w:tcW w:w="1695" w:type="pct"/>
                  <w:tcBorders>
                    <w:top w:val="single" w:color="auto" w:sz="6" w:space="0"/>
                    <w:left w:val="single" w:color="auto" w:sz="6" w:space="0"/>
                    <w:bottom w:val="single" w:color="auto" w:sz="6" w:space="0"/>
                    <w:right w:val="single" w:color="auto" w:sz="6" w:space="0"/>
                  </w:tcBorders>
                  <w:vAlign w:val="center"/>
                </w:tcPr>
                <w:p w14:paraId="2A138E5D">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szCs w:val="21"/>
                    </w:rPr>
                    <w:t>轮胎冲洗</w:t>
                  </w:r>
                  <w:r>
                    <w:rPr>
                      <w:rFonts w:hint="eastAsia" w:ascii="Times New Roman" w:hAnsi="Times New Roman" w:eastAsia="宋体" w:cs="Times New Roman"/>
                      <w:szCs w:val="21"/>
                    </w:rPr>
                    <w:t>，车辆加盖、洒水降尘</w:t>
                  </w:r>
                </w:p>
              </w:tc>
              <w:tc>
                <w:tcPr>
                  <w:tcW w:w="780" w:type="pct"/>
                  <w:tcBorders>
                    <w:top w:val="single" w:color="auto" w:sz="6" w:space="0"/>
                    <w:left w:val="single" w:color="auto" w:sz="6" w:space="0"/>
                    <w:bottom w:val="single" w:color="auto" w:sz="6" w:space="0"/>
                    <w:right w:val="single" w:color="auto" w:sz="6" w:space="0"/>
                  </w:tcBorders>
                  <w:vAlign w:val="center"/>
                </w:tcPr>
                <w:p w14:paraId="4B494C98">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1.5</w:t>
                  </w:r>
                </w:p>
              </w:tc>
              <w:tc>
                <w:tcPr>
                  <w:tcW w:w="891" w:type="pct"/>
                  <w:tcBorders>
                    <w:top w:val="single" w:color="auto" w:sz="6" w:space="0"/>
                    <w:left w:val="single" w:color="auto" w:sz="6" w:space="0"/>
                    <w:bottom w:val="single" w:color="auto" w:sz="6" w:space="0"/>
                    <w:right w:val="single" w:color="auto" w:sz="12" w:space="0"/>
                  </w:tcBorders>
                  <w:vAlign w:val="center"/>
                </w:tcPr>
                <w:p w14:paraId="560C2FA5">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每年持续投入</w:t>
                  </w:r>
                </w:p>
              </w:tc>
            </w:tr>
            <w:tr w14:paraId="2252E76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tcBorders>
                    <w:top w:val="single" w:color="auto" w:sz="6" w:space="0"/>
                    <w:left w:val="single" w:color="auto" w:sz="12" w:space="0"/>
                    <w:bottom w:val="single" w:color="auto" w:sz="6" w:space="0"/>
                    <w:right w:val="single" w:color="auto" w:sz="6" w:space="0"/>
                  </w:tcBorders>
                  <w:vAlign w:val="center"/>
                </w:tcPr>
                <w:p w14:paraId="2C798639">
                  <w:pPr>
                    <w:widowControl/>
                    <w:ind w:firstLine="29" w:firstLineChars="14"/>
                    <w:jc w:val="center"/>
                    <w:rPr>
                      <w:rFonts w:ascii="Times New Roman" w:hAnsi="Times New Roman" w:eastAsia="宋体" w:cs="Times New Roman"/>
                      <w:kern w:val="0"/>
                      <w:szCs w:val="21"/>
                    </w:rPr>
                  </w:pPr>
                  <w:r>
                    <w:rPr>
                      <w:rFonts w:ascii="Times New Roman" w:hAnsi="Times New Roman" w:eastAsia="宋体" w:cs="Times New Roman"/>
                      <w:kern w:val="0"/>
                      <w:szCs w:val="21"/>
                    </w:rPr>
                    <w:t>噪声</w:t>
                  </w:r>
                </w:p>
              </w:tc>
              <w:tc>
                <w:tcPr>
                  <w:tcW w:w="939" w:type="pct"/>
                  <w:tcBorders>
                    <w:top w:val="single" w:color="auto" w:sz="6" w:space="0"/>
                    <w:left w:val="single" w:color="auto" w:sz="6" w:space="0"/>
                    <w:bottom w:val="single" w:color="auto" w:sz="6" w:space="0"/>
                    <w:right w:val="single" w:color="auto" w:sz="6" w:space="0"/>
                  </w:tcBorders>
                  <w:vAlign w:val="center"/>
                </w:tcPr>
                <w:p w14:paraId="4D1F1099">
                  <w:pPr>
                    <w:jc w:val="center"/>
                    <w:rPr>
                      <w:rFonts w:ascii="Times New Roman" w:hAnsi="Times New Roman" w:eastAsia="宋体" w:cs="Times New Roman"/>
                      <w:kern w:val="0"/>
                      <w:szCs w:val="21"/>
                    </w:rPr>
                  </w:pPr>
                  <w:r>
                    <w:rPr>
                      <w:rFonts w:ascii="Times New Roman" w:hAnsi="Times New Roman" w:eastAsia="宋体" w:cs="Times New Roman"/>
                      <w:kern w:val="0"/>
                      <w:szCs w:val="21"/>
                    </w:rPr>
                    <w:t>设备、人员活动噪声</w:t>
                  </w:r>
                </w:p>
              </w:tc>
              <w:tc>
                <w:tcPr>
                  <w:tcW w:w="1695" w:type="pct"/>
                  <w:tcBorders>
                    <w:top w:val="single" w:color="auto" w:sz="6" w:space="0"/>
                    <w:left w:val="single" w:color="auto" w:sz="6" w:space="0"/>
                    <w:bottom w:val="single" w:color="auto" w:sz="6" w:space="0"/>
                    <w:right w:val="single" w:color="auto" w:sz="6" w:space="0"/>
                  </w:tcBorders>
                  <w:vAlign w:val="center"/>
                </w:tcPr>
                <w:p w14:paraId="3BCC99E5">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低噪声先进设备+基座减震+车间密闭</w:t>
                  </w:r>
                </w:p>
              </w:tc>
              <w:tc>
                <w:tcPr>
                  <w:tcW w:w="780" w:type="pct"/>
                  <w:tcBorders>
                    <w:top w:val="single" w:color="auto" w:sz="6" w:space="0"/>
                    <w:left w:val="single" w:color="auto" w:sz="6" w:space="0"/>
                    <w:bottom w:val="single" w:color="auto" w:sz="6" w:space="0"/>
                    <w:right w:val="single" w:color="auto" w:sz="6" w:space="0"/>
                  </w:tcBorders>
                  <w:vAlign w:val="center"/>
                </w:tcPr>
                <w:p w14:paraId="3338B7A4">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计入基建</w:t>
                  </w:r>
                </w:p>
              </w:tc>
              <w:tc>
                <w:tcPr>
                  <w:tcW w:w="891" w:type="pct"/>
                  <w:tcBorders>
                    <w:top w:val="single" w:color="auto" w:sz="6" w:space="0"/>
                    <w:left w:val="single" w:color="auto" w:sz="6" w:space="0"/>
                    <w:bottom w:val="single" w:color="auto" w:sz="6" w:space="0"/>
                    <w:right w:val="single" w:color="auto" w:sz="12" w:space="0"/>
                  </w:tcBorders>
                  <w:vAlign w:val="center"/>
                </w:tcPr>
                <w:p w14:paraId="21E9D311">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w:t>
                  </w:r>
                </w:p>
              </w:tc>
            </w:tr>
            <w:tr w14:paraId="18E5C01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restart"/>
                  <w:tcBorders>
                    <w:top w:val="single" w:color="auto" w:sz="6" w:space="0"/>
                    <w:left w:val="single" w:color="auto" w:sz="12" w:space="0"/>
                    <w:bottom w:val="single" w:color="auto" w:sz="6" w:space="0"/>
                    <w:right w:val="single" w:color="auto" w:sz="6" w:space="0"/>
                  </w:tcBorders>
                  <w:vAlign w:val="center"/>
                </w:tcPr>
                <w:p w14:paraId="6184250B">
                  <w:pPr>
                    <w:widowControl/>
                    <w:ind w:firstLine="29" w:firstLineChars="14"/>
                    <w:jc w:val="center"/>
                    <w:rPr>
                      <w:rFonts w:ascii="Times New Roman" w:hAnsi="Times New Roman" w:eastAsia="宋体" w:cs="Times New Roman"/>
                      <w:kern w:val="0"/>
                      <w:szCs w:val="21"/>
                    </w:rPr>
                  </w:pPr>
                  <w:r>
                    <w:rPr>
                      <w:rFonts w:ascii="Times New Roman" w:hAnsi="Times New Roman" w:eastAsia="宋体" w:cs="Times New Roman"/>
                      <w:kern w:val="0"/>
                      <w:szCs w:val="21"/>
                    </w:rPr>
                    <w:t>固废</w:t>
                  </w:r>
                </w:p>
              </w:tc>
              <w:tc>
                <w:tcPr>
                  <w:tcW w:w="939" w:type="pct"/>
                  <w:tcBorders>
                    <w:top w:val="single" w:color="auto" w:sz="6" w:space="0"/>
                    <w:left w:val="single" w:color="auto" w:sz="6" w:space="0"/>
                    <w:bottom w:val="single" w:color="auto" w:sz="6" w:space="0"/>
                    <w:right w:val="single" w:color="auto" w:sz="6" w:space="0"/>
                  </w:tcBorders>
                  <w:vAlign w:val="center"/>
                </w:tcPr>
                <w:p w14:paraId="258E13E7">
                  <w:pPr>
                    <w:jc w:val="center"/>
                    <w:rPr>
                      <w:rFonts w:ascii="Times New Roman" w:hAnsi="Times New Roman" w:eastAsia="宋体" w:cs="Times New Roman"/>
                      <w:kern w:val="0"/>
                      <w:szCs w:val="21"/>
                    </w:rPr>
                  </w:pPr>
                  <w:r>
                    <w:rPr>
                      <w:rFonts w:ascii="Times New Roman" w:hAnsi="Times New Roman" w:eastAsia="宋体" w:cs="Times New Roman"/>
                      <w:kern w:val="0"/>
                      <w:szCs w:val="21"/>
                    </w:rPr>
                    <w:t>生活垃圾</w:t>
                  </w:r>
                  <w:r>
                    <w:rPr>
                      <w:rFonts w:hint="eastAsia" w:ascii="Times New Roman" w:hAnsi="Times New Roman" w:eastAsia="宋体" w:cs="Times New Roman"/>
                      <w:szCs w:val="21"/>
                    </w:rPr>
                    <w:t>、维修废物</w:t>
                  </w:r>
                </w:p>
              </w:tc>
              <w:tc>
                <w:tcPr>
                  <w:tcW w:w="1695" w:type="pct"/>
                  <w:tcBorders>
                    <w:top w:val="single" w:color="auto" w:sz="6" w:space="0"/>
                    <w:left w:val="single" w:color="auto" w:sz="6" w:space="0"/>
                    <w:bottom w:val="single" w:color="auto" w:sz="6" w:space="0"/>
                    <w:right w:val="single" w:color="auto" w:sz="6" w:space="0"/>
                  </w:tcBorders>
                  <w:vAlign w:val="center"/>
                </w:tcPr>
                <w:p w14:paraId="569E56E3">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szCs w:val="21"/>
                    </w:rPr>
                    <w:t>厂区收集后交环卫部门清运处理</w:t>
                  </w:r>
                </w:p>
              </w:tc>
              <w:tc>
                <w:tcPr>
                  <w:tcW w:w="780" w:type="pct"/>
                  <w:tcBorders>
                    <w:top w:val="single" w:color="auto" w:sz="6" w:space="0"/>
                    <w:left w:val="single" w:color="auto" w:sz="6" w:space="0"/>
                    <w:bottom w:val="single" w:color="auto" w:sz="6" w:space="0"/>
                    <w:right w:val="single" w:color="auto" w:sz="6" w:space="0"/>
                  </w:tcBorders>
                  <w:vAlign w:val="center"/>
                </w:tcPr>
                <w:p w14:paraId="137837BB">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1</w:t>
                  </w:r>
                </w:p>
              </w:tc>
              <w:tc>
                <w:tcPr>
                  <w:tcW w:w="891" w:type="pct"/>
                  <w:tcBorders>
                    <w:top w:val="single" w:color="auto" w:sz="6" w:space="0"/>
                    <w:left w:val="single" w:color="auto" w:sz="6" w:space="0"/>
                    <w:bottom w:val="single" w:color="auto" w:sz="6" w:space="0"/>
                    <w:right w:val="single" w:color="auto" w:sz="12" w:space="0"/>
                  </w:tcBorders>
                  <w:vAlign w:val="center"/>
                </w:tcPr>
                <w:p w14:paraId="05FEBEAE">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妥善处置，每年持续投入</w:t>
                  </w:r>
                </w:p>
              </w:tc>
            </w:tr>
            <w:tr w14:paraId="2264EBA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continue"/>
                  <w:tcBorders>
                    <w:top w:val="single" w:color="auto" w:sz="6" w:space="0"/>
                    <w:left w:val="single" w:color="auto" w:sz="12" w:space="0"/>
                    <w:bottom w:val="single" w:color="auto" w:sz="6" w:space="0"/>
                    <w:right w:val="single" w:color="auto" w:sz="6" w:space="0"/>
                  </w:tcBorders>
                  <w:vAlign w:val="center"/>
                </w:tcPr>
                <w:p w14:paraId="41076356">
                  <w:pPr>
                    <w:widowControl/>
                    <w:ind w:firstLine="29" w:firstLineChars="14"/>
                    <w:jc w:val="center"/>
                    <w:rPr>
                      <w:rFonts w:ascii="Times New Roman" w:hAnsi="Times New Roman" w:eastAsia="宋体" w:cs="Times New Roman"/>
                      <w:kern w:val="0"/>
                      <w:szCs w:val="21"/>
                    </w:rPr>
                  </w:pPr>
                </w:p>
              </w:tc>
              <w:tc>
                <w:tcPr>
                  <w:tcW w:w="939" w:type="pct"/>
                  <w:tcBorders>
                    <w:top w:val="single" w:color="auto" w:sz="6" w:space="0"/>
                    <w:left w:val="single" w:color="auto" w:sz="6" w:space="0"/>
                    <w:bottom w:val="single" w:color="auto" w:sz="6" w:space="0"/>
                    <w:right w:val="single" w:color="auto" w:sz="6" w:space="0"/>
                  </w:tcBorders>
                </w:tcPr>
                <w:p w14:paraId="537AB56E">
                  <w:pPr>
                    <w:jc w:val="center"/>
                    <w:rPr>
                      <w:rFonts w:ascii="Times New Roman" w:hAnsi="Times New Roman" w:eastAsia="宋体" w:cs="Times New Roman"/>
                      <w:kern w:val="0"/>
                      <w:szCs w:val="21"/>
                    </w:rPr>
                  </w:pPr>
                  <w:r>
                    <w:rPr>
                      <w:rFonts w:hint="eastAsia" w:ascii="Times New Roman" w:hAnsi="Times New Roman" w:eastAsia="宋体" w:cs="Times New Roman"/>
                      <w:szCs w:val="21"/>
                    </w:rPr>
                    <w:t>磁选废铁渣、分类废料</w:t>
                  </w:r>
                </w:p>
              </w:tc>
              <w:tc>
                <w:tcPr>
                  <w:tcW w:w="1695" w:type="pct"/>
                  <w:tcBorders>
                    <w:top w:val="single" w:color="auto" w:sz="6" w:space="0"/>
                    <w:left w:val="single" w:color="auto" w:sz="6" w:space="0"/>
                    <w:bottom w:val="single" w:color="auto" w:sz="6" w:space="0"/>
                    <w:right w:val="single" w:color="auto" w:sz="6" w:space="0"/>
                  </w:tcBorders>
                  <w:vAlign w:val="center"/>
                </w:tcPr>
                <w:p w14:paraId="258F18FA">
                  <w:pPr>
                    <w:widowControl/>
                    <w:ind w:firstLine="10" w:firstLineChars="5"/>
                    <w:jc w:val="center"/>
                    <w:rPr>
                      <w:rFonts w:ascii="Times New Roman" w:hAnsi="Times New Roman" w:eastAsia="宋体" w:cs="Times New Roman"/>
                      <w:szCs w:val="21"/>
                    </w:rPr>
                  </w:pPr>
                  <w:r>
                    <w:rPr>
                      <w:rFonts w:hint="eastAsia" w:ascii="Times New Roman" w:hAnsi="Times New Roman" w:eastAsia="宋体" w:cs="Times New Roman"/>
                      <w:szCs w:val="21"/>
                    </w:rPr>
                    <w:t>废品公司</w:t>
                  </w:r>
                  <w:r>
                    <w:rPr>
                      <w:rFonts w:ascii="Times New Roman" w:hAnsi="Times New Roman" w:eastAsia="宋体" w:cs="Times New Roman"/>
                      <w:szCs w:val="21"/>
                    </w:rPr>
                    <w:t>回收外售</w:t>
                  </w:r>
                </w:p>
              </w:tc>
              <w:tc>
                <w:tcPr>
                  <w:tcW w:w="780" w:type="pct"/>
                  <w:tcBorders>
                    <w:top w:val="single" w:color="auto" w:sz="6" w:space="0"/>
                    <w:left w:val="single" w:color="auto" w:sz="6" w:space="0"/>
                    <w:bottom w:val="single" w:color="auto" w:sz="6" w:space="0"/>
                    <w:right w:val="single" w:color="auto" w:sz="6" w:space="0"/>
                  </w:tcBorders>
                  <w:vAlign w:val="center"/>
                </w:tcPr>
                <w:p w14:paraId="7DBDE464">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w:t>
                  </w:r>
                </w:p>
              </w:tc>
              <w:tc>
                <w:tcPr>
                  <w:tcW w:w="891" w:type="pct"/>
                  <w:tcBorders>
                    <w:top w:val="single" w:color="auto" w:sz="6" w:space="0"/>
                    <w:left w:val="single" w:color="auto" w:sz="6" w:space="0"/>
                    <w:bottom w:val="single" w:color="auto" w:sz="6" w:space="0"/>
                    <w:right w:val="single" w:color="auto" w:sz="12" w:space="0"/>
                  </w:tcBorders>
                  <w:vAlign w:val="center"/>
                </w:tcPr>
                <w:p w14:paraId="78EFCBA8">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w:t>
                  </w:r>
                </w:p>
              </w:tc>
            </w:tr>
            <w:tr w14:paraId="028B1B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95" w:type="pct"/>
                  <w:vMerge w:val="continue"/>
                  <w:tcBorders>
                    <w:top w:val="single" w:color="auto" w:sz="6" w:space="0"/>
                    <w:left w:val="single" w:color="auto" w:sz="12" w:space="0"/>
                    <w:bottom w:val="single" w:color="auto" w:sz="6" w:space="0"/>
                    <w:right w:val="single" w:color="auto" w:sz="6" w:space="0"/>
                  </w:tcBorders>
                  <w:vAlign w:val="center"/>
                </w:tcPr>
                <w:p w14:paraId="14B08C95">
                  <w:pPr>
                    <w:widowControl/>
                    <w:ind w:firstLine="29" w:firstLineChars="14"/>
                    <w:jc w:val="center"/>
                    <w:rPr>
                      <w:rFonts w:ascii="Times New Roman" w:hAnsi="Times New Roman" w:eastAsia="宋体" w:cs="Times New Roman"/>
                      <w:kern w:val="0"/>
                      <w:szCs w:val="21"/>
                    </w:rPr>
                  </w:pPr>
                </w:p>
              </w:tc>
              <w:tc>
                <w:tcPr>
                  <w:tcW w:w="939" w:type="pct"/>
                  <w:tcBorders>
                    <w:top w:val="single" w:color="auto" w:sz="6" w:space="0"/>
                    <w:left w:val="single" w:color="auto" w:sz="6" w:space="0"/>
                    <w:bottom w:val="single" w:color="auto" w:sz="6" w:space="0"/>
                    <w:right w:val="single" w:color="auto" w:sz="6" w:space="0"/>
                  </w:tcBorders>
                </w:tcPr>
                <w:p w14:paraId="540DE4BA">
                  <w:pPr>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沉淀池淤泥</w:t>
                  </w:r>
                </w:p>
              </w:tc>
              <w:tc>
                <w:tcPr>
                  <w:tcW w:w="1695" w:type="pct"/>
                  <w:tcBorders>
                    <w:top w:val="single" w:color="auto" w:sz="6" w:space="0"/>
                    <w:left w:val="single" w:color="auto" w:sz="6" w:space="0"/>
                    <w:bottom w:val="single" w:color="auto" w:sz="6" w:space="0"/>
                    <w:right w:val="single" w:color="auto" w:sz="6" w:space="0"/>
                  </w:tcBorders>
                  <w:vAlign w:val="center"/>
                </w:tcPr>
                <w:p w14:paraId="340CA10B">
                  <w:pPr>
                    <w:widowControl/>
                    <w:ind w:firstLine="10" w:firstLineChars="5"/>
                    <w:jc w:val="center"/>
                    <w:rPr>
                      <w:rFonts w:ascii="Times New Roman" w:hAnsi="Times New Roman" w:eastAsia="宋体" w:cs="Times New Roman"/>
                      <w:szCs w:val="21"/>
                    </w:rPr>
                  </w:pPr>
                  <w:r>
                    <w:rPr>
                      <w:rFonts w:hint="eastAsia" w:ascii="Times New Roman" w:hAnsi="Times New Roman" w:eastAsia="宋体" w:cs="Times New Roman"/>
                      <w:szCs w:val="21"/>
                    </w:rPr>
                    <w:t>干化后回填中铁十五局弃土场</w:t>
                  </w:r>
                </w:p>
              </w:tc>
              <w:tc>
                <w:tcPr>
                  <w:tcW w:w="780" w:type="pct"/>
                  <w:tcBorders>
                    <w:top w:val="single" w:color="auto" w:sz="6" w:space="0"/>
                    <w:left w:val="single" w:color="auto" w:sz="6" w:space="0"/>
                    <w:bottom w:val="single" w:color="auto" w:sz="6" w:space="0"/>
                    <w:right w:val="single" w:color="auto" w:sz="6" w:space="0"/>
                  </w:tcBorders>
                  <w:vAlign w:val="center"/>
                </w:tcPr>
                <w:p w14:paraId="638AE4EE">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w:t>
                  </w:r>
                </w:p>
              </w:tc>
              <w:tc>
                <w:tcPr>
                  <w:tcW w:w="891" w:type="pct"/>
                  <w:tcBorders>
                    <w:top w:val="single" w:color="auto" w:sz="6" w:space="0"/>
                    <w:left w:val="single" w:color="auto" w:sz="6" w:space="0"/>
                    <w:bottom w:val="single" w:color="auto" w:sz="6" w:space="0"/>
                    <w:right w:val="single" w:color="auto" w:sz="12" w:space="0"/>
                  </w:tcBorders>
                  <w:vAlign w:val="center"/>
                </w:tcPr>
                <w:p w14:paraId="627D78AB">
                  <w:pPr>
                    <w:widowControl/>
                    <w:ind w:firstLine="10" w:firstLineChars="5"/>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w:t>
                  </w:r>
                </w:p>
              </w:tc>
            </w:tr>
            <w:tr w14:paraId="4F4576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634" w:type="pct"/>
                  <w:gridSpan w:val="2"/>
                  <w:tcBorders>
                    <w:top w:val="single" w:color="auto" w:sz="6" w:space="0"/>
                    <w:left w:val="single" w:color="auto" w:sz="12" w:space="0"/>
                    <w:bottom w:val="single" w:color="auto" w:sz="6" w:space="0"/>
                    <w:right w:val="single" w:color="auto" w:sz="6" w:space="0"/>
                  </w:tcBorders>
                  <w:vAlign w:val="center"/>
                </w:tcPr>
                <w:p w14:paraId="2DB56B19">
                  <w:pPr>
                    <w:jc w:val="center"/>
                    <w:rPr>
                      <w:rFonts w:ascii="Times New Roman" w:hAnsi="Times New Roman" w:eastAsia="宋体" w:cs="Times New Roman"/>
                      <w:kern w:val="0"/>
                      <w:szCs w:val="21"/>
                    </w:rPr>
                  </w:pPr>
                  <w:r>
                    <w:rPr>
                      <w:rFonts w:ascii="Times New Roman" w:hAnsi="Times New Roman" w:eastAsia="宋体" w:cs="Times New Roman"/>
                      <w:kern w:val="0"/>
                      <w:szCs w:val="21"/>
                    </w:rPr>
                    <w:t>环境风险</w:t>
                  </w:r>
                </w:p>
              </w:tc>
              <w:tc>
                <w:tcPr>
                  <w:tcW w:w="1695" w:type="pct"/>
                  <w:tcBorders>
                    <w:top w:val="single" w:color="auto" w:sz="6" w:space="0"/>
                    <w:left w:val="single" w:color="auto" w:sz="6" w:space="0"/>
                    <w:bottom w:val="single" w:color="auto" w:sz="6" w:space="0"/>
                    <w:right w:val="single" w:color="auto" w:sz="6" w:space="0"/>
                  </w:tcBorders>
                  <w:vAlign w:val="center"/>
                </w:tcPr>
                <w:p w14:paraId="23DA74B4">
                  <w:pPr>
                    <w:widowControl/>
                    <w:ind w:firstLine="10" w:firstLineChars="5"/>
                    <w:jc w:val="center"/>
                    <w:rPr>
                      <w:rFonts w:ascii="Times New Roman" w:hAnsi="Times New Roman" w:eastAsia="宋体" w:cs="Times New Roman"/>
                      <w:szCs w:val="21"/>
                    </w:rPr>
                  </w:pPr>
                  <w:r>
                    <w:rPr>
                      <w:rFonts w:ascii="Times New Roman" w:hAnsi="Times New Roman" w:eastAsia="宋体" w:cs="Times New Roman"/>
                      <w:szCs w:val="21"/>
                    </w:rPr>
                    <w:t>分区防渗，对主厂房车间、沉淀池、各堆场进行防渗，制订定期监测计划。灭火器、消防栓</w:t>
                  </w:r>
                </w:p>
              </w:tc>
              <w:tc>
                <w:tcPr>
                  <w:tcW w:w="780" w:type="pct"/>
                  <w:tcBorders>
                    <w:top w:val="single" w:color="auto" w:sz="6" w:space="0"/>
                    <w:left w:val="single" w:color="auto" w:sz="6" w:space="0"/>
                    <w:bottom w:val="single" w:color="auto" w:sz="6" w:space="0"/>
                    <w:right w:val="single" w:color="auto" w:sz="6" w:space="0"/>
                  </w:tcBorders>
                  <w:vAlign w:val="center"/>
                </w:tcPr>
                <w:p w14:paraId="0EBBE6F9">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w:t>
                  </w:r>
                </w:p>
              </w:tc>
              <w:tc>
                <w:tcPr>
                  <w:tcW w:w="891" w:type="pct"/>
                  <w:tcBorders>
                    <w:top w:val="single" w:color="auto" w:sz="6" w:space="0"/>
                    <w:left w:val="single" w:color="auto" w:sz="6" w:space="0"/>
                    <w:bottom w:val="single" w:color="auto" w:sz="6" w:space="0"/>
                    <w:right w:val="single" w:color="auto" w:sz="12" w:space="0"/>
                  </w:tcBorders>
                  <w:vAlign w:val="center"/>
                </w:tcPr>
                <w:p w14:paraId="5998A02B">
                  <w:pPr>
                    <w:widowControl/>
                    <w:ind w:firstLine="10" w:firstLineChars="5"/>
                    <w:jc w:val="center"/>
                    <w:rPr>
                      <w:rFonts w:ascii="Times New Roman" w:hAnsi="Times New Roman" w:eastAsia="宋体" w:cs="Times New Roman"/>
                      <w:kern w:val="0"/>
                      <w:szCs w:val="21"/>
                    </w:rPr>
                  </w:pPr>
                  <w:r>
                    <w:rPr>
                      <w:rFonts w:ascii="Times New Roman" w:hAnsi="Times New Roman" w:eastAsia="宋体" w:cs="Times New Roman"/>
                      <w:kern w:val="0"/>
                      <w:szCs w:val="21"/>
                    </w:rPr>
                    <w:t>计入基建</w:t>
                  </w:r>
                </w:p>
              </w:tc>
            </w:tr>
            <w:tr w14:paraId="00DD15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634" w:type="pct"/>
                  <w:gridSpan w:val="2"/>
                  <w:tcBorders>
                    <w:top w:val="single" w:color="auto" w:sz="6" w:space="0"/>
                    <w:left w:val="single" w:color="auto" w:sz="12" w:space="0"/>
                    <w:bottom w:val="single" w:color="auto" w:sz="6" w:space="0"/>
                    <w:right w:val="single" w:color="auto" w:sz="6" w:space="0"/>
                  </w:tcBorders>
                  <w:vAlign w:val="center"/>
                </w:tcPr>
                <w:p w14:paraId="36F02BC1">
                  <w:pPr>
                    <w:widowControl/>
                    <w:ind w:firstLine="420"/>
                    <w:jc w:val="center"/>
                    <w:rPr>
                      <w:rFonts w:ascii="Times New Roman" w:hAnsi="Times New Roman" w:eastAsia="宋体" w:cs="Times New Roman"/>
                      <w:kern w:val="0"/>
                      <w:szCs w:val="21"/>
                    </w:rPr>
                  </w:pPr>
                  <w:r>
                    <w:rPr>
                      <w:rFonts w:ascii="Times New Roman" w:hAnsi="Times New Roman" w:eastAsia="宋体" w:cs="Times New Roman"/>
                      <w:kern w:val="0"/>
                      <w:szCs w:val="21"/>
                    </w:rPr>
                    <w:t>合计</w:t>
                  </w:r>
                </w:p>
              </w:tc>
              <w:tc>
                <w:tcPr>
                  <w:tcW w:w="1695" w:type="pct"/>
                  <w:tcBorders>
                    <w:top w:val="single" w:color="auto" w:sz="6" w:space="0"/>
                    <w:left w:val="single" w:color="auto" w:sz="6" w:space="0"/>
                    <w:bottom w:val="single" w:color="auto" w:sz="6" w:space="0"/>
                    <w:right w:val="single" w:color="auto" w:sz="6" w:space="0"/>
                  </w:tcBorders>
                  <w:vAlign w:val="center"/>
                </w:tcPr>
                <w:p w14:paraId="36CB53CB">
                  <w:pPr>
                    <w:widowControl/>
                    <w:ind w:firstLine="420"/>
                    <w:jc w:val="center"/>
                    <w:rPr>
                      <w:rFonts w:ascii="Times New Roman" w:hAnsi="Times New Roman" w:eastAsia="宋体" w:cs="Times New Roman"/>
                      <w:kern w:val="0"/>
                      <w:szCs w:val="21"/>
                    </w:rPr>
                  </w:pPr>
                  <w:r>
                    <w:rPr>
                      <w:rFonts w:ascii="Times New Roman" w:hAnsi="Times New Roman" w:eastAsia="宋体" w:cs="Times New Roman"/>
                      <w:kern w:val="0"/>
                      <w:szCs w:val="21"/>
                    </w:rPr>
                    <w:t>/</w:t>
                  </w:r>
                </w:p>
              </w:tc>
              <w:tc>
                <w:tcPr>
                  <w:tcW w:w="780" w:type="pct"/>
                  <w:tcBorders>
                    <w:top w:val="single" w:color="auto" w:sz="6" w:space="0"/>
                    <w:left w:val="single" w:color="auto" w:sz="6" w:space="0"/>
                    <w:bottom w:val="single" w:color="auto" w:sz="6" w:space="0"/>
                    <w:right w:val="single" w:color="auto" w:sz="6" w:space="0"/>
                  </w:tcBorders>
                  <w:vAlign w:val="center"/>
                </w:tcPr>
                <w:p w14:paraId="315A73EE">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17.5</w:t>
                  </w:r>
                </w:p>
              </w:tc>
              <w:tc>
                <w:tcPr>
                  <w:tcW w:w="891" w:type="pct"/>
                  <w:tcBorders>
                    <w:top w:val="single" w:color="auto" w:sz="6" w:space="0"/>
                    <w:left w:val="single" w:color="auto" w:sz="6" w:space="0"/>
                    <w:bottom w:val="single" w:color="auto" w:sz="6" w:space="0"/>
                    <w:right w:val="single" w:color="auto" w:sz="12" w:space="0"/>
                  </w:tcBorders>
                  <w:vAlign w:val="center"/>
                </w:tcPr>
                <w:p w14:paraId="761E3B7D">
                  <w:pPr>
                    <w:widowControl/>
                    <w:jc w:val="center"/>
                    <w:rPr>
                      <w:rFonts w:ascii="Times New Roman" w:hAnsi="Times New Roman" w:eastAsia="宋体" w:cs="Times New Roman"/>
                      <w:kern w:val="0"/>
                      <w:szCs w:val="21"/>
                    </w:rPr>
                  </w:pPr>
                  <w:r>
                    <w:rPr>
                      <w:rFonts w:ascii="Times New Roman" w:hAnsi="Times New Roman" w:eastAsia="宋体" w:cs="Times New Roman"/>
                      <w:kern w:val="0"/>
                      <w:szCs w:val="21"/>
                    </w:rPr>
                    <w:t>/</w:t>
                  </w:r>
                </w:p>
              </w:tc>
            </w:tr>
            <w:tr w14:paraId="442CA13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000" w:type="pct"/>
                  <w:gridSpan w:val="5"/>
                  <w:tcBorders>
                    <w:top w:val="single" w:color="auto" w:sz="6" w:space="0"/>
                    <w:left w:val="single" w:color="auto" w:sz="12" w:space="0"/>
                    <w:bottom w:val="single" w:color="auto" w:sz="12" w:space="0"/>
                    <w:right w:val="single" w:color="auto" w:sz="12" w:space="0"/>
                  </w:tcBorders>
                  <w:vAlign w:val="center"/>
                </w:tcPr>
                <w:p w14:paraId="3C9F3E7A">
                  <w:pPr>
                    <w:widowControl/>
                    <w:ind w:firstLine="422"/>
                    <w:jc w:val="center"/>
                    <w:rPr>
                      <w:rFonts w:ascii="Times New Roman" w:hAnsi="Times New Roman" w:eastAsia="宋体" w:cs="Times New Roman"/>
                      <w:b/>
                      <w:bCs/>
                      <w:kern w:val="0"/>
                      <w:szCs w:val="21"/>
                    </w:rPr>
                  </w:pPr>
                  <w:r>
                    <w:rPr>
                      <w:rFonts w:ascii="Times New Roman" w:hAnsi="Times New Roman" w:eastAsia="宋体" w:cs="Times New Roman"/>
                      <w:b/>
                      <w:bCs/>
                      <w:kern w:val="0"/>
                      <w:szCs w:val="21"/>
                    </w:rPr>
                    <w:t>项目总投资200万元，环保投资17.5万元，占总投资8.75%</w:t>
                  </w:r>
                </w:p>
              </w:tc>
            </w:tr>
          </w:tbl>
          <w:p w14:paraId="7F30B60E">
            <w:pPr>
              <w:widowControl/>
              <w:adjustRightInd w:val="0"/>
              <w:snapToGrid w:val="0"/>
              <w:spacing w:line="480" w:lineRule="exact"/>
              <w:ind w:right="92" w:rightChars="44"/>
              <w:rPr>
                <w:rFonts w:ascii="Times New Roman" w:hAnsi="Times New Roman" w:eastAsia="宋体" w:cs="Times New Roman"/>
                <w:sz w:val="24"/>
              </w:rPr>
            </w:pPr>
          </w:p>
          <w:p w14:paraId="0AC52E73">
            <w:pPr>
              <w:widowControl/>
              <w:adjustRightInd w:val="0"/>
              <w:snapToGrid w:val="0"/>
              <w:spacing w:line="480" w:lineRule="exact"/>
              <w:ind w:right="92" w:rightChars="44"/>
              <w:rPr>
                <w:rFonts w:ascii="Times New Roman" w:hAnsi="Times New Roman" w:eastAsia="宋体" w:cs="Times New Roman"/>
                <w:sz w:val="24"/>
              </w:rPr>
            </w:pPr>
          </w:p>
          <w:p w14:paraId="4993B2E4">
            <w:pPr>
              <w:widowControl/>
              <w:adjustRightInd w:val="0"/>
              <w:snapToGrid w:val="0"/>
              <w:spacing w:line="480" w:lineRule="exact"/>
              <w:ind w:right="92" w:rightChars="44"/>
              <w:rPr>
                <w:rFonts w:ascii="Times New Roman" w:hAnsi="Times New Roman" w:eastAsia="宋体" w:cs="Times New Roman"/>
                <w:sz w:val="24"/>
              </w:rPr>
            </w:pPr>
          </w:p>
          <w:p w14:paraId="4242A8BF">
            <w:pPr>
              <w:widowControl/>
              <w:adjustRightInd w:val="0"/>
              <w:snapToGrid w:val="0"/>
              <w:spacing w:line="480" w:lineRule="exact"/>
              <w:ind w:right="92" w:rightChars="44"/>
              <w:rPr>
                <w:rFonts w:ascii="Times New Roman" w:hAnsi="Times New Roman" w:eastAsia="宋体" w:cs="Times New Roman"/>
                <w:sz w:val="24"/>
              </w:rPr>
            </w:pPr>
          </w:p>
          <w:p w14:paraId="12509203">
            <w:pPr>
              <w:widowControl/>
              <w:adjustRightInd w:val="0"/>
              <w:snapToGrid w:val="0"/>
              <w:spacing w:line="480" w:lineRule="exact"/>
              <w:ind w:right="92" w:rightChars="44"/>
              <w:rPr>
                <w:rFonts w:ascii="Times New Roman" w:hAnsi="Times New Roman" w:eastAsia="宋体" w:cs="Times New Roman"/>
                <w:sz w:val="24"/>
              </w:rPr>
            </w:pPr>
          </w:p>
          <w:p w14:paraId="37FE42C6">
            <w:pPr>
              <w:widowControl/>
              <w:adjustRightInd w:val="0"/>
              <w:snapToGrid w:val="0"/>
              <w:spacing w:line="480" w:lineRule="exact"/>
              <w:ind w:right="92" w:rightChars="44"/>
              <w:rPr>
                <w:rFonts w:ascii="Times New Roman" w:hAnsi="Times New Roman" w:eastAsia="宋体" w:cs="Times New Roman"/>
                <w:sz w:val="24"/>
              </w:rPr>
            </w:pPr>
          </w:p>
          <w:p w14:paraId="00B4E08D">
            <w:pPr>
              <w:widowControl/>
              <w:adjustRightInd w:val="0"/>
              <w:snapToGrid w:val="0"/>
              <w:spacing w:line="480" w:lineRule="exact"/>
              <w:ind w:right="92" w:rightChars="44"/>
              <w:rPr>
                <w:rFonts w:ascii="Times New Roman" w:hAnsi="Times New Roman" w:eastAsia="宋体" w:cs="Times New Roman"/>
                <w:sz w:val="24"/>
              </w:rPr>
            </w:pPr>
          </w:p>
          <w:p w14:paraId="361728A3">
            <w:pPr>
              <w:widowControl/>
              <w:adjustRightInd w:val="0"/>
              <w:snapToGrid w:val="0"/>
              <w:spacing w:line="480" w:lineRule="exact"/>
              <w:ind w:right="92" w:rightChars="44"/>
              <w:rPr>
                <w:rFonts w:ascii="Times New Roman" w:hAnsi="Times New Roman" w:eastAsia="宋体" w:cs="Times New Roman"/>
                <w:sz w:val="24"/>
              </w:rPr>
            </w:pPr>
          </w:p>
          <w:p w14:paraId="317EBD86">
            <w:pPr>
              <w:widowControl/>
              <w:adjustRightInd w:val="0"/>
              <w:snapToGrid w:val="0"/>
              <w:spacing w:line="480" w:lineRule="exact"/>
              <w:ind w:right="92" w:rightChars="44"/>
              <w:rPr>
                <w:rFonts w:ascii="Times New Roman" w:hAnsi="Times New Roman" w:eastAsia="宋体" w:cs="Times New Roman"/>
                <w:sz w:val="24"/>
              </w:rPr>
            </w:pPr>
          </w:p>
          <w:p w14:paraId="6639877B">
            <w:pPr>
              <w:widowControl/>
              <w:adjustRightInd w:val="0"/>
              <w:snapToGrid w:val="0"/>
              <w:spacing w:line="480" w:lineRule="exact"/>
              <w:ind w:right="92" w:rightChars="44"/>
              <w:rPr>
                <w:rFonts w:ascii="Times New Roman" w:hAnsi="Times New Roman" w:eastAsia="宋体" w:cs="Times New Roman"/>
                <w:sz w:val="24"/>
              </w:rPr>
            </w:pPr>
          </w:p>
          <w:p w14:paraId="480F76AA">
            <w:pPr>
              <w:widowControl/>
              <w:adjustRightInd w:val="0"/>
              <w:snapToGrid w:val="0"/>
              <w:spacing w:line="480" w:lineRule="exact"/>
              <w:ind w:right="92" w:rightChars="44"/>
              <w:rPr>
                <w:rFonts w:ascii="Times New Roman" w:hAnsi="Times New Roman" w:eastAsia="宋体" w:cs="Times New Roman"/>
                <w:sz w:val="24"/>
              </w:rPr>
            </w:pPr>
          </w:p>
          <w:p w14:paraId="4FD34D0E">
            <w:pPr>
              <w:widowControl/>
              <w:adjustRightInd w:val="0"/>
              <w:snapToGrid w:val="0"/>
              <w:spacing w:line="480" w:lineRule="exact"/>
              <w:ind w:right="92" w:rightChars="44"/>
              <w:rPr>
                <w:rFonts w:ascii="Times New Roman" w:hAnsi="Times New Roman" w:eastAsia="宋体" w:cs="Times New Roman"/>
                <w:sz w:val="24"/>
              </w:rPr>
            </w:pPr>
          </w:p>
          <w:p w14:paraId="4AE84B20">
            <w:pPr>
              <w:widowControl/>
              <w:adjustRightInd w:val="0"/>
              <w:snapToGrid w:val="0"/>
              <w:spacing w:line="480" w:lineRule="exact"/>
              <w:ind w:right="92" w:rightChars="44"/>
              <w:rPr>
                <w:rFonts w:hint="eastAsia" w:ascii="Times New Roman" w:hAnsi="Times New Roman" w:eastAsia="宋体" w:cs="Times New Roman"/>
                <w:sz w:val="24"/>
              </w:rPr>
            </w:pPr>
          </w:p>
          <w:p w14:paraId="144830B3">
            <w:pPr>
              <w:widowControl/>
              <w:adjustRightInd w:val="0"/>
              <w:snapToGrid w:val="0"/>
              <w:spacing w:line="480" w:lineRule="exact"/>
              <w:ind w:right="92" w:rightChars="44"/>
              <w:rPr>
                <w:rFonts w:ascii="Times New Roman" w:hAnsi="Times New Roman" w:eastAsia="宋体" w:cs="Times New Roman"/>
                <w:sz w:val="24"/>
              </w:rPr>
            </w:pPr>
          </w:p>
          <w:p w14:paraId="30810DCF">
            <w:pPr>
              <w:widowControl/>
              <w:adjustRightInd w:val="0"/>
              <w:snapToGrid w:val="0"/>
              <w:spacing w:line="480" w:lineRule="exact"/>
              <w:ind w:right="92" w:rightChars="44"/>
              <w:rPr>
                <w:rFonts w:ascii="Times New Roman" w:hAnsi="Times New Roman" w:eastAsia="宋体" w:cs="Times New Roman"/>
                <w:sz w:val="24"/>
              </w:rPr>
            </w:pPr>
          </w:p>
        </w:tc>
      </w:tr>
    </w:tbl>
    <w:p w14:paraId="07DCF929">
      <w:pPr>
        <w:spacing w:line="20" w:lineRule="exact"/>
        <w:rPr>
          <w:rFonts w:ascii="Times New Roman" w:hAnsi="Times New Roman" w:eastAsia="宋体" w:cs="Times New Roman"/>
        </w:rPr>
      </w:pPr>
    </w:p>
    <w:p w14:paraId="5E57F78C">
      <w:pPr>
        <w:spacing w:line="360" w:lineRule="auto"/>
        <w:outlineLvl w:val="0"/>
        <w:rPr>
          <w:rFonts w:ascii="Times New Roman" w:hAnsi="Times New Roman" w:eastAsia="宋体" w:cs="Times New Roman"/>
          <w:b/>
          <w:sz w:val="30"/>
          <w:szCs w:val="30"/>
        </w:rPr>
        <w:sectPr>
          <w:pgSz w:w="11906" w:h="16838"/>
          <w:pgMar w:top="1440" w:right="1797" w:bottom="1440" w:left="1797" w:header="851" w:footer="958" w:gutter="0"/>
          <w:cols w:space="720" w:num="1"/>
          <w:docGrid w:linePitch="312" w:charSpace="0"/>
        </w:sectPr>
      </w:pPr>
    </w:p>
    <w:p w14:paraId="52D118C5">
      <w:pPr>
        <w:spacing w:line="360" w:lineRule="auto"/>
        <w:outlineLvl w:val="0"/>
        <w:rPr>
          <w:rFonts w:ascii="Times New Roman" w:hAnsi="Times New Roman" w:eastAsia="宋体" w:cs="Times New Roman"/>
          <w:b/>
          <w:sz w:val="30"/>
          <w:szCs w:val="30"/>
        </w:rPr>
      </w:pPr>
      <w:r>
        <w:rPr>
          <w:rFonts w:ascii="Times New Roman" w:hAnsi="Times New Roman" w:eastAsia="宋体" w:cs="Times New Roman"/>
          <w:b/>
          <w:sz w:val="30"/>
          <w:szCs w:val="30"/>
        </w:rPr>
        <w:t>项目主要污染物产生及预计排放情况（表六）</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803"/>
        <w:gridCol w:w="957"/>
        <w:gridCol w:w="2120"/>
        <w:gridCol w:w="1697"/>
        <w:gridCol w:w="2791"/>
      </w:tblGrid>
      <w:tr w14:paraId="7831E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tcBorders>
              <w:tl2br w:val="single" w:color="auto" w:sz="4" w:space="0"/>
            </w:tcBorders>
          </w:tcPr>
          <w:p w14:paraId="3AB02E56">
            <w:pPr>
              <w:spacing w:line="360" w:lineRule="auto"/>
              <w:ind w:left="434" w:leftChars="-85" w:hanging="612" w:hangingChars="255"/>
              <w:jc w:val="right"/>
              <w:rPr>
                <w:rFonts w:ascii="Times New Roman" w:hAnsi="Times New Roman" w:eastAsia="宋体" w:cs="Times New Roman"/>
                <w:b/>
                <w:sz w:val="24"/>
                <w:szCs w:val="24"/>
              </w:rPr>
            </w:pPr>
            <w:r>
              <w:rPr>
                <w:rFonts w:ascii="Times New Roman" w:hAnsi="Times New Roman" w:eastAsia="宋体" w:cs="Times New Roman"/>
                <w:sz w:val="24"/>
                <w:szCs w:val="24"/>
              </w:rPr>
              <mc:AlternateContent>
                <mc:Choice Requires="wps">
                  <w:drawing>
                    <wp:anchor distT="0" distB="0" distL="114300" distR="114300" simplePos="0" relativeHeight="251659264" behindDoc="0" locked="0" layoutInCell="0" allowOverlap="1">
                      <wp:simplePos x="0" y="0"/>
                      <wp:positionH relativeFrom="column">
                        <wp:posOffset>-68580</wp:posOffset>
                      </wp:positionH>
                      <wp:positionV relativeFrom="paragraph">
                        <wp:posOffset>-6350</wp:posOffset>
                      </wp:positionV>
                      <wp:extent cx="635" cy="0"/>
                      <wp:effectExtent l="5715" t="12065" r="12700" b="6985"/>
                      <wp:wrapNone/>
                      <wp:docPr id="4" name="Line 4284"/>
                      <wp:cNvGraphicFramePr/>
                      <a:graphic xmlns:a="http://schemas.openxmlformats.org/drawingml/2006/main">
                        <a:graphicData uri="http://schemas.microsoft.com/office/word/2010/wordprocessingShape">
                          <wps:wsp>
                            <wps:cNvCnPr>
                              <a:cxnSpLocks noChangeShapeType="1"/>
                            </wps:cNvCnPr>
                            <wps:spPr bwMode="auto">
                              <a:xfrm>
                                <a:off x="0" y="0"/>
                                <a:ext cx="635" cy="0"/>
                              </a:xfrm>
                              <a:prstGeom prst="line">
                                <a:avLst/>
                              </a:prstGeom>
                              <a:noFill/>
                              <a:ln w="9525">
                                <a:solidFill>
                                  <a:srgbClr val="000000"/>
                                </a:solidFill>
                                <a:round/>
                              </a:ln>
                            </wps:spPr>
                            <wps:bodyPr/>
                          </wps:wsp>
                        </a:graphicData>
                      </a:graphic>
                    </wp:anchor>
                  </w:drawing>
                </mc:Choice>
                <mc:Fallback>
                  <w:pict>
                    <v:line id="Line 4284" o:spid="_x0000_s1026" o:spt="20" style="position:absolute;left:0pt;margin-left:-5.4pt;margin-top:-0.5pt;height:0pt;width:0.05pt;z-index:251659264;mso-width-relative:page;mso-height-relative:page;" filled="f" stroked="t" coordsize="21600,21600" o:allowincell="f" o:gfxdata="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3XktQAAAAJAQAADwAAAAAAAAABACAAAAAiAAAAZHJzL2Rvd25y&#10;ZXYueG1sUEsBAhQAFAAAAAgAh07iQDn63OfJAQAAngMAAA4AAAAAAAAAAQAgAAAAIwEAAGRycy9l&#10;Mm9Eb2MueG1sUEsFBgAAAAAGAAYAWQEAAF4FAAAAAA==&#10;">
                      <v:fill on="f" focussize="0,0"/>
                      <v:stroke color="#000000" joinstyle="round"/>
                      <v:imagedata o:title=""/>
                      <o:lock v:ext="edit" aspectratio="f"/>
                    </v:line>
                  </w:pict>
                </mc:Fallback>
              </mc:AlternateContent>
            </w:r>
            <w:r>
              <w:rPr>
                <w:rFonts w:ascii="Times New Roman" w:hAnsi="Times New Roman" w:eastAsia="宋体" w:cs="Times New Roman"/>
                <w:b/>
                <w:sz w:val="24"/>
                <w:szCs w:val="24"/>
              </w:rPr>
              <w:t>内容</w:t>
            </w:r>
          </w:p>
          <w:p w14:paraId="2399EF74">
            <w:pPr>
              <w:spacing w:line="360" w:lineRule="auto"/>
              <w:ind w:left="436" w:leftChars="-85" w:hanging="614" w:hangingChars="255"/>
              <w:jc w:val="right"/>
              <w:rPr>
                <w:rFonts w:hint="eastAsia" w:ascii="Times New Roman" w:hAnsi="Times New Roman" w:eastAsia="宋体" w:cs="Times New Roman"/>
                <w:b/>
                <w:sz w:val="24"/>
                <w:szCs w:val="24"/>
              </w:rPr>
            </w:pPr>
          </w:p>
          <w:p w14:paraId="13EE5AE2">
            <w:pPr>
              <w:spacing w:line="360" w:lineRule="auto"/>
              <w:jc w:val="left"/>
              <w:rPr>
                <w:rFonts w:ascii="Times New Roman" w:hAnsi="Times New Roman" w:eastAsia="宋体" w:cs="Times New Roman"/>
                <w:b/>
                <w:sz w:val="24"/>
                <w:szCs w:val="24"/>
              </w:rPr>
            </w:pPr>
            <w:r>
              <w:rPr>
                <w:rFonts w:ascii="Times New Roman" w:hAnsi="Times New Roman" w:eastAsia="宋体" w:cs="Times New Roman"/>
                <w:b/>
                <w:sz w:val="24"/>
                <w:szCs w:val="24"/>
              </w:rPr>
              <w:t>类型</w:t>
            </w:r>
          </w:p>
        </w:tc>
        <w:tc>
          <w:tcPr>
            <w:tcW w:w="572" w:type="pct"/>
          </w:tcPr>
          <w:p w14:paraId="3A214813">
            <w:pPr>
              <w:spacing w:line="360"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t>排放源</w:t>
            </w:r>
          </w:p>
          <w:p w14:paraId="29D6CEAE">
            <w:pPr>
              <w:spacing w:line="360" w:lineRule="auto"/>
              <w:jc w:val="center"/>
              <w:rPr>
                <w:rFonts w:ascii="Times New Roman" w:hAnsi="Times New Roman" w:eastAsia="宋体" w:cs="Times New Roman"/>
                <w:b/>
                <w:sz w:val="24"/>
                <w:szCs w:val="24"/>
              </w:rPr>
            </w:pPr>
            <w:r>
              <w:rPr>
                <w:rFonts w:hint="eastAsia" w:ascii="Times New Roman" w:hAnsi="Times New Roman" w:eastAsia="宋体" w:cs="Times New Roman"/>
                <w:b/>
                <w:sz w:val="24"/>
                <w:szCs w:val="24"/>
                <w:lang w:eastAsia="zh-CN"/>
              </w:rPr>
              <w:t>（</w:t>
            </w:r>
            <w:r>
              <w:rPr>
                <w:rFonts w:ascii="Times New Roman" w:hAnsi="Times New Roman" w:eastAsia="宋体" w:cs="Times New Roman"/>
                <w:b/>
                <w:sz w:val="24"/>
                <w:szCs w:val="24"/>
              </w:rPr>
              <w:t>编号</w:t>
            </w:r>
            <w:r>
              <w:rPr>
                <w:rFonts w:hint="eastAsia" w:ascii="Times New Roman" w:hAnsi="Times New Roman" w:eastAsia="宋体" w:cs="Times New Roman"/>
                <w:b/>
                <w:sz w:val="24"/>
                <w:szCs w:val="24"/>
                <w:lang w:eastAsia="zh-CN"/>
              </w:rPr>
              <w:t>）</w:t>
            </w:r>
          </w:p>
        </w:tc>
        <w:tc>
          <w:tcPr>
            <w:tcW w:w="1267" w:type="pct"/>
            <w:vAlign w:val="center"/>
          </w:tcPr>
          <w:p w14:paraId="30C3B185">
            <w:pPr>
              <w:spacing w:line="360"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t>污染物名称</w:t>
            </w:r>
          </w:p>
        </w:tc>
        <w:tc>
          <w:tcPr>
            <w:tcW w:w="1014" w:type="pct"/>
          </w:tcPr>
          <w:p w14:paraId="5E7DF9A8">
            <w:pPr>
              <w:spacing w:line="360"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t>处理前产生浓度</w:t>
            </w:r>
          </w:p>
          <w:p w14:paraId="21DF80AB">
            <w:pPr>
              <w:spacing w:line="360"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t>及产生量</w:t>
            </w:r>
            <w:r>
              <w:rPr>
                <w:rFonts w:hint="eastAsia" w:ascii="Times New Roman" w:hAnsi="Times New Roman" w:eastAsia="宋体" w:cs="Times New Roman"/>
                <w:b/>
                <w:sz w:val="24"/>
                <w:szCs w:val="24"/>
                <w:lang w:eastAsia="zh-CN"/>
              </w:rPr>
              <w:t>（</w:t>
            </w:r>
            <w:r>
              <w:rPr>
                <w:rFonts w:ascii="Times New Roman" w:hAnsi="Times New Roman" w:eastAsia="宋体" w:cs="Times New Roman"/>
                <w:b/>
                <w:sz w:val="24"/>
                <w:szCs w:val="24"/>
              </w:rPr>
              <w:t>单位</w:t>
            </w:r>
            <w:r>
              <w:rPr>
                <w:rFonts w:hint="eastAsia" w:ascii="Times New Roman" w:hAnsi="Times New Roman" w:eastAsia="宋体" w:cs="Times New Roman"/>
                <w:b/>
                <w:sz w:val="24"/>
                <w:szCs w:val="24"/>
                <w:lang w:eastAsia="zh-CN"/>
              </w:rPr>
              <w:t>）</w:t>
            </w:r>
          </w:p>
        </w:tc>
        <w:tc>
          <w:tcPr>
            <w:tcW w:w="1666" w:type="pct"/>
            <w:vAlign w:val="center"/>
          </w:tcPr>
          <w:p w14:paraId="1657E369">
            <w:pPr>
              <w:spacing w:line="360"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t>处理后排放浓度</w:t>
            </w:r>
          </w:p>
          <w:p w14:paraId="44BBEAF7">
            <w:pPr>
              <w:spacing w:line="360" w:lineRule="auto"/>
              <w:jc w:val="center"/>
              <w:rPr>
                <w:rFonts w:ascii="Times New Roman" w:hAnsi="Times New Roman" w:eastAsia="宋体" w:cs="Times New Roman"/>
                <w:b/>
                <w:sz w:val="24"/>
                <w:szCs w:val="24"/>
              </w:rPr>
            </w:pPr>
            <w:r>
              <w:rPr>
                <w:rFonts w:ascii="Times New Roman" w:hAnsi="Times New Roman" w:eastAsia="宋体" w:cs="Times New Roman"/>
                <w:b/>
                <w:sz w:val="24"/>
                <w:szCs w:val="24"/>
              </w:rPr>
              <w:t>及排放量</w:t>
            </w:r>
            <w:r>
              <w:rPr>
                <w:rFonts w:hint="eastAsia" w:ascii="Times New Roman" w:hAnsi="Times New Roman" w:eastAsia="宋体" w:cs="Times New Roman"/>
                <w:b/>
                <w:sz w:val="24"/>
                <w:szCs w:val="24"/>
                <w:lang w:eastAsia="zh-CN"/>
              </w:rPr>
              <w:t>（</w:t>
            </w:r>
            <w:r>
              <w:rPr>
                <w:rFonts w:ascii="Times New Roman" w:hAnsi="Times New Roman" w:eastAsia="宋体" w:cs="Times New Roman"/>
                <w:b/>
                <w:sz w:val="24"/>
                <w:szCs w:val="24"/>
              </w:rPr>
              <w:t>单位</w:t>
            </w:r>
            <w:r>
              <w:rPr>
                <w:rFonts w:hint="eastAsia" w:ascii="Times New Roman" w:hAnsi="Times New Roman" w:eastAsia="宋体" w:cs="Times New Roman"/>
                <w:b/>
                <w:sz w:val="24"/>
                <w:szCs w:val="24"/>
                <w:lang w:eastAsia="zh-CN"/>
              </w:rPr>
              <w:t>）</w:t>
            </w:r>
          </w:p>
        </w:tc>
      </w:tr>
      <w:tr w14:paraId="6E864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restart"/>
            <w:vAlign w:val="center"/>
          </w:tcPr>
          <w:p w14:paraId="2E350060">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大气</w:t>
            </w:r>
          </w:p>
          <w:p w14:paraId="425C208B">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污染物</w:t>
            </w:r>
          </w:p>
        </w:tc>
        <w:tc>
          <w:tcPr>
            <w:tcW w:w="572" w:type="pct"/>
            <w:vMerge w:val="restart"/>
            <w:vAlign w:val="center"/>
          </w:tcPr>
          <w:p w14:paraId="63593AC7">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施工期</w:t>
            </w:r>
          </w:p>
        </w:tc>
        <w:tc>
          <w:tcPr>
            <w:tcW w:w="1267" w:type="pct"/>
            <w:vAlign w:val="center"/>
          </w:tcPr>
          <w:p w14:paraId="7130CCAA">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施工扬尘</w:t>
            </w:r>
          </w:p>
        </w:tc>
        <w:tc>
          <w:tcPr>
            <w:tcW w:w="1014" w:type="pct"/>
            <w:vAlign w:val="center"/>
          </w:tcPr>
          <w:p w14:paraId="782896EE">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lang w:val="de-DE"/>
              </w:rPr>
              <w:t>产生量极少</w:t>
            </w:r>
          </w:p>
        </w:tc>
        <w:tc>
          <w:tcPr>
            <w:tcW w:w="1666" w:type="pct"/>
            <w:vAlign w:val="center"/>
          </w:tcPr>
          <w:p w14:paraId="48332E5C">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lang w:val="de-DE"/>
              </w:rPr>
              <w:t>呈无组织排放，</w:t>
            </w:r>
            <w:r>
              <w:rPr>
                <w:rFonts w:ascii="Times New Roman" w:hAnsi="Times New Roman" w:eastAsia="宋体" w:cs="Times New Roman"/>
                <w:sz w:val="24"/>
                <w:szCs w:val="24"/>
              </w:rPr>
              <w:t>&lt;1.0mg/m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w:t>
            </w:r>
          </w:p>
        </w:tc>
      </w:tr>
      <w:tr w14:paraId="6FAF9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30C54BEA">
            <w:pPr>
              <w:spacing w:line="360" w:lineRule="auto"/>
              <w:jc w:val="center"/>
              <w:rPr>
                <w:rFonts w:ascii="Times New Roman" w:hAnsi="Times New Roman" w:eastAsia="宋体" w:cs="Times New Roman"/>
                <w:sz w:val="24"/>
                <w:szCs w:val="24"/>
              </w:rPr>
            </w:pPr>
          </w:p>
        </w:tc>
        <w:tc>
          <w:tcPr>
            <w:tcW w:w="572" w:type="pct"/>
            <w:vMerge w:val="continue"/>
            <w:vAlign w:val="center"/>
          </w:tcPr>
          <w:p w14:paraId="1BFE1060">
            <w:pPr>
              <w:spacing w:line="360" w:lineRule="auto"/>
              <w:jc w:val="center"/>
              <w:rPr>
                <w:rFonts w:ascii="Times New Roman" w:hAnsi="Times New Roman" w:eastAsia="宋体" w:cs="Times New Roman"/>
                <w:sz w:val="24"/>
                <w:szCs w:val="24"/>
              </w:rPr>
            </w:pPr>
          </w:p>
        </w:tc>
        <w:tc>
          <w:tcPr>
            <w:tcW w:w="1267" w:type="pct"/>
            <w:vAlign w:val="center"/>
          </w:tcPr>
          <w:p w14:paraId="7CC6E779">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汽车尾气</w:t>
            </w:r>
          </w:p>
        </w:tc>
        <w:tc>
          <w:tcPr>
            <w:tcW w:w="1014" w:type="pct"/>
            <w:vAlign w:val="center"/>
          </w:tcPr>
          <w:p w14:paraId="75AAFA6D">
            <w:pPr>
              <w:spacing w:line="360" w:lineRule="auto"/>
              <w:jc w:val="center"/>
              <w:rPr>
                <w:rFonts w:ascii="Times New Roman" w:hAnsi="Times New Roman" w:eastAsia="宋体" w:cs="Times New Roman"/>
                <w:sz w:val="24"/>
                <w:szCs w:val="24"/>
                <w:lang w:val="de-DE"/>
              </w:rPr>
            </w:pPr>
            <w:r>
              <w:rPr>
                <w:rFonts w:ascii="Times New Roman" w:hAnsi="Times New Roman" w:eastAsia="宋体" w:cs="Times New Roman"/>
                <w:sz w:val="24"/>
                <w:szCs w:val="24"/>
                <w:lang w:val="de-DE"/>
              </w:rPr>
              <w:t>产生量极少</w:t>
            </w:r>
          </w:p>
        </w:tc>
        <w:tc>
          <w:tcPr>
            <w:tcW w:w="1666" w:type="pct"/>
            <w:vAlign w:val="center"/>
          </w:tcPr>
          <w:p w14:paraId="3B560FF9">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lang w:val="de-DE"/>
              </w:rPr>
              <w:t>呈无组织排放</w:t>
            </w:r>
          </w:p>
        </w:tc>
      </w:tr>
      <w:tr w14:paraId="4765A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3F5A7C79">
            <w:pPr>
              <w:spacing w:line="360" w:lineRule="auto"/>
              <w:jc w:val="center"/>
              <w:rPr>
                <w:rFonts w:ascii="Times New Roman" w:hAnsi="Times New Roman" w:eastAsia="宋体" w:cs="Times New Roman"/>
                <w:sz w:val="24"/>
                <w:szCs w:val="24"/>
              </w:rPr>
            </w:pPr>
          </w:p>
        </w:tc>
        <w:tc>
          <w:tcPr>
            <w:tcW w:w="572" w:type="pct"/>
            <w:vMerge w:val="restart"/>
            <w:vAlign w:val="center"/>
          </w:tcPr>
          <w:p w14:paraId="0D65F405">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运营期</w:t>
            </w:r>
          </w:p>
        </w:tc>
        <w:tc>
          <w:tcPr>
            <w:tcW w:w="1267" w:type="pct"/>
            <w:vAlign w:val="center"/>
          </w:tcPr>
          <w:p w14:paraId="1B4F10ED">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工艺</w:t>
            </w:r>
            <w:r>
              <w:rPr>
                <w:rFonts w:ascii="Times New Roman" w:hAnsi="Times New Roman" w:eastAsia="宋体" w:cs="Times New Roman"/>
                <w:sz w:val="24"/>
                <w:szCs w:val="24"/>
              </w:rPr>
              <w:t>粉尘</w:t>
            </w:r>
          </w:p>
        </w:tc>
        <w:tc>
          <w:tcPr>
            <w:tcW w:w="1014" w:type="pct"/>
            <w:vAlign w:val="center"/>
          </w:tcPr>
          <w:p w14:paraId="434914E9">
            <w:pPr>
              <w:snapToGrid w:val="0"/>
              <w:spacing w:line="360" w:lineRule="auto"/>
              <w:jc w:val="center"/>
              <w:rPr>
                <w:rFonts w:ascii="Times New Roman" w:hAnsi="Times New Roman" w:eastAsia="宋体" w:cs="Times New Roman"/>
                <w:bCs/>
                <w:sz w:val="24"/>
                <w:szCs w:val="24"/>
              </w:rPr>
            </w:pPr>
            <w:r>
              <w:rPr>
                <w:rFonts w:ascii="Times New Roman" w:hAnsi="Times New Roman" w:eastAsia="宋体" w:cs="Times New Roman"/>
                <w:sz w:val="24"/>
                <w:szCs w:val="24"/>
                <w:lang w:val="de-DE"/>
              </w:rPr>
              <w:t>378</w:t>
            </w:r>
            <w:r>
              <w:rPr>
                <w:rFonts w:hint="eastAsia" w:ascii="Times New Roman" w:hAnsi="Times New Roman" w:eastAsia="宋体" w:cs="Times New Roman"/>
                <w:sz w:val="24"/>
                <w:szCs w:val="24"/>
                <w:lang w:val="de-DE"/>
              </w:rPr>
              <w:t>t</w:t>
            </w:r>
            <w:r>
              <w:rPr>
                <w:rFonts w:ascii="Times New Roman" w:hAnsi="Times New Roman" w:eastAsia="宋体" w:cs="Times New Roman"/>
                <w:sz w:val="24"/>
                <w:szCs w:val="24"/>
                <w:lang w:val="de-DE"/>
              </w:rPr>
              <w:t>/</w:t>
            </w:r>
            <w:r>
              <w:rPr>
                <w:rFonts w:hint="eastAsia" w:ascii="Times New Roman" w:hAnsi="Times New Roman" w:eastAsia="宋体" w:cs="Times New Roman"/>
                <w:sz w:val="24"/>
                <w:szCs w:val="24"/>
                <w:lang w:val="de-DE"/>
              </w:rPr>
              <w:t>a</w:t>
            </w:r>
          </w:p>
        </w:tc>
        <w:tc>
          <w:tcPr>
            <w:tcW w:w="1666" w:type="pct"/>
            <w:vAlign w:val="center"/>
          </w:tcPr>
          <w:p w14:paraId="65B40D0D">
            <w:pPr>
              <w:snapToGrid w:val="0"/>
              <w:spacing w:line="360" w:lineRule="auto"/>
              <w:jc w:val="center"/>
              <w:rPr>
                <w:rFonts w:ascii="Times New Roman" w:hAnsi="Times New Roman" w:eastAsia="宋体" w:cs="Times New Roman"/>
                <w:bCs/>
                <w:sz w:val="24"/>
                <w:szCs w:val="24"/>
              </w:rPr>
            </w:pPr>
            <w:r>
              <w:rPr>
                <w:rFonts w:hint="eastAsia" w:ascii="Times New Roman" w:hAnsi="Times New Roman" w:eastAsia="宋体" w:cs="Times New Roman"/>
                <w:sz w:val="24"/>
                <w:szCs w:val="24"/>
              </w:rPr>
              <w:t>0.2t/a无组织排放</w:t>
            </w:r>
          </w:p>
        </w:tc>
      </w:tr>
      <w:tr w14:paraId="3D0F5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21BDFD91">
            <w:pPr>
              <w:spacing w:line="360" w:lineRule="auto"/>
              <w:jc w:val="center"/>
              <w:rPr>
                <w:rFonts w:ascii="Times New Roman" w:hAnsi="Times New Roman" w:eastAsia="宋体" w:cs="Times New Roman"/>
                <w:sz w:val="24"/>
                <w:szCs w:val="24"/>
              </w:rPr>
            </w:pPr>
          </w:p>
        </w:tc>
        <w:tc>
          <w:tcPr>
            <w:tcW w:w="572" w:type="pct"/>
            <w:vMerge w:val="continue"/>
            <w:vAlign w:val="center"/>
          </w:tcPr>
          <w:p w14:paraId="10B56265">
            <w:pPr>
              <w:spacing w:line="360" w:lineRule="auto"/>
              <w:jc w:val="center"/>
              <w:rPr>
                <w:rFonts w:ascii="Times New Roman" w:hAnsi="Times New Roman" w:eastAsia="宋体" w:cs="Times New Roman"/>
                <w:sz w:val="24"/>
                <w:szCs w:val="24"/>
              </w:rPr>
            </w:pPr>
          </w:p>
        </w:tc>
        <w:tc>
          <w:tcPr>
            <w:tcW w:w="1267" w:type="pct"/>
            <w:vAlign w:val="center"/>
          </w:tcPr>
          <w:p w14:paraId="198C7172">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装卸粉尘</w:t>
            </w:r>
          </w:p>
        </w:tc>
        <w:tc>
          <w:tcPr>
            <w:tcW w:w="1014" w:type="pct"/>
            <w:vAlign w:val="center"/>
          </w:tcPr>
          <w:p w14:paraId="3BE8D118">
            <w:pPr>
              <w:snapToGrid w:val="0"/>
              <w:spacing w:line="360" w:lineRule="auto"/>
              <w:jc w:val="center"/>
              <w:rPr>
                <w:rFonts w:ascii="Times New Roman" w:hAnsi="Times New Roman" w:eastAsia="宋体" w:cs="Times New Roman"/>
                <w:sz w:val="24"/>
                <w:szCs w:val="24"/>
                <w:lang w:val="de-DE"/>
              </w:rPr>
            </w:pPr>
            <w:r>
              <w:rPr>
                <w:rFonts w:ascii="Times New Roman" w:hAnsi="Times New Roman" w:eastAsia="宋体" w:cs="Times New Roman"/>
                <w:sz w:val="24"/>
                <w:szCs w:val="24"/>
              </w:rPr>
              <w:t>2.48t/a</w:t>
            </w:r>
          </w:p>
        </w:tc>
        <w:tc>
          <w:tcPr>
            <w:tcW w:w="1666" w:type="pct"/>
            <w:vAlign w:val="center"/>
          </w:tcPr>
          <w:p w14:paraId="6DAA65C6">
            <w:pPr>
              <w:snapToGrid w:val="0"/>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0.06t/a，无组织排放</w:t>
            </w:r>
          </w:p>
        </w:tc>
      </w:tr>
      <w:tr w14:paraId="39627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10AB7C28">
            <w:pPr>
              <w:spacing w:line="360" w:lineRule="auto"/>
              <w:jc w:val="center"/>
              <w:rPr>
                <w:rFonts w:ascii="Times New Roman" w:hAnsi="Times New Roman" w:eastAsia="宋体" w:cs="Times New Roman"/>
                <w:sz w:val="24"/>
                <w:szCs w:val="24"/>
              </w:rPr>
            </w:pPr>
          </w:p>
        </w:tc>
        <w:tc>
          <w:tcPr>
            <w:tcW w:w="572" w:type="pct"/>
            <w:vMerge w:val="continue"/>
            <w:vAlign w:val="center"/>
          </w:tcPr>
          <w:p w14:paraId="1DC6B219">
            <w:pPr>
              <w:spacing w:line="360" w:lineRule="auto"/>
              <w:jc w:val="center"/>
              <w:rPr>
                <w:rFonts w:ascii="Times New Roman" w:hAnsi="Times New Roman" w:eastAsia="宋体" w:cs="Times New Roman"/>
                <w:sz w:val="24"/>
                <w:szCs w:val="24"/>
              </w:rPr>
            </w:pPr>
          </w:p>
        </w:tc>
        <w:tc>
          <w:tcPr>
            <w:tcW w:w="1267" w:type="pct"/>
            <w:vAlign w:val="center"/>
          </w:tcPr>
          <w:p w14:paraId="6AAB18F5">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堆场粉尘</w:t>
            </w:r>
          </w:p>
        </w:tc>
        <w:tc>
          <w:tcPr>
            <w:tcW w:w="1014" w:type="pct"/>
            <w:vAlign w:val="center"/>
          </w:tcPr>
          <w:p w14:paraId="40E971D4">
            <w:pPr>
              <w:snapToGrid w:val="0"/>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0.01t/a，少量起尘</w:t>
            </w:r>
          </w:p>
        </w:tc>
        <w:tc>
          <w:tcPr>
            <w:tcW w:w="1666" w:type="pct"/>
            <w:vAlign w:val="center"/>
          </w:tcPr>
          <w:p w14:paraId="56C0B166">
            <w:pPr>
              <w:snapToGrid w:val="0"/>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产生量较少，无组织排放</w:t>
            </w:r>
          </w:p>
        </w:tc>
      </w:tr>
      <w:tr w14:paraId="0E154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11BBC6BC">
            <w:pPr>
              <w:spacing w:line="360" w:lineRule="auto"/>
              <w:jc w:val="center"/>
              <w:rPr>
                <w:rFonts w:ascii="Times New Roman" w:hAnsi="Times New Roman" w:eastAsia="宋体" w:cs="Times New Roman"/>
                <w:sz w:val="24"/>
                <w:szCs w:val="24"/>
              </w:rPr>
            </w:pPr>
          </w:p>
        </w:tc>
        <w:tc>
          <w:tcPr>
            <w:tcW w:w="572" w:type="pct"/>
            <w:vMerge w:val="continue"/>
            <w:vAlign w:val="center"/>
          </w:tcPr>
          <w:p w14:paraId="6BC3DDE1">
            <w:pPr>
              <w:spacing w:line="360" w:lineRule="auto"/>
              <w:jc w:val="center"/>
              <w:rPr>
                <w:rFonts w:ascii="Times New Roman" w:hAnsi="Times New Roman" w:eastAsia="宋体" w:cs="Times New Roman"/>
                <w:sz w:val="24"/>
                <w:szCs w:val="24"/>
              </w:rPr>
            </w:pPr>
          </w:p>
        </w:tc>
        <w:tc>
          <w:tcPr>
            <w:tcW w:w="1267" w:type="pct"/>
            <w:vAlign w:val="center"/>
          </w:tcPr>
          <w:p w14:paraId="5423FACC">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汽车运输扬尘</w:t>
            </w:r>
          </w:p>
        </w:tc>
        <w:tc>
          <w:tcPr>
            <w:tcW w:w="1014" w:type="pct"/>
            <w:vAlign w:val="center"/>
          </w:tcPr>
          <w:p w14:paraId="035939E8">
            <w:pPr>
              <w:snapToGrid w:val="0"/>
              <w:spacing w:line="360" w:lineRule="auto"/>
              <w:jc w:val="center"/>
              <w:rPr>
                <w:rFonts w:ascii="Times New Roman" w:hAnsi="Times New Roman" w:eastAsia="宋体" w:cs="Times New Roman"/>
                <w:bCs/>
                <w:sz w:val="24"/>
                <w:szCs w:val="24"/>
              </w:rPr>
            </w:pPr>
            <w:r>
              <w:rPr>
                <w:rFonts w:ascii="Times New Roman" w:hAnsi="Times New Roman" w:eastAsia="宋体" w:cs="Times New Roman"/>
                <w:bCs/>
                <w:sz w:val="24"/>
                <w:szCs w:val="24"/>
              </w:rPr>
              <w:t>0.038t/a</w:t>
            </w:r>
          </w:p>
        </w:tc>
        <w:tc>
          <w:tcPr>
            <w:tcW w:w="1666" w:type="pct"/>
            <w:vAlign w:val="center"/>
          </w:tcPr>
          <w:p w14:paraId="110F2BF0">
            <w:pPr>
              <w:snapToGrid w:val="0"/>
              <w:spacing w:line="360" w:lineRule="auto"/>
              <w:jc w:val="center"/>
              <w:rPr>
                <w:rFonts w:ascii="Times New Roman" w:hAnsi="Times New Roman" w:eastAsia="宋体" w:cs="Times New Roman"/>
                <w:bCs/>
                <w:sz w:val="24"/>
                <w:szCs w:val="24"/>
              </w:rPr>
            </w:pPr>
            <w:r>
              <w:rPr>
                <w:rFonts w:ascii="Times New Roman" w:hAnsi="Times New Roman" w:eastAsia="宋体" w:cs="Times New Roman"/>
                <w:bCs/>
                <w:sz w:val="24"/>
                <w:szCs w:val="24"/>
              </w:rPr>
              <w:t>产生量较少，无组织排放</w:t>
            </w:r>
          </w:p>
        </w:tc>
      </w:tr>
      <w:tr w14:paraId="28524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restart"/>
            <w:vAlign w:val="center"/>
          </w:tcPr>
          <w:p w14:paraId="60815E65">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水污染物</w:t>
            </w:r>
          </w:p>
        </w:tc>
        <w:tc>
          <w:tcPr>
            <w:tcW w:w="572" w:type="pct"/>
            <w:vMerge w:val="restart"/>
            <w:vAlign w:val="center"/>
          </w:tcPr>
          <w:p w14:paraId="5E0F3928">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施工期</w:t>
            </w:r>
          </w:p>
        </w:tc>
        <w:tc>
          <w:tcPr>
            <w:tcW w:w="1267" w:type="pct"/>
            <w:vAlign w:val="center"/>
          </w:tcPr>
          <w:p w14:paraId="0910A606">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施工人员生活污水</w:t>
            </w:r>
          </w:p>
        </w:tc>
        <w:tc>
          <w:tcPr>
            <w:tcW w:w="1014" w:type="pct"/>
            <w:vAlign w:val="center"/>
          </w:tcPr>
          <w:p w14:paraId="5EBDFCA2">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0.4m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/d</w:t>
            </w:r>
          </w:p>
        </w:tc>
        <w:tc>
          <w:tcPr>
            <w:tcW w:w="1666" w:type="pct"/>
            <w:vAlign w:val="center"/>
          </w:tcPr>
          <w:p w14:paraId="3991C57E">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二级生化处理设施收集处理后回用农肥</w:t>
            </w:r>
          </w:p>
        </w:tc>
      </w:tr>
      <w:tr w14:paraId="493ED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77CDBAA7">
            <w:pPr>
              <w:spacing w:line="360" w:lineRule="auto"/>
              <w:jc w:val="center"/>
              <w:rPr>
                <w:rFonts w:ascii="Times New Roman" w:hAnsi="Times New Roman" w:eastAsia="宋体" w:cs="Times New Roman"/>
                <w:sz w:val="24"/>
                <w:szCs w:val="24"/>
              </w:rPr>
            </w:pPr>
          </w:p>
        </w:tc>
        <w:tc>
          <w:tcPr>
            <w:tcW w:w="572" w:type="pct"/>
            <w:vMerge w:val="continue"/>
            <w:vAlign w:val="center"/>
          </w:tcPr>
          <w:p w14:paraId="2A7E962D">
            <w:pPr>
              <w:spacing w:line="360" w:lineRule="auto"/>
              <w:jc w:val="center"/>
              <w:rPr>
                <w:rFonts w:ascii="Times New Roman" w:hAnsi="Times New Roman" w:eastAsia="宋体" w:cs="Times New Roman"/>
                <w:sz w:val="24"/>
                <w:szCs w:val="24"/>
              </w:rPr>
            </w:pPr>
          </w:p>
        </w:tc>
        <w:tc>
          <w:tcPr>
            <w:tcW w:w="1267" w:type="pct"/>
            <w:vAlign w:val="center"/>
          </w:tcPr>
          <w:p w14:paraId="5553F96A">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施工废水</w:t>
            </w:r>
          </w:p>
        </w:tc>
        <w:tc>
          <w:tcPr>
            <w:tcW w:w="1014" w:type="pct"/>
            <w:vAlign w:val="center"/>
          </w:tcPr>
          <w:p w14:paraId="119432C6">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0.5m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/d</w:t>
            </w:r>
          </w:p>
        </w:tc>
        <w:tc>
          <w:tcPr>
            <w:tcW w:w="1666" w:type="pct"/>
            <w:vAlign w:val="center"/>
          </w:tcPr>
          <w:p w14:paraId="7D6C928B">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沉淀池收集处理后回用</w:t>
            </w:r>
          </w:p>
        </w:tc>
      </w:tr>
      <w:tr w14:paraId="43B6F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0BA4AE32">
            <w:pPr>
              <w:spacing w:line="360" w:lineRule="auto"/>
              <w:jc w:val="center"/>
              <w:rPr>
                <w:rFonts w:ascii="Times New Roman" w:hAnsi="Times New Roman" w:eastAsia="宋体" w:cs="Times New Roman"/>
                <w:sz w:val="24"/>
                <w:szCs w:val="24"/>
              </w:rPr>
            </w:pPr>
          </w:p>
        </w:tc>
        <w:tc>
          <w:tcPr>
            <w:tcW w:w="572" w:type="pct"/>
            <w:vMerge w:val="restart"/>
            <w:vAlign w:val="center"/>
          </w:tcPr>
          <w:p w14:paraId="47BB635E">
            <w:pPr>
              <w:spacing w:line="360" w:lineRule="auto"/>
              <w:ind w:left="-3"/>
              <w:jc w:val="center"/>
              <w:rPr>
                <w:rFonts w:ascii="Times New Roman" w:hAnsi="Times New Roman" w:eastAsia="宋体" w:cs="Times New Roman"/>
                <w:sz w:val="24"/>
                <w:szCs w:val="24"/>
              </w:rPr>
            </w:pPr>
            <w:r>
              <w:rPr>
                <w:rFonts w:ascii="Times New Roman" w:hAnsi="Times New Roman" w:eastAsia="宋体" w:cs="Times New Roman"/>
                <w:sz w:val="24"/>
                <w:szCs w:val="24"/>
              </w:rPr>
              <w:t>运营期</w:t>
            </w:r>
          </w:p>
        </w:tc>
        <w:tc>
          <w:tcPr>
            <w:tcW w:w="1267" w:type="pct"/>
            <w:vAlign w:val="center"/>
          </w:tcPr>
          <w:p w14:paraId="7ADFF79E">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生活污水</w:t>
            </w:r>
          </w:p>
        </w:tc>
        <w:tc>
          <w:tcPr>
            <w:tcW w:w="1014" w:type="pct"/>
            <w:vAlign w:val="center"/>
          </w:tcPr>
          <w:p w14:paraId="7D2B6CDE">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0.24m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/d</w:t>
            </w:r>
          </w:p>
        </w:tc>
        <w:tc>
          <w:tcPr>
            <w:tcW w:w="1666" w:type="pct"/>
            <w:vAlign w:val="center"/>
          </w:tcPr>
          <w:p w14:paraId="05FC8640">
            <w:pPr>
              <w:pStyle w:val="79"/>
              <w:adjustRightInd/>
              <w:spacing w:before="0" w:after="0" w:line="360" w:lineRule="auto"/>
              <w:rPr>
                <w:rFonts w:ascii="Times New Roman" w:hAnsi="Times New Roman" w:eastAsia="宋体" w:cs="Times New Roman"/>
                <w:sz w:val="24"/>
                <w:szCs w:val="24"/>
                <w:lang w:val="zh-CN"/>
              </w:rPr>
            </w:pPr>
            <w:r>
              <w:rPr>
                <w:rFonts w:ascii="Times New Roman" w:hAnsi="Times New Roman" w:eastAsia="宋体" w:cs="Times New Roman"/>
                <w:sz w:val="24"/>
                <w:szCs w:val="24"/>
              </w:rPr>
              <w:t>0.192m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/d，</w:t>
            </w:r>
            <w:r>
              <w:rPr>
                <w:rFonts w:hint="eastAsia" w:ascii="Times New Roman" w:hAnsi="Times New Roman" w:eastAsia="宋体" w:cs="Times New Roman"/>
                <w:sz w:val="24"/>
                <w:szCs w:val="24"/>
              </w:rPr>
              <w:t>二级生化处理设施收集处理后回用农肥</w:t>
            </w:r>
          </w:p>
        </w:tc>
      </w:tr>
      <w:tr w14:paraId="34122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5CAD5209">
            <w:pPr>
              <w:spacing w:line="360" w:lineRule="auto"/>
              <w:jc w:val="center"/>
              <w:rPr>
                <w:rFonts w:ascii="Times New Roman" w:hAnsi="Times New Roman" w:eastAsia="宋体" w:cs="Times New Roman"/>
                <w:sz w:val="24"/>
                <w:szCs w:val="24"/>
              </w:rPr>
            </w:pPr>
          </w:p>
        </w:tc>
        <w:tc>
          <w:tcPr>
            <w:tcW w:w="572" w:type="pct"/>
            <w:vMerge w:val="continue"/>
            <w:vAlign w:val="center"/>
          </w:tcPr>
          <w:p w14:paraId="0031085A">
            <w:pPr>
              <w:spacing w:line="360" w:lineRule="auto"/>
              <w:ind w:left="-3"/>
              <w:jc w:val="center"/>
              <w:rPr>
                <w:rFonts w:ascii="Times New Roman" w:hAnsi="Times New Roman" w:eastAsia="宋体" w:cs="Times New Roman"/>
                <w:sz w:val="24"/>
                <w:szCs w:val="24"/>
              </w:rPr>
            </w:pPr>
          </w:p>
        </w:tc>
        <w:tc>
          <w:tcPr>
            <w:tcW w:w="1267" w:type="pct"/>
            <w:vAlign w:val="center"/>
          </w:tcPr>
          <w:p w14:paraId="741A1971">
            <w:pPr>
              <w:spacing w:line="360" w:lineRule="auto"/>
              <w:jc w:val="center"/>
              <w:rPr>
                <w:rFonts w:ascii="Times New Roman" w:hAnsi="Times New Roman" w:eastAsia="宋体" w:cs="Times New Roman"/>
                <w:sz w:val="24"/>
                <w:szCs w:val="24"/>
              </w:rPr>
            </w:pPr>
            <w:r>
              <w:rPr>
                <w:rFonts w:ascii="Times New Roman" w:hAnsi="Times New Roman" w:eastAsia="宋体" w:cs="Times New Roman"/>
                <w:bCs/>
                <w:sz w:val="24"/>
                <w:szCs w:val="24"/>
              </w:rPr>
              <w:t>轮胎冲洗水</w:t>
            </w:r>
          </w:p>
        </w:tc>
        <w:tc>
          <w:tcPr>
            <w:tcW w:w="1014" w:type="pct"/>
            <w:vAlign w:val="center"/>
          </w:tcPr>
          <w:p w14:paraId="284EFF76">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w:t>
            </w:r>
          </w:p>
        </w:tc>
        <w:tc>
          <w:tcPr>
            <w:tcW w:w="1666" w:type="pct"/>
            <w:vAlign w:val="center"/>
          </w:tcPr>
          <w:p w14:paraId="79AB1A05">
            <w:pPr>
              <w:pStyle w:val="79"/>
              <w:adjustRightInd/>
              <w:spacing w:before="0" w:after="0"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lang w:val="zh-CN"/>
              </w:rPr>
              <w:t>自然蒸发</w:t>
            </w:r>
          </w:p>
        </w:tc>
      </w:tr>
      <w:tr w14:paraId="5D50B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389FE0F1">
            <w:pPr>
              <w:spacing w:line="360" w:lineRule="auto"/>
              <w:jc w:val="center"/>
              <w:rPr>
                <w:rFonts w:ascii="Times New Roman" w:hAnsi="Times New Roman" w:eastAsia="宋体" w:cs="Times New Roman"/>
                <w:sz w:val="24"/>
                <w:szCs w:val="24"/>
              </w:rPr>
            </w:pPr>
          </w:p>
        </w:tc>
        <w:tc>
          <w:tcPr>
            <w:tcW w:w="572" w:type="pct"/>
            <w:vMerge w:val="continue"/>
            <w:vAlign w:val="center"/>
          </w:tcPr>
          <w:p w14:paraId="68854E06">
            <w:pPr>
              <w:spacing w:line="360" w:lineRule="auto"/>
              <w:ind w:left="-3"/>
              <w:jc w:val="center"/>
              <w:rPr>
                <w:rFonts w:ascii="Times New Roman" w:hAnsi="Times New Roman" w:eastAsia="宋体" w:cs="Times New Roman"/>
                <w:sz w:val="24"/>
                <w:szCs w:val="24"/>
              </w:rPr>
            </w:pPr>
          </w:p>
        </w:tc>
        <w:tc>
          <w:tcPr>
            <w:tcW w:w="1267" w:type="pct"/>
            <w:vAlign w:val="center"/>
          </w:tcPr>
          <w:p w14:paraId="5D0F192A">
            <w:pPr>
              <w:spacing w:line="360" w:lineRule="auto"/>
              <w:jc w:val="center"/>
              <w:rPr>
                <w:rFonts w:ascii="Times New Roman" w:hAnsi="Times New Roman" w:eastAsia="宋体" w:cs="Times New Roman"/>
                <w:bCs/>
                <w:sz w:val="24"/>
                <w:szCs w:val="24"/>
              </w:rPr>
            </w:pPr>
            <w:r>
              <w:rPr>
                <w:rFonts w:hint="eastAsia" w:ascii="Times New Roman" w:hAnsi="Times New Roman" w:eastAsia="宋体" w:cs="Times New Roman"/>
                <w:bCs/>
                <w:sz w:val="24"/>
                <w:szCs w:val="24"/>
              </w:rPr>
              <w:t>喷雾降尘水</w:t>
            </w:r>
          </w:p>
        </w:tc>
        <w:tc>
          <w:tcPr>
            <w:tcW w:w="1014" w:type="pct"/>
            <w:vAlign w:val="center"/>
          </w:tcPr>
          <w:p w14:paraId="27454A0F">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w:t>
            </w:r>
          </w:p>
        </w:tc>
        <w:tc>
          <w:tcPr>
            <w:tcW w:w="1666" w:type="pct"/>
            <w:vAlign w:val="center"/>
          </w:tcPr>
          <w:p w14:paraId="2836E736">
            <w:pPr>
              <w:pStyle w:val="79"/>
              <w:adjustRightInd/>
              <w:spacing w:before="0" w:after="0" w:line="360" w:lineRule="auto"/>
              <w:jc w:val="center"/>
              <w:rPr>
                <w:rFonts w:ascii="Times New Roman" w:hAnsi="Times New Roman" w:eastAsia="宋体" w:cs="Times New Roman"/>
                <w:sz w:val="24"/>
                <w:szCs w:val="24"/>
                <w:lang w:val="zh-CN"/>
              </w:rPr>
            </w:pPr>
            <w:r>
              <w:rPr>
                <w:rFonts w:hint="eastAsia" w:ascii="Times New Roman" w:hAnsi="Times New Roman" w:eastAsia="宋体" w:cs="Times New Roman"/>
                <w:sz w:val="24"/>
                <w:szCs w:val="24"/>
                <w:lang w:val="zh-CN"/>
              </w:rPr>
              <w:t>自然蒸发</w:t>
            </w:r>
          </w:p>
        </w:tc>
      </w:tr>
      <w:tr w14:paraId="08959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7D04A146">
            <w:pPr>
              <w:spacing w:line="360" w:lineRule="auto"/>
              <w:jc w:val="center"/>
              <w:rPr>
                <w:rFonts w:ascii="Times New Roman" w:hAnsi="Times New Roman" w:eastAsia="宋体" w:cs="Times New Roman"/>
                <w:sz w:val="24"/>
                <w:szCs w:val="24"/>
              </w:rPr>
            </w:pPr>
          </w:p>
        </w:tc>
        <w:tc>
          <w:tcPr>
            <w:tcW w:w="572" w:type="pct"/>
            <w:vMerge w:val="continue"/>
            <w:vAlign w:val="center"/>
          </w:tcPr>
          <w:p w14:paraId="35ABFDB4">
            <w:pPr>
              <w:spacing w:line="360" w:lineRule="auto"/>
              <w:ind w:left="-3"/>
              <w:jc w:val="center"/>
              <w:rPr>
                <w:rFonts w:ascii="Times New Roman" w:hAnsi="Times New Roman" w:eastAsia="宋体" w:cs="Times New Roman"/>
                <w:sz w:val="24"/>
                <w:szCs w:val="24"/>
              </w:rPr>
            </w:pPr>
          </w:p>
        </w:tc>
        <w:tc>
          <w:tcPr>
            <w:tcW w:w="1267" w:type="pct"/>
            <w:vAlign w:val="center"/>
          </w:tcPr>
          <w:p w14:paraId="2230C539">
            <w:pPr>
              <w:spacing w:line="360" w:lineRule="auto"/>
              <w:jc w:val="center"/>
              <w:rPr>
                <w:rFonts w:ascii="Times New Roman" w:hAnsi="Times New Roman" w:eastAsia="宋体" w:cs="Times New Roman"/>
                <w:bCs/>
                <w:sz w:val="24"/>
                <w:szCs w:val="24"/>
              </w:rPr>
            </w:pPr>
            <w:r>
              <w:rPr>
                <w:rFonts w:hint="eastAsia" w:ascii="Times New Roman" w:hAnsi="Times New Roman" w:eastAsia="宋体" w:cs="Times New Roman"/>
                <w:bCs/>
                <w:sz w:val="24"/>
                <w:szCs w:val="24"/>
              </w:rPr>
              <w:t>湿法作业水</w:t>
            </w:r>
          </w:p>
        </w:tc>
        <w:tc>
          <w:tcPr>
            <w:tcW w:w="1014" w:type="pct"/>
            <w:vAlign w:val="center"/>
          </w:tcPr>
          <w:p w14:paraId="440AE596">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w:t>
            </w:r>
          </w:p>
        </w:tc>
        <w:tc>
          <w:tcPr>
            <w:tcW w:w="1666" w:type="pct"/>
            <w:vAlign w:val="center"/>
          </w:tcPr>
          <w:p w14:paraId="71168913">
            <w:pPr>
              <w:pStyle w:val="79"/>
              <w:adjustRightInd/>
              <w:spacing w:before="0" w:after="0" w:line="360" w:lineRule="auto"/>
              <w:jc w:val="center"/>
              <w:rPr>
                <w:rFonts w:ascii="Times New Roman" w:hAnsi="Times New Roman" w:eastAsia="宋体" w:cs="Times New Roman"/>
                <w:sz w:val="24"/>
                <w:szCs w:val="24"/>
                <w:lang w:val="zh-CN"/>
              </w:rPr>
            </w:pPr>
            <w:r>
              <w:rPr>
                <w:rFonts w:hint="eastAsia" w:ascii="Times New Roman" w:hAnsi="Times New Roman" w:eastAsia="宋体" w:cs="Times New Roman"/>
                <w:sz w:val="24"/>
                <w:szCs w:val="24"/>
                <w:lang w:val="zh-CN"/>
              </w:rPr>
              <w:t>沉淀后循环使用，不外排</w:t>
            </w:r>
          </w:p>
        </w:tc>
      </w:tr>
      <w:tr w14:paraId="0B16B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6E1EAC25">
            <w:pPr>
              <w:spacing w:line="360" w:lineRule="auto"/>
              <w:jc w:val="center"/>
              <w:rPr>
                <w:rFonts w:ascii="Times New Roman" w:hAnsi="Times New Roman" w:eastAsia="宋体" w:cs="Times New Roman"/>
                <w:sz w:val="24"/>
                <w:szCs w:val="24"/>
              </w:rPr>
            </w:pPr>
          </w:p>
        </w:tc>
        <w:tc>
          <w:tcPr>
            <w:tcW w:w="572" w:type="pct"/>
            <w:vMerge w:val="continue"/>
            <w:vAlign w:val="center"/>
          </w:tcPr>
          <w:p w14:paraId="29BEE866">
            <w:pPr>
              <w:spacing w:line="360" w:lineRule="auto"/>
              <w:ind w:left="-3"/>
              <w:jc w:val="center"/>
              <w:rPr>
                <w:rFonts w:ascii="Times New Roman" w:hAnsi="Times New Roman" w:eastAsia="宋体" w:cs="Times New Roman"/>
                <w:sz w:val="24"/>
                <w:szCs w:val="24"/>
              </w:rPr>
            </w:pPr>
          </w:p>
        </w:tc>
        <w:tc>
          <w:tcPr>
            <w:tcW w:w="1267" w:type="pct"/>
            <w:vAlign w:val="center"/>
          </w:tcPr>
          <w:p w14:paraId="1BE66CB2">
            <w:pPr>
              <w:spacing w:line="360" w:lineRule="auto"/>
              <w:jc w:val="center"/>
              <w:rPr>
                <w:rFonts w:ascii="Times New Roman" w:hAnsi="Times New Roman" w:eastAsia="宋体" w:cs="Times New Roman"/>
                <w:sz w:val="24"/>
                <w:szCs w:val="24"/>
              </w:rPr>
            </w:pPr>
            <w:r>
              <w:rPr>
                <w:rFonts w:ascii="Times New Roman" w:hAnsi="Times New Roman" w:eastAsia="宋体" w:cs="Times New Roman"/>
                <w:bCs/>
                <w:sz w:val="24"/>
                <w:szCs w:val="24"/>
              </w:rPr>
              <w:t>雨水</w:t>
            </w:r>
          </w:p>
        </w:tc>
        <w:tc>
          <w:tcPr>
            <w:tcW w:w="1014" w:type="pct"/>
            <w:vAlign w:val="center"/>
          </w:tcPr>
          <w:p w14:paraId="71E4A1C2">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w:t>
            </w:r>
          </w:p>
        </w:tc>
        <w:tc>
          <w:tcPr>
            <w:tcW w:w="1666" w:type="pct"/>
            <w:vAlign w:val="center"/>
          </w:tcPr>
          <w:p w14:paraId="6B1E790C">
            <w:pPr>
              <w:pStyle w:val="79"/>
              <w:adjustRightInd/>
              <w:spacing w:before="0" w:after="0"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lang w:val="zh-CN"/>
              </w:rPr>
              <w:t>三级沉淀后，外排</w:t>
            </w:r>
          </w:p>
        </w:tc>
      </w:tr>
      <w:tr w14:paraId="180D7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restart"/>
            <w:vAlign w:val="center"/>
          </w:tcPr>
          <w:p w14:paraId="02AAC776">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固体</w:t>
            </w:r>
          </w:p>
          <w:p w14:paraId="6CB2A686">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废弃物</w:t>
            </w:r>
          </w:p>
        </w:tc>
        <w:tc>
          <w:tcPr>
            <w:tcW w:w="572" w:type="pct"/>
            <w:vMerge w:val="restart"/>
            <w:vAlign w:val="center"/>
          </w:tcPr>
          <w:p w14:paraId="1CAB466A">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施工期</w:t>
            </w:r>
          </w:p>
        </w:tc>
        <w:tc>
          <w:tcPr>
            <w:tcW w:w="1267" w:type="pct"/>
            <w:vAlign w:val="center"/>
          </w:tcPr>
          <w:p w14:paraId="71B911EB">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施工人员生活垃圾</w:t>
            </w:r>
          </w:p>
        </w:tc>
        <w:tc>
          <w:tcPr>
            <w:tcW w:w="1014" w:type="pct"/>
            <w:vAlign w:val="center"/>
          </w:tcPr>
          <w:p w14:paraId="63F1542A">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5kg/d</w:t>
            </w:r>
          </w:p>
        </w:tc>
        <w:tc>
          <w:tcPr>
            <w:tcW w:w="1666" w:type="pct"/>
            <w:vAlign w:val="center"/>
          </w:tcPr>
          <w:p w14:paraId="3C36A966">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由环卫部门清运</w:t>
            </w:r>
          </w:p>
        </w:tc>
      </w:tr>
      <w:tr w14:paraId="62597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57576E10">
            <w:pPr>
              <w:spacing w:line="360" w:lineRule="auto"/>
              <w:jc w:val="center"/>
              <w:rPr>
                <w:rFonts w:ascii="Times New Roman" w:hAnsi="Times New Roman" w:eastAsia="宋体" w:cs="Times New Roman"/>
                <w:sz w:val="24"/>
                <w:szCs w:val="24"/>
              </w:rPr>
            </w:pPr>
          </w:p>
        </w:tc>
        <w:tc>
          <w:tcPr>
            <w:tcW w:w="572" w:type="pct"/>
            <w:vMerge w:val="continue"/>
            <w:vAlign w:val="center"/>
          </w:tcPr>
          <w:p w14:paraId="502651E6">
            <w:pPr>
              <w:spacing w:line="360" w:lineRule="auto"/>
              <w:jc w:val="center"/>
              <w:rPr>
                <w:rFonts w:ascii="Times New Roman" w:hAnsi="Times New Roman" w:eastAsia="宋体" w:cs="Times New Roman"/>
                <w:sz w:val="24"/>
                <w:szCs w:val="24"/>
              </w:rPr>
            </w:pPr>
          </w:p>
        </w:tc>
        <w:tc>
          <w:tcPr>
            <w:tcW w:w="1267" w:type="pct"/>
            <w:vAlign w:val="center"/>
          </w:tcPr>
          <w:p w14:paraId="6920C895">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建筑垃圾及弃渣</w:t>
            </w:r>
          </w:p>
        </w:tc>
        <w:tc>
          <w:tcPr>
            <w:tcW w:w="1014" w:type="pct"/>
            <w:vAlign w:val="center"/>
          </w:tcPr>
          <w:p w14:paraId="29BBE8C7">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少量</w:t>
            </w:r>
          </w:p>
        </w:tc>
        <w:tc>
          <w:tcPr>
            <w:tcW w:w="1666" w:type="pct"/>
            <w:vAlign w:val="center"/>
          </w:tcPr>
          <w:p w14:paraId="28DDDC4E">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运往政府制定地点</w:t>
            </w:r>
          </w:p>
        </w:tc>
      </w:tr>
      <w:tr w14:paraId="7802E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1D3CCC57">
            <w:pPr>
              <w:spacing w:line="360" w:lineRule="auto"/>
              <w:jc w:val="center"/>
              <w:rPr>
                <w:rFonts w:ascii="Times New Roman" w:hAnsi="Times New Roman" w:eastAsia="宋体" w:cs="Times New Roman"/>
                <w:sz w:val="24"/>
                <w:szCs w:val="24"/>
              </w:rPr>
            </w:pPr>
          </w:p>
        </w:tc>
        <w:tc>
          <w:tcPr>
            <w:tcW w:w="572" w:type="pct"/>
            <w:vMerge w:val="restart"/>
            <w:vAlign w:val="center"/>
          </w:tcPr>
          <w:p w14:paraId="4077EFC9">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运营期</w:t>
            </w:r>
          </w:p>
        </w:tc>
        <w:tc>
          <w:tcPr>
            <w:tcW w:w="1267" w:type="pct"/>
            <w:vAlign w:val="center"/>
          </w:tcPr>
          <w:p w14:paraId="5436C51D">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磁选废铁渣、分类废料</w:t>
            </w:r>
          </w:p>
        </w:tc>
        <w:tc>
          <w:tcPr>
            <w:tcW w:w="1014" w:type="pct"/>
            <w:vAlign w:val="center"/>
          </w:tcPr>
          <w:p w14:paraId="5434D43B">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5t/a</w:t>
            </w:r>
          </w:p>
        </w:tc>
        <w:tc>
          <w:tcPr>
            <w:tcW w:w="1666" w:type="pct"/>
            <w:vAlign w:val="center"/>
          </w:tcPr>
          <w:p w14:paraId="09BECE74">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废品公司</w:t>
            </w:r>
            <w:r>
              <w:rPr>
                <w:rFonts w:ascii="Times New Roman" w:hAnsi="Times New Roman" w:eastAsia="宋体" w:cs="Times New Roman"/>
                <w:sz w:val="24"/>
                <w:szCs w:val="24"/>
              </w:rPr>
              <w:t>回收外售</w:t>
            </w:r>
          </w:p>
        </w:tc>
      </w:tr>
      <w:tr w14:paraId="64B97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220A8A1A">
            <w:pPr>
              <w:spacing w:line="360" w:lineRule="auto"/>
              <w:jc w:val="center"/>
              <w:rPr>
                <w:rFonts w:ascii="Times New Roman" w:hAnsi="Times New Roman" w:eastAsia="宋体" w:cs="Times New Roman"/>
                <w:sz w:val="24"/>
                <w:szCs w:val="24"/>
              </w:rPr>
            </w:pPr>
          </w:p>
        </w:tc>
        <w:tc>
          <w:tcPr>
            <w:tcW w:w="572" w:type="pct"/>
            <w:vMerge w:val="continue"/>
            <w:vAlign w:val="center"/>
          </w:tcPr>
          <w:p w14:paraId="0960BA2D">
            <w:pPr>
              <w:spacing w:line="360" w:lineRule="auto"/>
              <w:jc w:val="center"/>
              <w:rPr>
                <w:rFonts w:ascii="Times New Roman" w:hAnsi="Times New Roman" w:eastAsia="宋体" w:cs="Times New Roman"/>
                <w:sz w:val="24"/>
                <w:szCs w:val="24"/>
              </w:rPr>
            </w:pPr>
          </w:p>
        </w:tc>
        <w:tc>
          <w:tcPr>
            <w:tcW w:w="1267" w:type="pct"/>
            <w:vAlign w:val="center"/>
          </w:tcPr>
          <w:p w14:paraId="5ED302B3">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循环沉淀池淤泥</w:t>
            </w:r>
          </w:p>
        </w:tc>
        <w:tc>
          <w:tcPr>
            <w:tcW w:w="1014" w:type="pct"/>
            <w:vAlign w:val="center"/>
          </w:tcPr>
          <w:p w14:paraId="601B6943">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28.86t/a</w:t>
            </w:r>
          </w:p>
        </w:tc>
        <w:tc>
          <w:tcPr>
            <w:tcW w:w="1666" w:type="pct"/>
            <w:vAlign w:val="center"/>
          </w:tcPr>
          <w:p w14:paraId="16A2202F">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回填中铁十五局弃土场</w:t>
            </w:r>
          </w:p>
        </w:tc>
      </w:tr>
      <w:tr w14:paraId="2EDC7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3997B46D">
            <w:pPr>
              <w:spacing w:line="360" w:lineRule="auto"/>
              <w:jc w:val="center"/>
              <w:rPr>
                <w:rFonts w:ascii="Times New Roman" w:hAnsi="Times New Roman" w:eastAsia="宋体" w:cs="Times New Roman"/>
                <w:sz w:val="24"/>
                <w:szCs w:val="24"/>
              </w:rPr>
            </w:pPr>
          </w:p>
        </w:tc>
        <w:tc>
          <w:tcPr>
            <w:tcW w:w="572" w:type="pct"/>
            <w:vMerge w:val="continue"/>
            <w:vAlign w:val="center"/>
          </w:tcPr>
          <w:p w14:paraId="0BF187C0">
            <w:pPr>
              <w:spacing w:line="360" w:lineRule="auto"/>
              <w:jc w:val="center"/>
              <w:rPr>
                <w:rFonts w:ascii="Times New Roman" w:hAnsi="Times New Roman" w:eastAsia="宋体" w:cs="Times New Roman"/>
                <w:sz w:val="24"/>
                <w:szCs w:val="24"/>
              </w:rPr>
            </w:pPr>
          </w:p>
        </w:tc>
        <w:tc>
          <w:tcPr>
            <w:tcW w:w="1267" w:type="pct"/>
            <w:vAlign w:val="center"/>
          </w:tcPr>
          <w:p w14:paraId="4BF19589">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轮胎冲洗池和雨水沉淀池淤泥</w:t>
            </w:r>
          </w:p>
        </w:tc>
        <w:tc>
          <w:tcPr>
            <w:tcW w:w="1014" w:type="pct"/>
            <w:vAlign w:val="center"/>
          </w:tcPr>
          <w:p w14:paraId="0E0278DF">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1</w:t>
            </w:r>
            <w:r>
              <w:rPr>
                <w:rFonts w:hint="eastAsia" w:ascii="Times New Roman" w:hAnsi="Times New Roman" w:eastAsia="宋体" w:cs="Times New Roman"/>
                <w:sz w:val="24"/>
                <w:szCs w:val="24"/>
              </w:rPr>
              <w:t>t</w:t>
            </w:r>
            <w:r>
              <w:rPr>
                <w:rFonts w:ascii="Times New Roman" w:hAnsi="Times New Roman" w:eastAsia="宋体" w:cs="Times New Roman"/>
                <w:sz w:val="24"/>
                <w:szCs w:val="24"/>
              </w:rPr>
              <w:t>/</w:t>
            </w:r>
            <w:r>
              <w:rPr>
                <w:rFonts w:hint="eastAsia" w:ascii="Times New Roman" w:hAnsi="Times New Roman" w:eastAsia="宋体" w:cs="Times New Roman"/>
                <w:sz w:val="24"/>
                <w:szCs w:val="24"/>
              </w:rPr>
              <w:t>a</w:t>
            </w:r>
          </w:p>
        </w:tc>
        <w:tc>
          <w:tcPr>
            <w:tcW w:w="1666" w:type="pct"/>
            <w:vAlign w:val="center"/>
          </w:tcPr>
          <w:p w14:paraId="0FE3BD29">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回填中铁十五局弃土场</w:t>
            </w:r>
          </w:p>
        </w:tc>
      </w:tr>
      <w:tr w14:paraId="48E1D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5C16EE49">
            <w:pPr>
              <w:spacing w:line="360" w:lineRule="auto"/>
              <w:jc w:val="center"/>
              <w:rPr>
                <w:rFonts w:ascii="Times New Roman" w:hAnsi="Times New Roman" w:eastAsia="宋体" w:cs="Times New Roman"/>
                <w:sz w:val="24"/>
                <w:szCs w:val="24"/>
              </w:rPr>
            </w:pPr>
          </w:p>
        </w:tc>
        <w:tc>
          <w:tcPr>
            <w:tcW w:w="572" w:type="pct"/>
            <w:vMerge w:val="continue"/>
            <w:vAlign w:val="center"/>
          </w:tcPr>
          <w:p w14:paraId="76C05616">
            <w:pPr>
              <w:spacing w:line="360" w:lineRule="auto"/>
              <w:jc w:val="center"/>
              <w:rPr>
                <w:rFonts w:ascii="Times New Roman" w:hAnsi="Times New Roman" w:eastAsia="宋体" w:cs="Times New Roman"/>
                <w:sz w:val="24"/>
                <w:szCs w:val="24"/>
              </w:rPr>
            </w:pPr>
          </w:p>
        </w:tc>
        <w:tc>
          <w:tcPr>
            <w:tcW w:w="1267" w:type="pct"/>
            <w:vAlign w:val="center"/>
          </w:tcPr>
          <w:p w14:paraId="4BB37597">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维修废物</w:t>
            </w:r>
          </w:p>
        </w:tc>
        <w:tc>
          <w:tcPr>
            <w:tcW w:w="1014" w:type="pct"/>
            <w:vAlign w:val="center"/>
          </w:tcPr>
          <w:p w14:paraId="3EB2F567">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0</w:t>
            </w:r>
            <w:r>
              <w:rPr>
                <w:rFonts w:ascii="Times New Roman" w:hAnsi="Times New Roman" w:eastAsia="宋体" w:cs="Times New Roman"/>
                <w:sz w:val="24"/>
                <w:szCs w:val="24"/>
              </w:rPr>
              <w:t>.2</w:t>
            </w:r>
            <w:r>
              <w:rPr>
                <w:rFonts w:hint="eastAsia" w:ascii="Times New Roman" w:hAnsi="Times New Roman" w:eastAsia="宋体" w:cs="Times New Roman"/>
                <w:sz w:val="24"/>
                <w:szCs w:val="24"/>
              </w:rPr>
              <w:t>t</w:t>
            </w:r>
            <w:r>
              <w:rPr>
                <w:rFonts w:ascii="Times New Roman" w:hAnsi="Times New Roman" w:eastAsia="宋体" w:cs="Times New Roman"/>
                <w:sz w:val="24"/>
                <w:szCs w:val="24"/>
              </w:rPr>
              <w:t>/</w:t>
            </w:r>
            <w:r>
              <w:rPr>
                <w:rFonts w:hint="eastAsia" w:ascii="Times New Roman" w:hAnsi="Times New Roman" w:eastAsia="宋体" w:cs="Times New Roman"/>
                <w:sz w:val="24"/>
                <w:szCs w:val="24"/>
              </w:rPr>
              <w:t>a</w:t>
            </w:r>
          </w:p>
        </w:tc>
        <w:tc>
          <w:tcPr>
            <w:tcW w:w="1666" w:type="pct"/>
            <w:vAlign w:val="center"/>
          </w:tcPr>
          <w:p w14:paraId="727D3832">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环卫部门</w:t>
            </w:r>
            <w:r>
              <w:rPr>
                <w:rFonts w:hint="eastAsia" w:ascii="Times New Roman" w:hAnsi="Times New Roman" w:eastAsia="宋体" w:cs="Times New Roman"/>
                <w:sz w:val="24"/>
                <w:szCs w:val="24"/>
              </w:rPr>
              <w:t>清运处理</w:t>
            </w:r>
          </w:p>
        </w:tc>
      </w:tr>
      <w:tr w14:paraId="39C61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1AFAE51F">
            <w:pPr>
              <w:spacing w:line="360" w:lineRule="auto"/>
              <w:jc w:val="center"/>
              <w:rPr>
                <w:rFonts w:ascii="Times New Roman" w:hAnsi="Times New Roman" w:eastAsia="宋体" w:cs="Times New Roman"/>
                <w:sz w:val="24"/>
                <w:szCs w:val="24"/>
              </w:rPr>
            </w:pPr>
          </w:p>
        </w:tc>
        <w:tc>
          <w:tcPr>
            <w:tcW w:w="572" w:type="pct"/>
            <w:vMerge w:val="continue"/>
            <w:vAlign w:val="center"/>
          </w:tcPr>
          <w:p w14:paraId="26349DE5">
            <w:pPr>
              <w:spacing w:line="360" w:lineRule="auto"/>
              <w:jc w:val="center"/>
              <w:rPr>
                <w:rFonts w:ascii="Times New Roman" w:hAnsi="Times New Roman" w:eastAsia="宋体" w:cs="Times New Roman"/>
                <w:sz w:val="24"/>
                <w:szCs w:val="24"/>
              </w:rPr>
            </w:pPr>
          </w:p>
        </w:tc>
        <w:tc>
          <w:tcPr>
            <w:tcW w:w="1267" w:type="pct"/>
            <w:vAlign w:val="center"/>
          </w:tcPr>
          <w:p w14:paraId="4B9A268B">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生活垃圾</w:t>
            </w:r>
          </w:p>
        </w:tc>
        <w:tc>
          <w:tcPr>
            <w:tcW w:w="1014" w:type="pct"/>
            <w:vAlign w:val="center"/>
          </w:tcPr>
          <w:p w14:paraId="73C57FDB">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0.9t/a</w:t>
            </w:r>
          </w:p>
        </w:tc>
        <w:tc>
          <w:tcPr>
            <w:tcW w:w="1666" w:type="pct"/>
            <w:vAlign w:val="center"/>
          </w:tcPr>
          <w:p w14:paraId="7AC6DAD5">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环卫部门</w:t>
            </w:r>
            <w:r>
              <w:rPr>
                <w:rFonts w:hint="eastAsia" w:ascii="Times New Roman" w:hAnsi="Times New Roman" w:eastAsia="宋体" w:cs="Times New Roman"/>
                <w:sz w:val="24"/>
                <w:szCs w:val="24"/>
              </w:rPr>
              <w:t>清运处理</w:t>
            </w:r>
          </w:p>
        </w:tc>
      </w:tr>
      <w:tr w14:paraId="5475A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restart"/>
            <w:vAlign w:val="center"/>
          </w:tcPr>
          <w:p w14:paraId="001372C2">
            <w:pPr>
              <w:spacing w:line="360" w:lineRule="auto"/>
              <w:ind w:left="105" w:leftChars="50"/>
              <w:jc w:val="center"/>
              <w:rPr>
                <w:rFonts w:ascii="Times New Roman" w:hAnsi="Times New Roman" w:eastAsia="宋体" w:cs="Times New Roman"/>
                <w:sz w:val="24"/>
                <w:szCs w:val="24"/>
              </w:rPr>
            </w:pPr>
            <w:r>
              <w:rPr>
                <w:rFonts w:ascii="Times New Roman" w:hAnsi="Times New Roman" w:eastAsia="宋体" w:cs="Times New Roman"/>
                <w:sz w:val="24"/>
                <w:szCs w:val="24"/>
              </w:rPr>
              <w:t>噪声</w:t>
            </w:r>
          </w:p>
        </w:tc>
        <w:tc>
          <w:tcPr>
            <w:tcW w:w="572" w:type="pct"/>
            <w:vAlign w:val="center"/>
          </w:tcPr>
          <w:p w14:paraId="05263F04">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施工期</w:t>
            </w:r>
          </w:p>
        </w:tc>
        <w:tc>
          <w:tcPr>
            <w:tcW w:w="1267" w:type="pct"/>
            <w:vAlign w:val="center"/>
          </w:tcPr>
          <w:p w14:paraId="274C3B52">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施工噪声</w:t>
            </w:r>
          </w:p>
        </w:tc>
        <w:tc>
          <w:tcPr>
            <w:tcW w:w="2680" w:type="pct"/>
            <w:gridSpan w:val="2"/>
            <w:vAlign w:val="center"/>
          </w:tcPr>
          <w:p w14:paraId="328C8922">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昼间≤70dB（A），夜间≤55dB（A）</w:t>
            </w:r>
          </w:p>
        </w:tc>
      </w:tr>
      <w:tr w14:paraId="09B85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80" w:type="pct"/>
            <w:vMerge w:val="continue"/>
            <w:vAlign w:val="center"/>
          </w:tcPr>
          <w:p w14:paraId="4035E4AD">
            <w:pPr>
              <w:spacing w:line="360" w:lineRule="auto"/>
              <w:ind w:left="105" w:leftChars="50"/>
              <w:jc w:val="center"/>
              <w:rPr>
                <w:rFonts w:ascii="Times New Roman" w:hAnsi="Times New Roman" w:eastAsia="宋体" w:cs="Times New Roman"/>
                <w:sz w:val="24"/>
                <w:szCs w:val="24"/>
              </w:rPr>
            </w:pPr>
          </w:p>
        </w:tc>
        <w:tc>
          <w:tcPr>
            <w:tcW w:w="572" w:type="pct"/>
            <w:vAlign w:val="center"/>
          </w:tcPr>
          <w:p w14:paraId="6E929092">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运营期</w:t>
            </w:r>
          </w:p>
        </w:tc>
        <w:tc>
          <w:tcPr>
            <w:tcW w:w="1267" w:type="pct"/>
            <w:vAlign w:val="center"/>
          </w:tcPr>
          <w:p w14:paraId="07C11512">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厂界</w:t>
            </w:r>
            <w:r>
              <w:rPr>
                <w:rFonts w:ascii="Times New Roman" w:hAnsi="Times New Roman" w:eastAsia="宋体" w:cs="Times New Roman"/>
                <w:sz w:val="24"/>
                <w:szCs w:val="24"/>
              </w:rPr>
              <w:t>噪声</w:t>
            </w:r>
          </w:p>
        </w:tc>
        <w:tc>
          <w:tcPr>
            <w:tcW w:w="2680" w:type="pct"/>
            <w:gridSpan w:val="2"/>
            <w:vAlign w:val="center"/>
          </w:tcPr>
          <w:p w14:paraId="155219E6">
            <w:pPr>
              <w:spacing w:line="360" w:lineRule="auto"/>
              <w:jc w:val="center"/>
              <w:rPr>
                <w:rFonts w:ascii="Times New Roman" w:hAnsi="Times New Roman" w:eastAsia="宋体" w:cs="Times New Roman"/>
                <w:spacing w:val="-6"/>
                <w:sz w:val="24"/>
                <w:szCs w:val="24"/>
              </w:rPr>
            </w:pPr>
            <w:r>
              <w:rPr>
                <w:rFonts w:ascii="Times New Roman" w:hAnsi="Times New Roman" w:eastAsia="宋体" w:cs="Times New Roman"/>
                <w:sz w:val="24"/>
                <w:szCs w:val="24"/>
              </w:rPr>
              <w:t>场界内：昼间≤60dB</w:t>
            </w:r>
            <w:r>
              <w:rPr>
                <w:rFonts w:ascii="Times New Roman" w:hAnsi="Times New Roman" w:eastAsia="宋体" w:cs="Times New Roman"/>
                <w:spacing w:val="-6"/>
                <w:sz w:val="24"/>
                <w:szCs w:val="24"/>
              </w:rPr>
              <w:t>（A）</w:t>
            </w:r>
            <w:r>
              <w:rPr>
                <w:rFonts w:ascii="Times New Roman" w:hAnsi="Times New Roman" w:eastAsia="宋体" w:cs="Times New Roman"/>
                <w:sz w:val="24"/>
                <w:szCs w:val="24"/>
              </w:rPr>
              <w:t>，夜间≤50dB</w:t>
            </w:r>
            <w:r>
              <w:rPr>
                <w:rFonts w:ascii="Times New Roman" w:hAnsi="Times New Roman" w:eastAsia="宋体" w:cs="Times New Roman"/>
                <w:spacing w:val="-6"/>
                <w:sz w:val="24"/>
                <w:szCs w:val="24"/>
              </w:rPr>
              <w:t>（A）</w:t>
            </w:r>
          </w:p>
        </w:tc>
      </w:tr>
      <w:tr w14:paraId="4B019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000" w:type="pct"/>
            <w:gridSpan w:val="5"/>
          </w:tcPr>
          <w:p w14:paraId="7FB63F75">
            <w:pPr>
              <w:spacing w:line="360" w:lineRule="auto"/>
              <w:ind w:firstLine="482" w:firstLineChars="200"/>
              <w:rPr>
                <w:rFonts w:ascii="Times New Roman" w:hAnsi="Times New Roman" w:eastAsia="宋体" w:cs="Times New Roman"/>
                <w:b/>
                <w:bCs/>
                <w:sz w:val="24"/>
                <w:szCs w:val="24"/>
              </w:rPr>
            </w:pPr>
            <w:r>
              <w:rPr>
                <w:rFonts w:ascii="Times New Roman" w:hAnsi="Times New Roman" w:eastAsia="宋体" w:cs="Times New Roman"/>
                <w:b/>
                <w:bCs/>
                <w:sz w:val="24"/>
                <w:szCs w:val="24"/>
              </w:rPr>
              <w:t>主要生态影响：</w:t>
            </w:r>
          </w:p>
          <w:p w14:paraId="0DAD71C7">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w:t>
            </w:r>
            <w:r>
              <w:rPr>
                <w:rFonts w:hint="eastAsia" w:ascii="Times New Roman" w:hAnsi="Times New Roman" w:eastAsia="宋体" w:cs="Times New Roman"/>
                <w:sz w:val="24"/>
                <w:szCs w:val="24"/>
              </w:rPr>
              <w:t>新建</w:t>
            </w:r>
            <w:r>
              <w:rPr>
                <w:rFonts w:ascii="Times New Roman" w:hAnsi="Times New Roman" w:eastAsia="宋体" w:cs="Times New Roman"/>
                <w:sz w:val="24"/>
                <w:szCs w:val="24"/>
              </w:rPr>
              <w:t>范围为</w:t>
            </w:r>
            <w:r>
              <w:rPr>
                <w:rFonts w:hint="eastAsia" w:ascii="Times New Roman" w:hAnsi="Times New Roman" w:eastAsia="宋体" w:cs="Times New Roman"/>
                <w:sz w:val="24"/>
                <w:szCs w:val="24"/>
              </w:rPr>
              <w:t>原中铁十二局搅拌站遗留场地</w:t>
            </w:r>
            <w:r>
              <w:rPr>
                <w:rFonts w:ascii="Times New Roman" w:hAnsi="Times New Roman" w:eastAsia="宋体" w:cs="Times New Roman"/>
                <w:sz w:val="24"/>
                <w:szCs w:val="24"/>
              </w:rPr>
              <w:t>范围，该区域人类活动频繁，无珍稀保护动植物。本项目施工期主要影响为施工造成地面扰动引起的水土流失，项目用地范围较为平整，不需要进行大量土石方开挖，平整后立刻进行压实，水土流失影响较小。项目生产过程中产生的各类污染物均得到有效的处理，不会对周边环境造成污染；本工程对现有的生物群落及动物活动场所不会造成大的影响。区内的动物种类较少，没有珍稀动物的存在，项目的建设不会对动物的活动造成大影响。项目区内的植物也均为常见种类，附近分布很广，项目建设不会造成任何一个物种的灭绝。</w:t>
            </w:r>
          </w:p>
          <w:p w14:paraId="51F2A5F3">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因此，项目的建设对生态环境不会产生较大影响。本项目在营运期对生态环境不会产生明显影响。</w:t>
            </w:r>
          </w:p>
          <w:p w14:paraId="64D54021">
            <w:pPr>
              <w:spacing w:line="360" w:lineRule="auto"/>
              <w:rPr>
                <w:rFonts w:ascii="Times New Roman" w:hAnsi="Times New Roman" w:eastAsia="宋体" w:cs="Times New Roman"/>
                <w:sz w:val="24"/>
                <w:szCs w:val="24"/>
              </w:rPr>
            </w:pPr>
          </w:p>
          <w:p w14:paraId="640A1E8F">
            <w:pPr>
              <w:spacing w:line="360" w:lineRule="auto"/>
              <w:rPr>
                <w:rFonts w:ascii="Times New Roman" w:hAnsi="Times New Roman" w:eastAsia="宋体" w:cs="Times New Roman"/>
                <w:sz w:val="24"/>
                <w:szCs w:val="24"/>
              </w:rPr>
            </w:pPr>
          </w:p>
          <w:p w14:paraId="7343355A">
            <w:pPr>
              <w:spacing w:line="360" w:lineRule="auto"/>
              <w:rPr>
                <w:rFonts w:ascii="Times New Roman" w:hAnsi="Times New Roman" w:eastAsia="宋体" w:cs="Times New Roman"/>
                <w:sz w:val="24"/>
                <w:szCs w:val="24"/>
              </w:rPr>
            </w:pPr>
          </w:p>
          <w:p w14:paraId="7462C2FD">
            <w:pPr>
              <w:spacing w:line="360" w:lineRule="auto"/>
              <w:rPr>
                <w:rFonts w:ascii="Times New Roman" w:hAnsi="Times New Roman" w:eastAsia="宋体" w:cs="Times New Roman"/>
                <w:sz w:val="24"/>
                <w:szCs w:val="24"/>
              </w:rPr>
            </w:pPr>
          </w:p>
          <w:p w14:paraId="0BDF6983">
            <w:pPr>
              <w:spacing w:line="360" w:lineRule="auto"/>
              <w:rPr>
                <w:rFonts w:ascii="Times New Roman" w:hAnsi="Times New Roman" w:eastAsia="宋体" w:cs="Times New Roman"/>
                <w:sz w:val="24"/>
                <w:szCs w:val="24"/>
              </w:rPr>
            </w:pPr>
          </w:p>
          <w:p w14:paraId="14DF74F9">
            <w:pPr>
              <w:spacing w:line="360" w:lineRule="auto"/>
              <w:rPr>
                <w:rFonts w:ascii="Times New Roman" w:hAnsi="Times New Roman" w:eastAsia="宋体" w:cs="Times New Roman"/>
                <w:sz w:val="24"/>
                <w:szCs w:val="24"/>
              </w:rPr>
            </w:pPr>
          </w:p>
          <w:p w14:paraId="5B9738A4">
            <w:pPr>
              <w:spacing w:line="360" w:lineRule="auto"/>
              <w:rPr>
                <w:rFonts w:ascii="Times New Roman" w:hAnsi="Times New Roman" w:eastAsia="宋体" w:cs="Times New Roman"/>
                <w:sz w:val="24"/>
                <w:szCs w:val="24"/>
              </w:rPr>
            </w:pPr>
          </w:p>
          <w:p w14:paraId="5364D0A8">
            <w:pPr>
              <w:spacing w:line="360" w:lineRule="auto"/>
              <w:rPr>
                <w:rFonts w:ascii="Times New Roman" w:hAnsi="Times New Roman" w:eastAsia="宋体" w:cs="Times New Roman"/>
                <w:sz w:val="24"/>
                <w:szCs w:val="24"/>
              </w:rPr>
            </w:pPr>
          </w:p>
          <w:p w14:paraId="58468107">
            <w:pPr>
              <w:spacing w:line="360" w:lineRule="auto"/>
              <w:rPr>
                <w:rFonts w:ascii="Times New Roman" w:hAnsi="Times New Roman" w:eastAsia="宋体" w:cs="Times New Roman"/>
                <w:sz w:val="24"/>
                <w:szCs w:val="24"/>
              </w:rPr>
            </w:pPr>
          </w:p>
          <w:p w14:paraId="449EDA64">
            <w:pPr>
              <w:spacing w:line="360" w:lineRule="auto"/>
              <w:rPr>
                <w:rFonts w:ascii="Times New Roman" w:hAnsi="Times New Roman" w:eastAsia="宋体" w:cs="Times New Roman"/>
                <w:sz w:val="24"/>
                <w:szCs w:val="24"/>
              </w:rPr>
            </w:pPr>
          </w:p>
          <w:p w14:paraId="1D2D113C">
            <w:pPr>
              <w:spacing w:line="360" w:lineRule="auto"/>
              <w:rPr>
                <w:rFonts w:ascii="Times New Roman" w:hAnsi="Times New Roman" w:eastAsia="宋体" w:cs="Times New Roman"/>
                <w:sz w:val="24"/>
                <w:szCs w:val="24"/>
              </w:rPr>
            </w:pPr>
          </w:p>
          <w:p w14:paraId="64FAFBA4">
            <w:pPr>
              <w:spacing w:line="360" w:lineRule="auto"/>
              <w:rPr>
                <w:rFonts w:ascii="Times New Roman" w:hAnsi="Times New Roman" w:eastAsia="宋体" w:cs="Times New Roman"/>
                <w:sz w:val="24"/>
                <w:szCs w:val="24"/>
              </w:rPr>
            </w:pPr>
          </w:p>
          <w:p w14:paraId="0B94C269">
            <w:pPr>
              <w:spacing w:line="360" w:lineRule="auto"/>
              <w:rPr>
                <w:rFonts w:ascii="Times New Roman" w:hAnsi="Times New Roman" w:eastAsia="宋体" w:cs="Times New Roman"/>
                <w:sz w:val="24"/>
                <w:szCs w:val="24"/>
              </w:rPr>
            </w:pPr>
          </w:p>
          <w:p w14:paraId="64F2E4F9">
            <w:pPr>
              <w:spacing w:line="360" w:lineRule="auto"/>
              <w:rPr>
                <w:rFonts w:ascii="Times New Roman" w:hAnsi="Times New Roman" w:eastAsia="宋体" w:cs="Times New Roman"/>
                <w:sz w:val="24"/>
                <w:szCs w:val="24"/>
              </w:rPr>
            </w:pPr>
          </w:p>
          <w:p w14:paraId="55471273">
            <w:pPr>
              <w:spacing w:line="360" w:lineRule="auto"/>
              <w:rPr>
                <w:rFonts w:ascii="Times New Roman" w:hAnsi="Times New Roman" w:eastAsia="宋体" w:cs="Times New Roman"/>
                <w:sz w:val="24"/>
                <w:szCs w:val="24"/>
              </w:rPr>
            </w:pPr>
          </w:p>
          <w:p w14:paraId="229BB87F">
            <w:pPr>
              <w:spacing w:line="360" w:lineRule="auto"/>
              <w:rPr>
                <w:rFonts w:ascii="Times New Roman" w:hAnsi="Times New Roman" w:eastAsia="宋体" w:cs="Times New Roman"/>
                <w:sz w:val="24"/>
                <w:szCs w:val="24"/>
              </w:rPr>
            </w:pPr>
          </w:p>
        </w:tc>
      </w:tr>
    </w:tbl>
    <w:p w14:paraId="4A66BF7A">
      <w:pPr>
        <w:outlineLvl w:val="0"/>
        <w:rPr>
          <w:rFonts w:ascii="Times New Roman" w:hAnsi="Times New Roman" w:eastAsia="宋体" w:cs="Times New Roman"/>
          <w:b/>
          <w:sz w:val="30"/>
          <w:szCs w:val="30"/>
        </w:rPr>
        <w:sectPr>
          <w:pgSz w:w="11906" w:h="16838"/>
          <w:pgMar w:top="1440" w:right="1797" w:bottom="1440" w:left="1797" w:header="851" w:footer="958" w:gutter="0"/>
          <w:cols w:space="720" w:num="1"/>
          <w:docGrid w:linePitch="312" w:charSpace="0"/>
        </w:sectPr>
      </w:pPr>
    </w:p>
    <w:p w14:paraId="561CCD01">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t>环境影响分析（表七）</w:t>
      </w:r>
    </w:p>
    <w:tbl>
      <w:tblPr>
        <w:tblStyle w:val="26"/>
        <w:tblW w:w="85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4325C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84" w:hRule="atLeast"/>
          <w:jc w:val="center"/>
        </w:trPr>
        <w:tc>
          <w:tcPr>
            <w:tcW w:w="8528" w:type="dxa"/>
          </w:tcPr>
          <w:p w14:paraId="29F17F33">
            <w:pPr>
              <w:spacing w:before="120" w:after="120" w:line="480" w:lineRule="exact"/>
              <w:rPr>
                <w:rFonts w:ascii="Times New Roman" w:hAnsi="Times New Roman" w:eastAsia="宋体" w:cs="Times New Roman"/>
                <w:b/>
                <w:sz w:val="28"/>
                <w:szCs w:val="28"/>
              </w:rPr>
            </w:pPr>
            <w:r>
              <w:rPr>
                <w:rFonts w:ascii="Times New Roman" w:hAnsi="Times New Roman" w:eastAsia="宋体" w:cs="Times New Roman"/>
                <w:b/>
                <w:sz w:val="28"/>
                <w:szCs w:val="28"/>
              </w:rPr>
              <w:t>一、施工期环境影响分析</w:t>
            </w:r>
          </w:p>
          <w:p w14:paraId="30A98738">
            <w:pPr>
              <w:spacing w:line="360" w:lineRule="auto"/>
              <w:textAlignment w:val="center"/>
              <w:rPr>
                <w:rFonts w:ascii="Times New Roman" w:hAnsi="Times New Roman" w:eastAsia="宋体" w:cs="Times New Roman"/>
                <w:b/>
                <w:sz w:val="24"/>
                <w:szCs w:val="24"/>
              </w:rPr>
            </w:pPr>
            <w:r>
              <w:rPr>
                <w:rFonts w:ascii="Times New Roman" w:hAnsi="Times New Roman" w:eastAsia="宋体" w:cs="Times New Roman"/>
                <w:b/>
                <w:sz w:val="24"/>
                <w:szCs w:val="24"/>
              </w:rPr>
              <w:t>（一）施工期大气环境影响分析</w:t>
            </w:r>
          </w:p>
          <w:p w14:paraId="72B531F4">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本项目利用现有平整场地进行</w:t>
            </w:r>
            <w:r>
              <w:rPr>
                <w:rFonts w:hint="eastAsia" w:ascii="Times New Roman" w:hAnsi="Times New Roman" w:eastAsia="宋体" w:cs="Times New Roman"/>
                <w:sz w:val="24"/>
              </w:rPr>
              <w:t>新建</w:t>
            </w:r>
            <w:r>
              <w:rPr>
                <w:rFonts w:ascii="Times New Roman" w:hAnsi="Times New Roman" w:eastAsia="宋体" w:cs="Times New Roman"/>
                <w:sz w:val="24"/>
              </w:rPr>
              <w:t>。施工期主要为厂房的建设、生产设备的安装、环保设施的安装</w:t>
            </w:r>
            <w:r>
              <w:rPr>
                <w:rFonts w:hint="eastAsia" w:ascii="Times New Roman" w:hAnsi="Times New Roman" w:eastAsia="宋体" w:cs="Times New Roman"/>
                <w:sz w:val="24"/>
              </w:rPr>
              <w:t>。施工期的环境污染主要来自施工机械的噪声、建筑扬尘、建筑垃圾及挖方产生的弃土、水土流失以及建筑施工人员产生的生活污水和生活垃圾。</w:t>
            </w:r>
            <w:r>
              <w:rPr>
                <w:rFonts w:ascii="Times New Roman" w:hAnsi="Times New Roman" w:eastAsia="宋体" w:cs="Times New Roman"/>
                <w:sz w:val="24"/>
              </w:rPr>
              <w:t>由于施工期较短，对周边环境影响较小。施工期对环境影响相对营运期而言是短期和暂时影响，施工期结束后影响即告停止。</w:t>
            </w:r>
            <w:r>
              <w:rPr>
                <w:rFonts w:hint="eastAsia" w:ascii="Times New Roman" w:hAnsi="Times New Roman" w:eastAsia="宋体" w:cs="Times New Roman"/>
                <w:sz w:val="24"/>
              </w:rPr>
              <w:t>各污染要素的环境影响分析如下：</w:t>
            </w:r>
          </w:p>
          <w:p w14:paraId="2C4A49D7">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（1）施工废气对环境影响分析</w:t>
            </w:r>
          </w:p>
          <w:p w14:paraId="38FF7BAC">
            <w:pPr>
              <w:spacing w:line="360" w:lineRule="auto"/>
              <w:ind w:firstLine="480"/>
              <w:rPr>
                <w:rFonts w:ascii="Times New Roman" w:hAnsi="Times New Roman" w:eastAsia="宋体" w:cs="Times New Roman"/>
                <w:sz w:val="24"/>
                <w:szCs w:val="24"/>
              </w:rPr>
            </w:pPr>
            <w:r>
              <w:rPr>
                <w:rFonts w:hint="eastAsia" w:ascii="宋体" w:hAnsi="宋体" w:eastAsia="宋体" w:cs="宋体"/>
                <w:sz w:val="24"/>
                <w:szCs w:val="24"/>
              </w:rPr>
              <w:t>①</w:t>
            </w:r>
            <w:r>
              <w:rPr>
                <w:rFonts w:ascii="Times New Roman" w:hAnsi="Times New Roman" w:eastAsia="宋体" w:cs="Times New Roman"/>
                <w:sz w:val="24"/>
                <w:szCs w:val="24"/>
              </w:rPr>
              <w:t>施工扬尘</w:t>
            </w:r>
          </w:p>
          <w:p w14:paraId="3C3842A9">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①扬尘的产生</w:t>
            </w:r>
          </w:p>
          <w:p w14:paraId="55622AAE">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施工期产生扬尘的作业有土地平整、基础开挖、回填、道路浇注、建材运输、堆放、装卸等过程。扬尘的主要来源是挖掘机施工时产生的扬尘，废弃土石堆放场地以及运输车辆进出时产生的扬尘。</w:t>
            </w:r>
          </w:p>
          <w:p w14:paraId="320C3485">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施工扬尘的起尘量与许多因素有关，挖土机、推土机等在工作时的起尘量与挖坑深度、挖土机抓斗与地面的相对高度、风速、土壤的颗粒度、土壤含水量等因素有关。对于渣土堆场而言，起尘量还与堆放方式、起动风速及堆场有无防护措施等有关。国内外的研究结果和类比调查表明，在起动风速以上，影响起尘量的主要因素分别为：防护措施、风速、土壤湿度、挖土方式或土堆的堆放方式等。</w:t>
            </w:r>
          </w:p>
          <w:p w14:paraId="1947ADF5">
            <w:pPr>
              <w:spacing w:line="360" w:lineRule="auto"/>
              <w:ind w:firstLine="48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据有关调查显示，施工工地的扬尘主要是由运输车辆行驶产生，与道路路面及车辆行驶速度有关，约占扬尘总量的60%。在完全干燥情况下，可按经验公式计算：</w:t>
            </w:r>
            <w:r>
              <w:rPr>
                <w:rFonts w:ascii="Times New Roman" w:hAnsi="Times New Roman" w:eastAsia="宋体" w:cs="Times New Roman"/>
                <w:sz w:val="24"/>
                <w:szCs w:val="24"/>
              </w:rPr>
              <w:cr/>
            </w:r>
            <w:r>
              <w:drawing>
                <wp:inline distT="0" distB="0" distL="0" distR="0">
                  <wp:extent cx="3933825" cy="179070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933825" cy="1790700"/>
                          </a:xfrm>
                          <a:prstGeom prst="rect">
                            <a:avLst/>
                          </a:prstGeom>
                          <a:noFill/>
                          <a:ln>
                            <a:noFill/>
                          </a:ln>
                        </pic:spPr>
                      </pic:pic>
                    </a:graphicData>
                  </a:graphic>
                </wp:inline>
              </w:drawing>
            </w:r>
          </w:p>
          <w:p w14:paraId="6DE94919">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一辆载重5t的卡车，通过一段长度为500m的路面时，不同表面清洁程度，不同行驶速度情况下产生的扬尘量见表7-1所示。</w:t>
            </w:r>
          </w:p>
          <w:p w14:paraId="29A62DA8">
            <w:pPr>
              <w:spacing w:line="360" w:lineRule="auto"/>
              <w:ind w:firstLine="480"/>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表7-1 不同车速和地面清洁程度时的汽车扬尘 单位:kg/km·辆</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1"/>
              <w:gridCol w:w="984"/>
              <w:gridCol w:w="1175"/>
              <w:gridCol w:w="1175"/>
              <w:gridCol w:w="1175"/>
              <w:gridCol w:w="1176"/>
              <w:gridCol w:w="1176"/>
            </w:tblGrid>
            <w:tr w14:paraId="6ECDB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2" w:type="dxa"/>
                  <w:tcBorders>
                    <w:top w:val="single" w:color="auto" w:sz="12" w:space="0"/>
                    <w:left w:val="single" w:color="auto" w:sz="12" w:space="0"/>
                    <w:tl2br w:val="single" w:color="auto" w:sz="2" w:space="0"/>
                  </w:tcBorders>
                  <w:shd w:val="clear" w:color="auto" w:fill="auto"/>
                  <w:vAlign w:val="center"/>
                </w:tcPr>
                <w:p w14:paraId="67325D52">
                  <w:pPr>
                    <w:spacing w:line="360" w:lineRule="auto"/>
                    <w:jc w:val="right"/>
                    <w:rPr>
                      <w:rFonts w:ascii="Times New Roman" w:hAnsi="Times New Roman" w:eastAsia="宋体" w:cs="Times New Roman"/>
                      <w:szCs w:val="21"/>
                    </w:rPr>
                  </w:pPr>
                  <w:r>
                    <w:rPr>
                      <w:rFonts w:ascii="Times New Roman" w:hAnsi="Times New Roman" w:eastAsia="宋体" w:cs="Times New Roman"/>
                      <w:szCs w:val="21"/>
                    </w:rPr>
                    <w:t>P(kg/m</w:t>
                  </w:r>
                  <w:r>
                    <w:rPr>
                      <w:rFonts w:ascii="Times New Roman" w:hAnsi="Times New Roman" w:eastAsia="宋体" w:cs="Times New Roman"/>
                      <w:szCs w:val="21"/>
                      <w:vertAlign w:val="superscript"/>
                    </w:rPr>
                    <w:t>2</w:t>
                  </w:r>
                  <w:r>
                    <w:rPr>
                      <w:rFonts w:ascii="Times New Roman" w:hAnsi="Times New Roman" w:eastAsia="宋体" w:cs="Times New Roman"/>
                      <w:szCs w:val="21"/>
                    </w:rPr>
                    <w:t>)</w:t>
                  </w:r>
                </w:p>
                <w:p w14:paraId="12330415">
                  <w:pPr>
                    <w:spacing w:line="360" w:lineRule="auto"/>
                    <w:jc w:val="left"/>
                    <w:rPr>
                      <w:rFonts w:ascii="Times New Roman" w:hAnsi="Times New Roman" w:eastAsia="宋体" w:cs="Times New Roman"/>
                      <w:szCs w:val="21"/>
                    </w:rPr>
                  </w:pPr>
                  <w:r>
                    <w:rPr>
                      <w:rFonts w:ascii="Times New Roman" w:hAnsi="Times New Roman" w:eastAsia="宋体" w:cs="Times New Roman"/>
                      <w:szCs w:val="21"/>
                    </w:rPr>
                    <w:t>车速（km/h）</w:t>
                  </w:r>
                </w:p>
              </w:tc>
              <w:tc>
                <w:tcPr>
                  <w:tcW w:w="985" w:type="dxa"/>
                  <w:tcBorders>
                    <w:top w:val="single" w:color="auto" w:sz="12" w:space="0"/>
                  </w:tcBorders>
                  <w:shd w:val="clear" w:color="auto" w:fill="auto"/>
                  <w:vAlign w:val="center"/>
                </w:tcPr>
                <w:p w14:paraId="4A3065AE">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0.1</w:t>
                  </w:r>
                </w:p>
              </w:tc>
              <w:tc>
                <w:tcPr>
                  <w:tcW w:w="1177" w:type="dxa"/>
                  <w:tcBorders>
                    <w:top w:val="single" w:color="auto" w:sz="12" w:space="0"/>
                  </w:tcBorders>
                  <w:shd w:val="clear" w:color="auto" w:fill="auto"/>
                  <w:vAlign w:val="center"/>
                </w:tcPr>
                <w:p w14:paraId="3DB9AC1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0.2</w:t>
                  </w:r>
                </w:p>
              </w:tc>
              <w:tc>
                <w:tcPr>
                  <w:tcW w:w="1177" w:type="dxa"/>
                  <w:tcBorders>
                    <w:top w:val="single" w:color="auto" w:sz="12" w:space="0"/>
                  </w:tcBorders>
                  <w:shd w:val="clear" w:color="auto" w:fill="auto"/>
                  <w:vAlign w:val="center"/>
                </w:tcPr>
                <w:p w14:paraId="170AB23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0.3</w:t>
                  </w:r>
                </w:p>
              </w:tc>
              <w:tc>
                <w:tcPr>
                  <w:tcW w:w="1177" w:type="dxa"/>
                  <w:tcBorders>
                    <w:top w:val="single" w:color="auto" w:sz="12" w:space="0"/>
                  </w:tcBorders>
                  <w:shd w:val="clear" w:color="auto" w:fill="auto"/>
                  <w:vAlign w:val="center"/>
                </w:tcPr>
                <w:p w14:paraId="106397A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0.4</w:t>
                  </w:r>
                </w:p>
              </w:tc>
              <w:tc>
                <w:tcPr>
                  <w:tcW w:w="1177" w:type="dxa"/>
                  <w:tcBorders>
                    <w:top w:val="single" w:color="auto" w:sz="12" w:space="0"/>
                  </w:tcBorders>
                  <w:shd w:val="clear" w:color="auto" w:fill="auto"/>
                  <w:vAlign w:val="center"/>
                </w:tcPr>
                <w:p w14:paraId="57BD0FC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0.5</w:t>
                  </w:r>
                </w:p>
              </w:tc>
              <w:tc>
                <w:tcPr>
                  <w:tcW w:w="1177" w:type="dxa"/>
                  <w:tcBorders>
                    <w:top w:val="single" w:color="auto" w:sz="12" w:space="0"/>
                    <w:right w:val="single" w:color="auto" w:sz="12" w:space="0"/>
                  </w:tcBorders>
                  <w:shd w:val="clear" w:color="auto" w:fill="auto"/>
                  <w:vAlign w:val="center"/>
                </w:tcPr>
                <w:p w14:paraId="0B12E451">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w:t>
                  </w:r>
                </w:p>
              </w:tc>
            </w:tr>
            <w:tr w14:paraId="3DE8B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2" w:type="dxa"/>
                  <w:tcBorders>
                    <w:left w:val="single" w:color="auto" w:sz="12" w:space="0"/>
                  </w:tcBorders>
                  <w:shd w:val="clear" w:color="auto" w:fill="auto"/>
                  <w:vAlign w:val="center"/>
                </w:tcPr>
                <w:p w14:paraId="6447646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5</w:t>
                  </w:r>
                </w:p>
              </w:tc>
              <w:tc>
                <w:tcPr>
                  <w:tcW w:w="985" w:type="dxa"/>
                  <w:shd w:val="clear" w:color="auto" w:fill="auto"/>
                  <w:vAlign w:val="center"/>
                </w:tcPr>
                <w:p w14:paraId="21E37818">
                  <w:pPr>
                    <w:spacing w:line="360" w:lineRule="auto"/>
                    <w:jc w:val="center"/>
                    <w:rPr>
                      <w:rFonts w:ascii="Times New Roman" w:hAnsi="Times New Roman" w:eastAsia="宋体" w:cs="Times New Roman"/>
                      <w:szCs w:val="21"/>
                    </w:rPr>
                  </w:pPr>
                  <w:r>
                    <w:rPr>
                      <w:rFonts w:ascii="Times New Roman" w:hAnsi="Times New Roman" w:cs="Times New Roman"/>
                      <w:szCs w:val="21"/>
                    </w:rPr>
                    <w:t>0.0283</w:t>
                  </w:r>
                </w:p>
              </w:tc>
              <w:tc>
                <w:tcPr>
                  <w:tcW w:w="1177" w:type="dxa"/>
                  <w:shd w:val="clear" w:color="auto" w:fill="auto"/>
                  <w:vAlign w:val="center"/>
                </w:tcPr>
                <w:p w14:paraId="2E82FECC">
                  <w:pPr>
                    <w:spacing w:line="360" w:lineRule="auto"/>
                    <w:jc w:val="center"/>
                    <w:rPr>
                      <w:rFonts w:ascii="Times New Roman" w:hAnsi="Times New Roman" w:eastAsia="宋体" w:cs="Times New Roman"/>
                      <w:szCs w:val="21"/>
                    </w:rPr>
                  </w:pPr>
                  <w:r>
                    <w:rPr>
                      <w:rFonts w:ascii="Times New Roman" w:hAnsi="Times New Roman" w:cs="Times New Roman"/>
                      <w:szCs w:val="21"/>
                    </w:rPr>
                    <w:t>0.0476</w:t>
                  </w:r>
                </w:p>
              </w:tc>
              <w:tc>
                <w:tcPr>
                  <w:tcW w:w="1177" w:type="dxa"/>
                  <w:shd w:val="clear" w:color="auto" w:fill="auto"/>
                  <w:vAlign w:val="center"/>
                </w:tcPr>
                <w:p w14:paraId="727595EC">
                  <w:pPr>
                    <w:spacing w:line="360" w:lineRule="auto"/>
                    <w:jc w:val="center"/>
                    <w:rPr>
                      <w:rFonts w:ascii="Times New Roman" w:hAnsi="Times New Roman" w:eastAsia="宋体" w:cs="Times New Roman"/>
                      <w:szCs w:val="21"/>
                    </w:rPr>
                  </w:pPr>
                  <w:r>
                    <w:rPr>
                      <w:rFonts w:ascii="Times New Roman" w:hAnsi="Times New Roman" w:cs="Times New Roman"/>
                      <w:szCs w:val="21"/>
                    </w:rPr>
                    <w:t>0.0646</w:t>
                  </w:r>
                </w:p>
              </w:tc>
              <w:tc>
                <w:tcPr>
                  <w:tcW w:w="1177" w:type="dxa"/>
                  <w:shd w:val="clear" w:color="auto" w:fill="auto"/>
                  <w:vAlign w:val="center"/>
                </w:tcPr>
                <w:p w14:paraId="24057952">
                  <w:pPr>
                    <w:spacing w:line="360" w:lineRule="auto"/>
                    <w:jc w:val="center"/>
                    <w:rPr>
                      <w:rFonts w:ascii="Times New Roman" w:hAnsi="Times New Roman" w:eastAsia="宋体" w:cs="Times New Roman"/>
                      <w:szCs w:val="21"/>
                    </w:rPr>
                  </w:pPr>
                  <w:r>
                    <w:rPr>
                      <w:rFonts w:ascii="Times New Roman" w:hAnsi="Times New Roman" w:cs="Times New Roman"/>
                      <w:szCs w:val="21"/>
                    </w:rPr>
                    <w:t>0.0801</w:t>
                  </w:r>
                </w:p>
              </w:tc>
              <w:tc>
                <w:tcPr>
                  <w:tcW w:w="1177" w:type="dxa"/>
                  <w:shd w:val="clear" w:color="auto" w:fill="auto"/>
                  <w:vAlign w:val="center"/>
                </w:tcPr>
                <w:p w14:paraId="010BF890">
                  <w:pPr>
                    <w:spacing w:line="360" w:lineRule="auto"/>
                    <w:jc w:val="center"/>
                    <w:rPr>
                      <w:rFonts w:ascii="Times New Roman" w:hAnsi="Times New Roman" w:eastAsia="宋体" w:cs="Times New Roman"/>
                      <w:szCs w:val="21"/>
                    </w:rPr>
                  </w:pPr>
                  <w:r>
                    <w:rPr>
                      <w:rFonts w:ascii="Times New Roman" w:hAnsi="Times New Roman" w:cs="Times New Roman"/>
                      <w:szCs w:val="21"/>
                    </w:rPr>
                    <w:t>0.0947</w:t>
                  </w:r>
                </w:p>
              </w:tc>
              <w:tc>
                <w:tcPr>
                  <w:tcW w:w="1177" w:type="dxa"/>
                  <w:tcBorders>
                    <w:right w:val="single" w:color="auto" w:sz="12" w:space="0"/>
                  </w:tcBorders>
                  <w:shd w:val="clear" w:color="auto" w:fill="auto"/>
                  <w:vAlign w:val="center"/>
                </w:tcPr>
                <w:p w14:paraId="434B6183">
                  <w:pPr>
                    <w:spacing w:line="360" w:lineRule="auto"/>
                    <w:jc w:val="center"/>
                    <w:rPr>
                      <w:rFonts w:ascii="Times New Roman" w:hAnsi="Times New Roman" w:eastAsia="宋体" w:cs="Times New Roman"/>
                      <w:szCs w:val="21"/>
                    </w:rPr>
                  </w:pPr>
                  <w:r>
                    <w:rPr>
                      <w:rFonts w:ascii="Times New Roman" w:hAnsi="Times New Roman" w:cs="Times New Roman"/>
                      <w:szCs w:val="21"/>
                    </w:rPr>
                    <w:t>0.1593</w:t>
                  </w:r>
                </w:p>
              </w:tc>
            </w:tr>
            <w:tr w14:paraId="4F17C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2" w:type="dxa"/>
                  <w:tcBorders>
                    <w:left w:val="single" w:color="auto" w:sz="12" w:space="0"/>
                  </w:tcBorders>
                  <w:shd w:val="clear" w:color="auto" w:fill="auto"/>
                  <w:vAlign w:val="center"/>
                </w:tcPr>
                <w:p w14:paraId="23C4736D">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10</w:t>
                  </w:r>
                </w:p>
              </w:tc>
              <w:tc>
                <w:tcPr>
                  <w:tcW w:w="985" w:type="dxa"/>
                  <w:shd w:val="clear" w:color="auto" w:fill="auto"/>
                </w:tcPr>
                <w:p w14:paraId="428CEB6C">
                  <w:pPr>
                    <w:spacing w:line="360" w:lineRule="auto"/>
                    <w:jc w:val="center"/>
                    <w:rPr>
                      <w:rFonts w:ascii="Times New Roman" w:hAnsi="Times New Roman" w:eastAsia="宋体" w:cs="Times New Roman"/>
                      <w:szCs w:val="21"/>
                    </w:rPr>
                  </w:pPr>
                  <w:r>
                    <w:rPr>
                      <w:rFonts w:ascii="Times New Roman" w:hAnsi="Times New Roman" w:cs="Times New Roman"/>
                      <w:szCs w:val="21"/>
                    </w:rPr>
                    <w:t>0.0566</w:t>
                  </w:r>
                </w:p>
              </w:tc>
              <w:tc>
                <w:tcPr>
                  <w:tcW w:w="1177" w:type="dxa"/>
                  <w:shd w:val="clear" w:color="auto" w:fill="auto"/>
                </w:tcPr>
                <w:p w14:paraId="33306B5F">
                  <w:pPr>
                    <w:spacing w:line="360" w:lineRule="auto"/>
                    <w:jc w:val="center"/>
                    <w:rPr>
                      <w:rFonts w:ascii="Times New Roman" w:hAnsi="Times New Roman" w:eastAsia="宋体" w:cs="Times New Roman"/>
                      <w:szCs w:val="21"/>
                    </w:rPr>
                  </w:pPr>
                  <w:r>
                    <w:rPr>
                      <w:rFonts w:ascii="Times New Roman" w:hAnsi="Times New Roman" w:cs="Times New Roman"/>
                      <w:szCs w:val="21"/>
                    </w:rPr>
                    <w:t>0.0953</w:t>
                  </w:r>
                </w:p>
              </w:tc>
              <w:tc>
                <w:tcPr>
                  <w:tcW w:w="1177" w:type="dxa"/>
                  <w:shd w:val="clear" w:color="auto" w:fill="auto"/>
                </w:tcPr>
                <w:p w14:paraId="6393ECE2">
                  <w:pPr>
                    <w:spacing w:line="360" w:lineRule="auto"/>
                    <w:jc w:val="center"/>
                    <w:rPr>
                      <w:rFonts w:ascii="Times New Roman" w:hAnsi="Times New Roman" w:eastAsia="宋体" w:cs="Times New Roman"/>
                      <w:szCs w:val="21"/>
                    </w:rPr>
                  </w:pPr>
                  <w:r>
                    <w:rPr>
                      <w:rFonts w:ascii="Times New Roman" w:hAnsi="Times New Roman" w:cs="Times New Roman"/>
                      <w:szCs w:val="21"/>
                    </w:rPr>
                    <w:t>0.1291</w:t>
                  </w:r>
                </w:p>
              </w:tc>
              <w:tc>
                <w:tcPr>
                  <w:tcW w:w="1177" w:type="dxa"/>
                  <w:shd w:val="clear" w:color="auto" w:fill="auto"/>
                </w:tcPr>
                <w:p w14:paraId="3CF37DFB">
                  <w:pPr>
                    <w:spacing w:line="360" w:lineRule="auto"/>
                    <w:jc w:val="center"/>
                    <w:rPr>
                      <w:rFonts w:ascii="Times New Roman" w:hAnsi="Times New Roman" w:eastAsia="宋体" w:cs="Times New Roman"/>
                      <w:szCs w:val="21"/>
                    </w:rPr>
                  </w:pPr>
                  <w:r>
                    <w:rPr>
                      <w:rFonts w:ascii="Times New Roman" w:hAnsi="Times New Roman" w:cs="Times New Roman"/>
                      <w:szCs w:val="21"/>
                    </w:rPr>
                    <w:t>0.1602</w:t>
                  </w:r>
                </w:p>
              </w:tc>
              <w:tc>
                <w:tcPr>
                  <w:tcW w:w="1177" w:type="dxa"/>
                  <w:shd w:val="clear" w:color="auto" w:fill="auto"/>
                </w:tcPr>
                <w:p w14:paraId="6434E4E4">
                  <w:pPr>
                    <w:spacing w:line="360" w:lineRule="auto"/>
                    <w:jc w:val="center"/>
                    <w:rPr>
                      <w:rFonts w:ascii="Times New Roman" w:hAnsi="Times New Roman" w:eastAsia="宋体" w:cs="Times New Roman"/>
                      <w:szCs w:val="21"/>
                    </w:rPr>
                  </w:pPr>
                  <w:r>
                    <w:rPr>
                      <w:rFonts w:ascii="Times New Roman" w:hAnsi="Times New Roman" w:cs="Times New Roman"/>
                      <w:szCs w:val="21"/>
                    </w:rPr>
                    <w:t>0.1894</w:t>
                  </w:r>
                </w:p>
              </w:tc>
              <w:tc>
                <w:tcPr>
                  <w:tcW w:w="1177" w:type="dxa"/>
                  <w:tcBorders>
                    <w:right w:val="single" w:color="auto" w:sz="12" w:space="0"/>
                  </w:tcBorders>
                  <w:shd w:val="clear" w:color="auto" w:fill="auto"/>
                </w:tcPr>
                <w:p w14:paraId="5C3DEF72">
                  <w:pPr>
                    <w:spacing w:line="360" w:lineRule="auto"/>
                    <w:jc w:val="center"/>
                    <w:rPr>
                      <w:rFonts w:ascii="Times New Roman" w:hAnsi="Times New Roman" w:eastAsia="宋体" w:cs="Times New Roman"/>
                      <w:szCs w:val="21"/>
                    </w:rPr>
                  </w:pPr>
                  <w:r>
                    <w:rPr>
                      <w:rFonts w:ascii="Times New Roman" w:hAnsi="Times New Roman" w:cs="Times New Roman"/>
                      <w:szCs w:val="21"/>
                    </w:rPr>
                    <w:t>0.3186</w:t>
                  </w:r>
                </w:p>
              </w:tc>
            </w:tr>
            <w:tr w14:paraId="6F362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2" w:type="dxa"/>
                  <w:tcBorders>
                    <w:left w:val="single" w:color="auto" w:sz="12" w:space="0"/>
                  </w:tcBorders>
                  <w:shd w:val="clear" w:color="auto" w:fill="auto"/>
                  <w:vAlign w:val="center"/>
                </w:tcPr>
                <w:p w14:paraId="5D8CA8E5">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15</w:t>
                  </w:r>
                </w:p>
              </w:tc>
              <w:tc>
                <w:tcPr>
                  <w:tcW w:w="985" w:type="dxa"/>
                  <w:shd w:val="clear" w:color="auto" w:fill="auto"/>
                  <w:vAlign w:val="center"/>
                </w:tcPr>
                <w:p w14:paraId="78384C94">
                  <w:pPr>
                    <w:spacing w:line="360" w:lineRule="auto"/>
                    <w:jc w:val="center"/>
                    <w:rPr>
                      <w:rFonts w:ascii="Times New Roman" w:hAnsi="Times New Roman" w:eastAsia="宋体" w:cs="Times New Roman"/>
                      <w:szCs w:val="21"/>
                    </w:rPr>
                  </w:pPr>
                  <w:r>
                    <w:rPr>
                      <w:rFonts w:ascii="Times New Roman" w:hAnsi="Times New Roman" w:cs="Times New Roman"/>
                      <w:szCs w:val="21"/>
                    </w:rPr>
                    <w:t>0.0850</w:t>
                  </w:r>
                </w:p>
              </w:tc>
              <w:tc>
                <w:tcPr>
                  <w:tcW w:w="1177" w:type="dxa"/>
                  <w:shd w:val="clear" w:color="auto" w:fill="auto"/>
                  <w:vAlign w:val="center"/>
                </w:tcPr>
                <w:p w14:paraId="22DEBF7B">
                  <w:pPr>
                    <w:spacing w:line="360" w:lineRule="auto"/>
                    <w:jc w:val="center"/>
                    <w:rPr>
                      <w:rFonts w:ascii="Times New Roman" w:hAnsi="Times New Roman" w:eastAsia="宋体" w:cs="Times New Roman"/>
                      <w:szCs w:val="21"/>
                    </w:rPr>
                  </w:pPr>
                  <w:r>
                    <w:rPr>
                      <w:rFonts w:ascii="Times New Roman" w:hAnsi="Times New Roman" w:cs="Times New Roman"/>
                      <w:szCs w:val="21"/>
                    </w:rPr>
                    <w:t>0.1429</w:t>
                  </w:r>
                </w:p>
              </w:tc>
              <w:tc>
                <w:tcPr>
                  <w:tcW w:w="1177" w:type="dxa"/>
                  <w:shd w:val="clear" w:color="auto" w:fill="auto"/>
                  <w:vAlign w:val="center"/>
                </w:tcPr>
                <w:p w14:paraId="566492F2">
                  <w:pPr>
                    <w:spacing w:line="360" w:lineRule="auto"/>
                    <w:jc w:val="center"/>
                    <w:rPr>
                      <w:rFonts w:ascii="Times New Roman" w:hAnsi="Times New Roman" w:eastAsia="宋体" w:cs="Times New Roman"/>
                      <w:szCs w:val="21"/>
                    </w:rPr>
                  </w:pPr>
                  <w:r>
                    <w:rPr>
                      <w:rFonts w:ascii="Times New Roman" w:hAnsi="Times New Roman" w:cs="Times New Roman"/>
                      <w:szCs w:val="21"/>
                    </w:rPr>
                    <w:t>0.1937</w:t>
                  </w:r>
                </w:p>
              </w:tc>
              <w:tc>
                <w:tcPr>
                  <w:tcW w:w="1177" w:type="dxa"/>
                  <w:shd w:val="clear" w:color="auto" w:fill="auto"/>
                  <w:vAlign w:val="center"/>
                </w:tcPr>
                <w:p w14:paraId="6B662FC5">
                  <w:pPr>
                    <w:spacing w:line="360" w:lineRule="auto"/>
                    <w:jc w:val="center"/>
                    <w:rPr>
                      <w:rFonts w:ascii="Times New Roman" w:hAnsi="Times New Roman" w:eastAsia="宋体" w:cs="Times New Roman"/>
                      <w:szCs w:val="21"/>
                    </w:rPr>
                  </w:pPr>
                  <w:r>
                    <w:rPr>
                      <w:rFonts w:ascii="Times New Roman" w:hAnsi="Times New Roman" w:cs="Times New Roman"/>
                      <w:szCs w:val="21"/>
                    </w:rPr>
                    <w:t>0.2403</w:t>
                  </w:r>
                </w:p>
              </w:tc>
              <w:tc>
                <w:tcPr>
                  <w:tcW w:w="1177" w:type="dxa"/>
                  <w:shd w:val="clear" w:color="auto" w:fill="auto"/>
                  <w:vAlign w:val="center"/>
                </w:tcPr>
                <w:p w14:paraId="4A437AF2">
                  <w:pPr>
                    <w:spacing w:line="360" w:lineRule="auto"/>
                    <w:jc w:val="center"/>
                    <w:rPr>
                      <w:rFonts w:ascii="Times New Roman" w:hAnsi="Times New Roman" w:eastAsia="宋体" w:cs="Times New Roman"/>
                      <w:szCs w:val="21"/>
                    </w:rPr>
                  </w:pPr>
                  <w:r>
                    <w:rPr>
                      <w:rFonts w:ascii="Times New Roman" w:hAnsi="Times New Roman" w:cs="Times New Roman"/>
                      <w:szCs w:val="21"/>
                    </w:rPr>
                    <w:t>0.2841</w:t>
                  </w:r>
                </w:p>
              </w:tc>
              <w:tc>
                <w:tcPr>
                  <w:tcW w:w="1177" w:type="dxa"/>
                  <w:tcBorders>
                    <w:right w:val="single" w:color="auto" w:sz="12" w:space="0"/>
                  </w:tcBorders>
                  <w:shd w:val="clear" w:color="auto" w:fill="auto"/>
                  <w:vAlign w:val="center"/>
                </w:tcPr>
                <w:p w14:paraId="19D082CA">
                  <w:pPr>
                    <w:spacing w:line="360" w:lineRule="auto"/>
                    <w:jc w:val="center"/>
                    <w:rPr>
                      <w:rFonts w:ascii="Times New Roman" w:hAnsi="Times New Roman" w:eastAsia="宋体" w:cs="Times New Roman"/>
                      <w:szCs w:val="21"/>
                    </w:rPr>
                  </w:pPr>
                  <w:r>
                    <w:rPr>
                      <w:rFonts w:ascii="Times New Roman" w:hAnsi="Times New Roman" w:cs="Times New Roman"/>
                      <w:szCs w:val="21"/>
                    </w:rPr>
                    <w:t>0.4778</w:t>
                  </w:r>
                </w:p>
              </w:tc>
            </w:tr>
            <w:tr w14:paraId="31741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2" w:type="dxa"/>
                  <w:tcBorders>
                    <w:left w:val="single" w:color="auto" w:sz="12" w:space="0"/>
                    <w:bottom w:val="single" w:color="auto" w:sz="12" w:space="0"/>
                  </w:tcBorders>
                  <w:shd w:val="clear" w:color="auto" w:fill="auto"/>
                  <w:vAlign w:val="center"/>
                </w:tcPr>
                <w:p w14:paraId="0CD9D8A4">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20</w:t>
                  </w:r>
                </w:p>
              </w:tc>
              <w:tc>
                <w:tcPr>
                  <w:tcW w:w="985" w:type="dxa"/>
                  <w:tcBorders>
                    <w:bottom w:val="single" w:color="auto" w:sz="12" w:space="0"/>
                  </w:tcBorders>
                  <w:shd w:val="clear" w:color="auto" w:fill="auto"/>
                  <w:vAlign w:val="center"/>
                </w:tcPr>
                <w:p w14:paraId="1C58C5F3">
                  <w:pPr>
                    <w:spacing w:line="360" w:lineRule="auto"/>
                    <w:jc w:val="center"/>
                    <w:rPr>
                      <w:rFonts w:ascii="Times New Roman" w:hAnsi="Times New Roman" w:eastAsia="宋体" w:cs="Times New Roman"/>
                      <w:szCs w:val="21"/>
                    </w:rPr>
                  </w:pPr>
                  <w:r>
                    <w:rPr>
                      <w:rFonts w:ascii="Times New Roman" w:hAnsi="Times New Roman" w:cs="Times New Roman"/>
                      <w:szCs w:val="21"/>
                    </w:rPr>
                    <w:t>0.1133</w:t>
                  </w:r>
                </w:p>
              </w:tc>
              <w:tc>
                <w:tcPr>
                  <w:tcW w:w="1177" w:type="dxa"/>
                  <w:tcBorders>
                    <w:bottom w:val="single" w:color="auto" w:sz="12" w:space="0"/>
                  </w:tcBorders>
                  <w:shd w:val="clear" w:color="auto" w:fill="auto"/>
                  <w:vAlign w:val="center"/>
                </w:tcPr>
                <w:p w14:paraId="14AEC1DD">
                  <w:pPr>
                    <w:spacing w:line="360" w:lineRule="auto"/>
                    <w:jc w:val="center"/>
                    <w:rPr>
                      <w:rFonts w:ascii="Times New Roman" w:hAnsi="Times New Roman" w:eastAsia="宋体" w:cs="Times New Roman"/>
                      <w:szCs w:val="21"/>
                    </w:rPr>
                  </w:pPr>
                  <w:r>
                    <w:rPr>
                      <w:rFonts w:ascii="Times New Roman" w:hAnsi="Times New Roman" w:cs="Times New Roman"/>
                      <w:szCs w:val="21"/>
                    </w:rPr>
                    <w:t>0.1905</w:t>
                  </w:r>
                </w:p>
              </w:tc>
              <w:tc>
                <w:tcPr>
                  <w:tcW w:w="1177" w:type="dxa"/>
                  <w:tcBorders>
                    <w:bottom w:val="single" w:color="auto" w:sz="12" w:space="0"/>
                  </w:tcBorders>
                  <w:shd w:val="clear" w:color="auto" w:fill="auto"/>
                  <w:vAlign w:val="center"/>
                </w:tcPr>
                <w:p w14:paraId="0F4FF2CF">
                  <w:pPr>
                    <w:spacing w:line="360" w:lineRule="auto"/>
                    <w:jc w:val="center"/>
                    <w:rPr>
                      <w:rFonts w:ascii="Times New Roman" w:hAnsi="Times New Roman" w:eastAsia="宋体" w:cs="Times New Roman"/>
                      <w:szCs w:val="21"/>
                    </w:rPr>
                  </w:pPr>
                  <w:r>
                    <w:rPr>
                      <w:rFonts w:ascii="Times New Roman" w:hAnsi="Times New Roman" w:cs="Times New Roman"/>
                      <w:szCs w:val="21"/>
                    </w:rPr>
                    <w:t>0.2583</w:t>
                  </w:r>
                </w:p>
              </w:tc>
              <w:tc>
                <w:tcPr>
                  <w:tcW w:w="1177" w:type="dxa"/>
                  <w:tcBorders>
                    <w:bottom w:val="single" w:color="auto" w:sz="12" w:space="0"/>
                  </w:tcBorders>
                  <w:shd w:val="clear" w:color="auto" w:fill="auto"/>
                  <w:vAlign w:val="center"/>
                </w:tcPr>
                <w:p w14:paraId="0922B988">
                  <w:pPr>
                    <w:spacing w:line="360" w:lineRule="auto"/>
                    <w:jc w:val="center"/>
                    <w:rPr>
                      <w:rFonts w:ascii="Times New Roman" w:hAnsi="Times New Roman" w:eastAsia="宋体" w:cs="Times New Roman"/>
                      <w:szCs w:val="21"/>
                    </w:rPr>
                  </w:pPr>
                  <w:r>
                    <w:rPr>
                      <w:rFonts w:ascii="Times New Roman" w:hAnsi="Times New Roman" w:cs="Times New Roman"/>
                      <w:szCs w:val="21"/>
                    </w:rPr>
                    <w:t>0.3204</w:t>
                  </w:r>
                </w:p>
              </w:tc>
              <w:tc>
                <w:tcPr>
                  <w:tcW w:w="1177" w:type="dxa"/>
                  <w:tcBorders>
                    <w:bottom w:val="single" w:color="auto" w:sz="12" w:space="0"/>
                  </w:tcBorders>
                  <w:shd w:val="clear" w:color="auto" w:fill="auto"/>
                  <w:vAlign w:val="center"/>
                </w:tcPr>
                <w:p w14:paraId="14345114">
                  <w:pPr>
                    <w:spacing w:line="360" w:lineRule="auto"/>
                    <w:jc w:val="center"/>
                    <w:rPr>
                      <w:rFonts w:ascii="Times New Roman" w:hAnsi="Times New Roman" w:eastAsia="宋体" w:cs="Times New Roman"/>
                      <w:szCs w:val="21"/>
                    </w:rPr>
                  </w:pPr>
                  <w:r>
                    <w:rPr>
                      <w:rFonts w:ascii="Times New Roman" w:hAnsi="Times New Roman" w:cs="Times New Roman"/>
                      <w:szCs w:val="21"/>
                    </w:rPr>
                    <w:t>0.3788</w:t>
                  </w:r>
                </w:p>
              </w:tc>
              <w:tc>
                <w:tcPr>
                  <w:tcW w:w="1177" w:type="dxa"/>
                  <w:tcBorders>
                    <w:bottom w:val="single" w:color="auto" w:sz="12" w:space="0"/>
                    <w:right w:val="single" w:color="auto" w:sz="12" w:space="0"/>
                  </w:tcBorders>
                  <w:shd w:val="clear" w:color="auto" w:fill="auto"/>
                  <w:vAlign w:val="center"/>
                </w:tcPr>
                <w:p w14:paraId="3617285C">
                  <w:pPr>
                    <w:spacing w:line="360" w:lineRule="auto"/>
                    <w:jc w:val="center"/>
                    <w:rPr>
                      <w:rFonts w:ascii="Times New Roman" w:hAnsi="Times New Roman" w:eastAsia="宋体" w:cs="Times New Roman"/>
                      <w:szCs w:val="21"/>
                    </w:rPr>
                  </w:pPr>
                  <w:r>
                    <w:rPr>
                      <w:rFonts w:ascii="Times New Roman" w:hAnsi="Times New Roman" w:cs="Times New Roman"/>
                      <w:szCs w:val="21"/>
                    </w:rPr>
                    <w:t>0.6371</w:t>
                  </w:r>
                </w:p>
              </w:tc>
            </w:tr>
          </w:tbl>
          <w:p w14:paraId="4ECF507B">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由表7-1可见，在同样路面清洁情况下，车速越快，扬尘量越大；而在同样车速情况下，路面清洁度越差，则扬尘量越大。因此，限制车速及保持路面清洁是减少汽车扬尘的有效手段。</w:t>
            </w:r>
          </w:p>
          <w:p w14:paraId="024F51A2">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施工期扬尘的另一个主要原因是露天堆场和裸露场地的风力扬尘。由于施工的需要，一些建材需露天堆放，在气候干燥又有风的情况下，也会产生扬尘。扬尘量与距地面50m处风速、起尘风速、尘粒的含水率有关，因此，减少露天堆放和保证一定的含水率及减少裸露地面是减少风力起尘的有效手段。</w:t>
            </w:r>
          </w:p>
          <w:p w14:paraId="37FB6A40">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项目在建设施工过程中产生扬尘的作业有建材运输、露天堆放、装卸等过程，经分析项目施工量较小，产生施工期建筑扬尘产生量较小。项目严格按照</w:t>
            </w:r>
            <w:r>
              <w:rPr>
                <w:rFonts w:ascii="Times New Roman" w:hAnsi="Times New Roman" w:eastAsia="宋体" w:cs="Times New Roman"/>
                <w:sz w:val="24"/>
              </w:rPr>
              <w:t>乐山市打赢蓝天保卫战实施方案要求，</w:t>
            </w:r>
            <w:r>
              <w:rPr>
                <w:rFonts w:ascii="Times New Roman" w:hAnsi="Times New Roman" w:eastAsia="宋体" w:cs="Times New Roman"/>
                <w:bCs/>
                <w:sz w:val="24"/>
              </w:rPr>
              <w:t>建筑施工工地全部做到</w:t>
            </w:r>
            <w:r>
              <w:rPr>
                <w:rFonts w:ascii="Times New Roman" w:hAnsi="Times New Roman" w:eastAsia="宋体" w:cs="Times New Roman"/>
                <w:sz w:val="24"/>
                <w:szCs w:val="24"/>
              </w:rPr>
              <w:t>工地周边围挡、物料堆放覆盖、土方开挖湿法作业、路面硬化、出入车辆清洗、渣土车辆密闭运输“六个百分之百”等方面作出防治措施，故项目施工扬尘在采取环评提出的防护措施后，可以实现达标排放，加之项目所在区域环境空气质量现状良好，扩散条件好，则施工扬尘对区域的大气环境影响较小，且随施工期结束而消亡。</w:t>
            </w:r>
          </w:p>
          <w:p w14:paraId="4327EE25">
            <w:pPr>
              <w:spacing w:line="360" w:lineRule="auto"/>
              <w:ind w:firstLine="480"/>
              <w:rPr>
                <w:rFonts w:ascii="Times New Roman" w:hAnsi="Times New Roman" w:eastAsia="宋体" w:cs="Times New Roman"/>
                <w:sz w:val="24"/>
                <w:szCs w:val="24"/>
              </w:rPr>
            </w:pPr>
            <w:r>
              <w:rPr>
                <w:rFonts w:hint="eastAsia" w:ascii="宋体" w:hAnsi="宋体" w:eastAsia="宋体" w:cs="宋体"/>
                <w:sz w:val="24"/>
                <w:szCs w:val="24"/>
              </w:rPr>
              <w:t>②</w:t>
            </w:r>
            <w:r>
              <w:rPr>
                <w:rFonts w:ascii="Times New Roman" w:hAnsi="Times New Roman" w:eastAsia="宋体" w:cs="Times New Roman"/>
                <w:sz w:val="24"/>
                <w:szCs w:val="24"/>
              </w:rPr>
              <w:t>其他废气</w:t>
            </w:r>
          </w:p>
          <w:p w14:paraId="6DE7EA90">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本项目施工过程用到的施工机械，包括主要有电焊机及一些小型运输设备，它们以柴油为燃料，都可以产生一定量废气，包括CO、NO</w:t>
            </w:r>
            <w:r>
              <w:rPr>
                <w:rFonts w:ascii="Times New Roman" w:hAnsi="Times New Roman" w:eastAsia="宋体" w:cs="Times New Roman"/>
                <w:sz w:val="24"/>
                <w:szCs w:val="24"/>
                <w:vertAlign w:val="subscript"/>
              </w:rPr>
              <w:t>x</w:t>
            </w:r>
            <w:r>
              <w:rPr>
                <w:rFonts w:ascii="Times New Roman" w:hAnsi="Times New Roman" w:eastAsia="宋体" w:cs="Times New Roman"/>
                <w:sz w:val="24"/>
                <w:szCs w:val="24"/>
              </w:rPr>
              <w:t>、SO</w:t>
            </w:r>
            <w:r>
              <w:rPr>
                <w:rFonts w:ascii="Times New Roman" w:hAnsi="Times New Roman" w:eastAsia="宋体" w:cs="Times New Roman"/>
                <w:sz w:val="24"/>
                <w:szCs w:val="24"/>
                <w:vertAlign w:val="subscript"/>
              </w:rPr>
              <w:t>2</w:t>
            </w:r>
            <w:r>
              <w:rPr>
                <w:rFonts w:ascii="Times New Roman" w:hAnsi="Times New Roman" w:eastAsia="宋体" w:cs="Times New Roman"/>
                <w:sz w:val="24"/>
                <w:szCs w:val="24"/>
              </w:rPr>
              <w:t>等，施工期间各类施工机械流动性强，所产生的废气较为分散且为间断无组织排放，在易于扩散的气象条件下，施工机械尾气对周围环境影响甚微。</w:t>
            </w:r>
          </w:p>
          <w:p w14:paraId="751E9071">
            <w:pPr>
              <w:pStyle w:val="66"/>
              <w:adjustRightInd w:val="0"/>
              <w:snapToGrid w:val="0"/>
              <w:spacing w:before="0" w:beforeLines="0" w:line="360" w:lineRule="auto"/>
              <w:ind w:firstLine="480"/>
              <w:jc w:val="both"/>
              <w:rPr>
                <w:rFonts w:ascii="Times New Roman" w:hAnsi="Times New Roman" w:eastAsia="宋体" w:cs="Times New Roman"/>
                <w:sz w:val="24"/>
                <w:szCs w:val="24"/>
              </w:rPr>
            </w:pPr>
            <w:r>
              <w:rPr>
                <w:rFonts w:ascii="Times New Roman" w:hAnsi="Times New Roman" w:eastAsia="宋体" w:cs="Times New Roman"/>
                <w:sz w:val="24"/>
                <w:szCs w:val="24"/>
              </w:rPr>
              <w:t>综上，</w:t>
            </w:r>
            <w:r>
              <w:rPr>
                <w:rFonts w:ascii="Times New Roman" w:hAnsi="Times New Roman" w:eastAsia="宋体" w:cs="Times New Roman"/>
                <w:sz w:val="24"/>
                <w:szCs w:val="24"/>
                <w:u w:val="single"/>
              </w:rPr>
              <w:t>项目施工期将会对施工场地周围的环境空气质量造成一定影响，但这些影响随着施工期的结束也会结束。因此，项目施工期不会造成项目所在地环境空气质量明显恶化，不会对各敏感点造成不良影响。</w:t>
            </w:r>
          </w:p>
          <w:p w14:paraId="30984240">
            <w:pPr>
              <w:spacing w:line="360" w:lineRule="auto"/>
              <w:textAlignment w:val="center"/>
              <w:rPr>
                <w:rFonts w:ascii="Times New Roman" w:hAnsi="Times New Roman" w:eastAsia="宋体" w:cs="Times New Roman"/>
                <w:b/>
                <w:sz w:val="24"/>
                <w:szCs w:val="24"/>
              </w:rPr>
            </w:pPr>
            <w:r>
              <w:rPr>
                <w:rFonts w:ascii="Times New Roman" w:hAnsi="Times New Roman" w:eastAsia="宋体" w:cs="Times New Roman"/>
                <w:b/>
                <w:sz w:val="24"/>
                <w:szCs w:val="24"/>
              </w:rPr>
              <w:t>（二）施工废水对环境影响分析</w:t>
            </w:r>
          </w:p>
          <w:p w14:paraId="5C326D30">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项目施工期废污水主要为施工废水和生活污水。</w:t>
            </w:r>
          </w:p>
          <w:p w14:paraId="15939F69">
            <w:pPr>
              <w:spacing w:line="360" w:lineRule="auto"/>
              <w:ind w:firstLine="480"/>
              <w:rPr>
                <w:rFonts w:ascii="Times New Roman" w:hAnsi="Times New Roman" w:eastAsia="宋体" w:cs="Times New Roman"/>
                <w:sz w:val="24"/>
                <w:szCs w:val="24"/>
              </w:rPr>
            </w:pPr>
            <w:r>
              <w:rPr>
                <w:rFonts w:hint="eastAsia" w:ascii="宋体" w:hAnsi="宋体" w:eastAsia="宋体" w:cs="宋体"/>
                <w:sz w:val="24"/>
                <w:szCs w:val="24"/>
              </w:rPr>
              <w:t>①</w:t>
            </w:r>
            <w:r>
              <w:rPr>
                <w:rFonts w:ascii="Times New Roman" w:hAnsi="Times New Roman" w:eastAsia="宋体" w:cs="Times New Roman"/>
                <w:sz w:val="24"/>
                <w:szCs w:val="24"/>
              </w:rPr>
              <w:t>施工人员生活废水</w:t>
            </w:r>
          </w:p>
          <w:p w14:paraId="5B5731DF">
            <w:pPr>
              <w:spacing w:line="360" w:lineRule="auto"/>
              <w:ind w:firstLine="480"/>
              <w:rPr>
                <w:rFonts w:ascii="Times New Roman" w:hAnsi="Times New Roman" w:eastAsia="宋体" w:cs="Times New Roman"/>
                <w:sz w:val="24"/>
              </w:rPr>
            </w:pPr>
            <w:r>
              <w:rPr>
                <w:rFonts w:ascii="Times New Roman" w:hAnsi="Times New Roman" w:eastAsia="宋体" w:cs="Times New Roman"/>
                <w:sz w:val="24"/>
                <w:szCs w:val="24"/>
              </w:rPr>
              <w:t>项目施工人员产生生活废水约0.4m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/d，不在施工场所内食宿，</w:t>
            </w:r>
            <w:r>
              <w:rPr>
                <w:rFonts w:ascii="Times New Roman" w:hAnsi="Times New Roman" w:eastAsia="宋体" w:cs="Times New Roman"/>
                <w:sz w:val="24"/>
              </w:rPr>
              <w:t>产生的生活废水</w:t>
            </w:r>
            <w:r>
              <w:rPr>
                <w:rFonts w:hint="eastAsia" w:ascii="Times New Roman" w:hAnsi="Times New Roman" w:eastAsia="宋体" w:cs="Times New Roman"/>
                <w:sz w:val="24"/>
              </w:rPr>
              <w:t>利用</w:t>
            </w:r>
            <w:r>
              <w:rPr>
                <w:rFonts w:hint="eastAsia" w:ascii="Times New Roman" w:hAnsi="Times New Roman" w:eastAsia="宋体" w:cs="Times New Roman"/>
                <w:sz w:val="24"/>
                <w:szCs w:val="24"/>
              </w:rPr>
              <w:t>二级生化处理设施</w:t>
            </w:r>
            <w:r>
              <w:rPr>
                <w:rFonts w:ascii="Times New Roman" w:hAnsi="Times New Roman" w:eastAsia="宋体" w:cs="Times New Roman"/>
                <w:sz w:val="24"/>
              </w:rPr>
              <w:t>处理回用农肥。</w:t>
            </w:r>
          </w:p>
          <w:p w14:paraId="3B2110BA">
            <w:pPr>
              <w:spacing w:line="360" w:lineRule="auto"/>
              <w:ind w:firstLine="480"/>
              <w:rPr>
                <w:rFonts w:ascii="Times New Roman" w:hAnsi="Times New Roman" w:eastAsia="宋体" w:cs="Times New Roman"/>
                <w:sz w:val="24"/>
                <w:szCs w:val="24"/>
              </w:rPr>
            </w:pPr>
            <w:r>
              <w:rPr>
                <w:rFonts w:hint="eastAsia" w:ascii="宋体" w:hAnsi="宋体" w:eastAsia="宋体" w:cs="宋体"/>
                <w:sz w:val="24"/>
                <w:szCs w:val="24"/>
              </w:rPr>
              <w:t>②</w:t>
            </w:r>
            <w:r>
              <w:rPr>
                <w:rFonts w:ascii="Times New Roman" w:hAnsi="Times New Roman" w:eastAsia="宋体" w:cs="Times New Roman"/>
                <w:sz w:val="24"/>
                <w:szCs w:val="24"/>
              </w:rPr>
              <w:t>施工作业废水</w:t>
            </w:r>
          </w:p>
          <w:p w14:paraId="7E8B8BCE">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施工废水主要施工作业废水，施工作业废水包括机械设备运转的冷却水和运输车辆冲洗废水；此外，降雨时雨水冲刷浮土、建筑砂石等，产生的地表径流会夹带泥沙、油类等。</w:t>
            </w:r>
          </w:p>
          <w:p w14:paraId="4A7F4EAD">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施工单位应在施工场地</w:t>
            </w:r>
            <w:r>
              <w:rPr>
                <w:rFonts w:hint="eastAsia" w:ascii="Times New Roman" w:hAnsi="Times New Roman" w:eastAsia="宋体" w:cs="Times New Roman"/>
                <w:sz w:val="24"/>
                <w:szCs w:val="24"/>
              </w:rPr>
              <w:t>修建</w:t>
            </w:r>
            <w:r>
              <w:rPr>
                <w:rFonts w:ascii="Times New Roman" w:hAnsi="Times New Roman" w:eastAsia="宋体" w:cs="Times New Roman"/>
                <w:sz w:val="24"/>
              </w:rPr>
              <w:t>沉淀池收集处理后回用</w:t>
            </w:r>
            <w:r>
              <w:rPr>
                <w:rFonts w:ascii="Times New Roman" w:hAnsi="Times New Roman" w:eastAsia="宋体" w:cs="Times New Roman"/>
                <w:sz w:val="24"/>
                <w:szCs w:val="24"/>
              </w:rPr>
              <w:t>，使土路面保持湿润，减少扬尘。</w:t>
            </w:r>
          </w:p>
          <w:p w14:paraId="10FA31F8">
            <w:pPr>
              <w:spacing w:line="360" w:lineRule="auto"/>
              <w:ind w:firstLine="480"/>
              <w:rPr>
                <w:rFonts w:ascii="Times New Roman" w:hAnsi="Times New Roman" w:eastAsia="宋体" w:cs="Times New Roman"/>
                <w:sz w:val="24"/>
                <w:szCs w:val="24"/>
                <w:u w:val="single"/>
              </w:rPr>
            </w:pPr>
            <w:r>
              <w:rPr>
                <w:rFonts w:ascii="Times New Roman" w:hAnsi="Times New Roman" w:eastAsia="宋体" w:cs="Times New Roman"/>
                <w:sz w:val="24"/>
                <w:szCs w:val="24"/>
                <w:u w:val="single"/>
              </w:rPr>
              <w:t>通过采取上述措施后，项目施工期产生的废水可以得到妥善处理，不会对项目所在区域地表水环境产生影响。</w:t>
            </w:r>
          </w:p>
          <w:p w14:paraId="695BB8E1">
            <w:pPr>
              <w:spacing w:line="360" w:lineRule="auto"/>
              <w:textAlignment w:val="center"/>
              <w:rPr>
                <w:rFonts w:ascii="Times New Roman" w:hAnsi="Times New Roman" w:eastAsia="宋体" w:cs="Times New Roman"/>
                <w:b/>
                <w:sz w:val="24"/>
                <w:szCs w:val="24"/>
              </w:rPr>
            </w:pPr>
            <w:r>
              <w:rPr>
                <w:rFonts w:ascii="Times New Roman" w:hAnsi="Times New Roman" w:eastAsia="宋体" w:cs="Times New Roman"/>
                <w:b/>
                <w:sz w:val="24"/>
                <w:szCs w:val="24"/>
              </w:rPr>
              <w:t>（三）施工噪声的影响分析</w:t>
            </w:r>
          </w:p>
          <w:p w14:paraId="7ED07C02">
            <w:pPr>
              <w:spacing w:line="360" w:lineRule="auto"/>
              <w:ind w:firstLine="480"/>
              <w:rPr>
                <w:rFonts w:ascii="Times New Roman" w:hAnsi="Times New Roman" w:eastAsia="宋体" w:cs="Times New Roman"/>
                <w:sz w:val="24"/>
              </w:rPr>
            </w:pPr>
            <w:r>
              <w:rPr>
                <w:rFonts w:ascii="Times New Roman" w:hAnsi="Times New Roman" w:eastAsia="宋体" w:cs="Times New Roman"/>
                <w:sz w:val="24"/>
              </w:rPr>
              <w:t>项目施工期间，不同施工阶段使用不同的施工机械设备，因而产生不同施工阶段噪声。施工现场噪声源主要是施工机械的设备噪声、物料装卸碰撞噪声以及施工人员的人为噪声。噪声源声级按自由声场衰减方式传播，主要考虑距离衰减，忽略大气吸收、声屏障等因素，其衰减模式为：</w:t>
            </w:r>
          </w:p>
          <w:p w14:paraId="1F3244A0">
            <w:pPr>
              <w:pStyle w:val="106"/>
              <w:spacing w:line="360" w:lineRule="auto"/>
              <w:ind w:left="0" w:firstLine="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2257425" cy="457200"/>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257425" cy="457200"/>
                          </a:xfrm>
                          <a:prstGeom prst="rect">
                            <a:avLst/>
                          </a:prstGeom>
                          <a:noFill/>
                          <a:ln>
                            <a:noFill/>
                          </a:ln>
                        </pic:spPr>
                      </pic:pic>
                    </a:graphicData>
                  </a:graphic>
                </wp:inline>
              </w:drawing>
            </w:r>
          </w:p>
          <w:p w14:paraId="667F772E">
            <w:pPr>
              <w:pStyle w:val="106"/>
              <w:spacing w:line="360" w:lineRule="auto"/>
              <w:rPr>
                <w:rFonts w:ascii="Times New Roman" w:hAnsi="Times New Roman" w:eastAsia="宋体" w:cs="Times New Roman"/>
                <w:szCs w:val="24"/>
              </w:rPr>
            </w:pPr>
            <w:r>
              <w:rPr>
                <w:rFonts w:ascii="Times New Roman" w:hAnsi="Times New Roman" w:eastAsia="宋体" w:cs="Times New Roman"/>
                <w:szCs w:val="24"/>
              </w:rPr>
              <w:t>式中：LA（r）—距声源r米处的声级值，dB(A)；</w:t>
            </w:r>
          </w:p>
          <w:p w14:paraId="430BFD5F">
            <w:pPr>
              <w:pStyle w:val="106"/>
              <w:spacing w:line="360" w:lineRule="auto"/>
              <w:rPr>
                <w:rFonts w:ascii="Times New Roman" w:hAnsi="Times New Roman" w:eastAsia="宋体" w:cs="Times New Roman"/>
                <w:szCs w:val="24"/>
              </w:rPr>
            </w:pPr>
            <w:r>
              <w:rPr>
                <w:rFonts w:ascii="Times New Roman" w:hAnsi="Times New Roman" w:eastAsia="宋体" w:cs="Times New Roman"/>
                <w:szCs w:val="24"/>
              </w:rPr>
              <w:t>LA（r0）—距声源r0米处的声级值，dB(A)；</w:t>
            </w:r>
          </w:p>
          <w:p w14:paraId="3E04014D">
            <w:pPr>
              <w:pStyle w:val="106"/>
              <w:spacing w:line="360" w:lineRule="auto"/>
              <w:rPr>
                <w:rFonts w:ascii="Times New Roman" w:hAnsi="Times New Roman" w:eastAsia="宋体" w:cs="Times New Roman"/>
                <w:szCs w:val="24"/>
              </w:rPr>
            </w:pPr>
            <w:r>
              <w:rPr>
                <w:rFonts w:ascii="Times New Roman" w:hAnsi="Times New Roman" w:eastAsia="宋体" w:cs="Times New Roman"/>
                <w:szCs w:val="24"/>
              </w:rPr>
              <w:t>r—距声源的距离，m。</w:t>
            </w:r>
          </w:p>
          <w:p w14:paraId="3AB2AE01">
            <w:pPr>
              <w:pStyle w:val="106"/>
              <w:spacing w:line="360" w:lineRule="auto"/>
              <w:ind w:left="0" w:firstLine="480" w:firstLineChars="200"/>
              <w:jc w:val="both"/>
              <w:rPr>
                <w:rFonts w:ascii="Times New Roman" w:hAnsi="Times New Roman" w:eastAsia="宋体" w:cs="Times New Roman"/>
                <w:szCs w:val="24"/>
              </w:rPr>
            </w:pPr>
            <w:r>
              <w:rPr>
                <w:rFonts w:ascii="Times New Roman" w:hAnsi="Times New Roman" w:eastAsia="宋体" w:cs="Times New Roman"/>
                <w:szCs w:val="24"/>
              </w:rPr>
              <w:t>由上式预测单个噪声源在评价点的贡献值，再将不同声源在该点的贡献值用对数法叠加，得出多个噪声源对该点噪声的贡献值，叠加模式为：</w:t>
            </w:r>
          </w:p>
          <w:p w14:paraId="73CA3DB1">
            <w:pPr>
              <w:pStyle w:val="106"/>
              <w:spacing w:line="360" w:lineRule="auto"/>
              <w:ind w:left="0" w:firstLine="0"/>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1571625" cy="47625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571625" cy="476250"/>
                          </a:xfrm>
                          <a:prstGeom prst="rect">
                            <a:avLst/>
                          </a:prstGeom>
                          <a:noFill/>
                          <a:ln>
                            <a:noFill/>
                          </a:ln>
                        </pic:spPr>
                      </pic:pic>
                    </a:graphicData>
                  </a:graphic>
                </wp:inline>
              </w:drawing>
            </w:r>
          </w:p>
          <w:p w14:paraId="30ADADA2">
            <w:pPr>
              <w:pStyle w:val="106"/>
              <w:spacing w:line="360" w:lineRule="auto"/>
              <w:rPr>
                <w:rFonts w:ascii="Times New Roman" w:hAnsi="Times New Roman" w:eastAsia="宋体" w:cs="Times New Roman"/>
                <w:szCs w:val="24"/>
              </w:rPr>
            </w:pPr>
            <w:r>
              <w:rPr>
                <w:rFonts w:ascii="Times New Roman" w:hAnsi="Times New Roman" w:eastAsia="宋体" w:cs="Times New Roman"/>
                <w:szCs w:val="24"/>
              </w:rPr>
              <w:t>式中：L——叠加后总声压级[dB(A)]；</w:t>
            </w:r>
          </w:p>
          <w:p w14:paraId="11EADCEC">
            <w:pPr>
              <w:pStyle w:val="106"/>
              <w:spacing w:line="360" w:lineRule="auto"/>
              <w:rPr>
                <w:rFonts w:ascii="Times New Roman" w:hAnsi="Times New Roman" w:eastAsia="宋体" w:cs="Times New Roman"/>
                <w:szCs w:val="24"/>
              </w:rPr>
            </w:pPr>
            <w:r>
              <w:rPr>
                <w:rFonts w:ascii="Times New Roman" w:hAnsi="Times New Roman" w:eastAsia="宋体" w:cs="Times New Roman"/>
                <w:szCs w:val="24"/>
              </w:rPr>
              <w:t>Li——各声源的噪声值[dB(A)]；</w:t>
            </w:r>
          </w:p>
          <w:p w14:paraId="7A29FEA1">
            <w:pPr>
              <w:pStyle w:val="106"/>
              <w:spacing w:line="360" w:lineRule="auto"/>
              <w:rPr>
                <w:rFonts w:ascii="Times New Roman" w:hAnsi="Times New Roman" w:eastAsia="宋体" w:cs="Times New Roman"/>
                <w:szCs w:val="24"/>
              </w:rPr>
            </w:pPr>
            <w:r>
              <w:rPr>
                <w:rFonts w:ascii="Times New Roman" w:hAnsi="Times New Roman" w:eastAsia="宋体" w:cs="Times New Roman"/>
                <w:szCs w:val="24"/>
              </w:rPr>
              <w:t>n——声源个数。</w:t>
            </w:r>
          </w:p>
          <w:p w14:paraId="381A6FD5">
            <w:pPr>
              <w:autoSpaceDE w:val="0"/>
              <w:autoSpaceDN w:val="0"/>
              <w:adjustRightInd w:val="0"/>
              <w:jc w:val="center"/>
              <w:rPr>
                <w:rFonts w:ascii="Times New Roman" w:hAnsi="Times New Roman" w:eastAsia="宋体" w:cs="Times New Roman"/>
                <w:kern w:val="0"/>
                <w:sz w:val="24"/>
                <w:szCs w:val="24"/>
              </w:rPr>
            </w:pPr>
            <w:r>
              <w:rPr>
                <w:rFonts w:ascii="Times New Roman" w:hAnsi="Times New Roman" w:eastAsia="宋体" w:cs="Times New Roman"/>
                <w:kern w:val="0"/>
                <w:sz w:val="24"/>
                <w:szCs w:val="24"/>
              </w:rPr>
              <w:t>表7-2  常用单台施工机械噪声随距离衰减情况表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801"/>
              <w:gridCol w:w="914"/>
              <w:gridCol w:w="914"/>
              <w:gridCol w:w="914"/>
              <w:gridCol w:w="930"/>
              <w:gridCol w:w="939"/>
              <w:gridCol w:w="931"/>
              <w:gridCol w:w="939"/>
            </w:tblGrid>
            <w:tr w14:paraId="7F7327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805" w:type="dxa"/>
                  <w:vMerge w:val="restart"/>
                  <w:shd w:val="clear" w:color="auto" w:fill="auto"/>
                  <w:vAlign w:val="center"/>
                </w:tcPr>
                <w:p w14:paraId="69411645">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噪声源强dB（A）</w:t>
                  </w:r>
                </w:p>
              </w:tc>
              <w:tc>
                <w:tcPr>
                  <w:tcW w:w="6491" w:type="dxa"/>
                  <w:gridSpan w:val="7"/>
                  <w:shd w:val="clear" w:color="auto" w:fill="auto"/>
                  <w:vAlign w:val="center"/>
                </w:tcPr>
                <w:p w14:paraId="01003162">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预测距离（m）</w:t>
                  </w:r>
                </w:p>
              </w:tc>
            </w:tr>
            <w:tr w14:paraId="7FB1ED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805" w:type="dxa"/>
                  <w:vMerge w:val="continue"/>
                  <w:shd w:val="clear" w:color="auto" w:fill="auto"/>
                  <w:vAlign w:val="center"/>
                </w:tcPr>
                <w:p w14:paraId="7FC64F6B">
                  <w:pPr>
                    <w:pStyle w:val="106"/>
                    <w:spacing w:line="240" w:lineRule="auto"/>
                    <w:ind w:left="0" w:firstLine="0"/>
                    <w:jc w:val="center"/>
                    <w:rPr>
                      <w:rFonts w:ascii="Times New Roman" w:hAnsi="Times New Roman" w:eastAsia="宋体" w:cs="Times New Roman"/>
                      <w:sz w:val="21"/>
                      <w:szCs w:val="21"/>
                    </w:rPr>
                  </w:pPr>
                </w:p>
              </w:tc>
              <w:tc>
                <w:tcPr>
                  <w:tcW w:w="916" w:type="dxa"/>
                  <w:shd w:val="clear" w:color="auto" w:fill="auto"/>
                  <w:vAlign w:val="center"/>
                </w:tcPr>
                <w:p w14:paraId="75E1C85C">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10</w:t>
                  </w:r>
                </w:p>
              </w:tc>
              <w:tc>
                <w:tcPr>
                  <w:tcW w:w="916" w:type="dxa"/>
                  <w:shd w:val="clear" w:color="auto" w:fill="auto"/>
                  <w:vAlign w:val="center"/>
                </w:tcPr>
                <w:p w14:paraId="71D06170">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20</w:t>
                  </w:r>
                </w:p>
              </w:tc>
              <w:tc>
                <w:tcPr>
                  <w:tcW w:w="916" w:type="dxa"/>
                  <w:shd w:val="clear" w:color="auto" w:fill="auto"/>
                  <w:vAlign w:val="center"/>
                </w:tcPr>
                <w:p w14:paraId="6236F4CE">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50</w:t>
                  </w:r>
                </w:p>
              </w:tc>
              <w:tc>
                <w:tcPr>
                  <w:tcW w:w="931" w:type="dxa"/>
                  <w:shd w:val="clear" w:color="auto" w:fill="auto"/>
                  <w:vAlign w:val="center"/>
                </w:tcPr>
                <w:p w14:paraId="715A6B0F">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100</w:t>
                  </w:r>
                </w:p>
              </w:tc>
              <w:tc>
                <w:tcPr>
                  <w:tcW w:w="940" w:type="dxa"/>
                  <w:shd w:val="clear" w:color="auto" w:fill="auto"/>
                  <w:vAlign w:val="center"/>
                </w:tcPr>
                <w:p w14:paraId="34CA11B1">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150</w:t>
                  </w:r>
                </w:p>
              </w:tc>
              <w:tc>
                <w:tcPr>
                  <w:tcW w:w="932" w:type="dxa"/>
                  <w:shd w:val="clear" w:color="auto" w:fill="auto"/>
                  <w:vAlign w:val="center"/>
                </w:tcPr>
                <w:p w14:paraId="471574DD">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200</w:t>
                  </w:r>
                </w:p>
              </w:tc>
              <w:tc>
                <w:tcPr>
                  <w:tcW w:w="940" w:type="dxa"/>
                  <w:shd w:val="clear" w:color="auto" w:fill="auto"/>
                  <w:vAlign w:val="center"/>
                </w:tcPr>
                <w:p w14:paraId="1D3119A7">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300</w:t>
                  </w:r>
                </w:p>
              </w:tc>
            </w:tr>
            <w:tr w14:paraId="7F7C92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805" w:type="dxa"/>
                  <w:shd w:val="clear" w:color="auto" w:fill="auto"/>
                  <w:vAlign w:val="center"/>
                </w:tcPr>
                <w:p w14:paraId="67F39B9B">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105</w:t>
                  </w:r>
                </w:p>
              </w:tc>
              <w:tc>
                <w:tcPr>
                  <w:tcW w:w="916" w:type="dxa"/>
                  <w:shd w:val="clear" w:color="auto" w:fill="auto"/>
                  <w:vAlign w:val="center"/>
                </w:tcPr>
                <w:p w14:paraId="07A5718A">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85</w:t>
                  </w:r>
                </w:p>
              </w:tc>
              <w:tc>
                <w:tcPr>
                  <w:tcW w:w="916" w:type="dxa"/>
                  <w:shd w:val="clear" w:color="auto" w:fill="auto"/>
                  <w:vAlign w:val="center"/>
                </w:tcPr>
                <w:p w14:paraId="710161A5">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79</w:t>
                  </w:r>
                </w:p>
              </w:tc>
              <w:tc>
                <w:tcPr>
                  <w:tcW w:w="916" w:type="dxa"/>
                  <w:shd w:val="clear" w:color="auto" w:fill="auto"/>
                  <w:vAlign w:val="center"/>
                </w:tcPr>
                <w:p w14:paraId="5D0BDEB7">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71</w:t>
                  </w:r>
                </w:p>
              </w:tc>
              <w:tc>
                <w:tcPr>
                  <w:tcW w:w="931" w:type="dxa"/>
                  <w:shd w:val="clear" w:color="auto" w:fill="auto"/>
                  <w:vAlign w:val="center"/>
                </w:tcPr>
                <w:p w14:paraId="2B6C025A">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65</w:t>
                  </w:r>
                </w:p>
              </w:tc>
              <w:tc>
                <w:tcPr>
                  <w:tcW w:w="940" w:type="dxa"/>
                  <w:shd w:val="clear" w:color="auto" w:fill="auto"/>
                  <w:vAlign w:val="center"/>
                </w:tcPr>
                <w:p w14:paraId="69A2F170">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61.5</w:t>
                  </w:r>
                </w:p>
              </w:tc>
              <w:tc>
                <w:tcPr>
                  <w:tcW w:w="932" w:type="dxa"/>
                  <w:shd w:val="clear" w:color="auto" w:fill="auto"/>
                  <w:vAlign w:val="center"/>
                </w:tcPr>
                <w:p w14:paraId="2B153F1D">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59</w:t>
                  </w:r>
                </w:p>
              </w:tc>
              <w:tc>
                <w:tcPr>
                  <w:tcW w:w="940" w:type="dxa"/>
                  <w:shd w:val="clear" w:color="auto" w:fill="auto"/>
                  <w:vAlign w:val="center"/>
                </w:tcPr>
                <w:p w14:paraId="692304D0">
                  <w:pPr>
                    <w:pStyle w:val="106"/>
                    <w:spacing w:line="240" w:lineRule="auto"/>
                    <w:ind w:left="0" w:firstLine="0"/>
                    <w:jc w:val="center"/>
                    <w:rPr>
                      <w:rFonts w:ascii="Times New Roman" w:hAnsi="Times New Roman" w:eastAsia="宋体" w:cs="Times New Roman"/>
                      <w:sz w:val="21"/>
                      <w:szCs w:val="21"/>
                    </w:rPr>
                  </w:pPr>
                  <w:r>
                    <w:rPr>
                      <w:rFonts w:ascii="Times New Roman" w:hAnsi="Times New Roman" w:eastAsia="宋体" w:cs="Times New Roman"/>
                      <w:sz w:val="21"/>
                      <w:szCs w:val="21"/>
                    </w:rPr>
                    <w:t>55.5</w:t>
                  </w:r>
                </w:p>
              </w:tc>
            </w:tr>
          </w:tbl>
          <w:p w14:paraId="68FECB69">
            <w:pPr>
              <w:spacing w:line="360" w:lineRule="auto"/>
              <w:ind w:firstLine="480"/>
              <w:rPr>
                <w:rFonts w:ascii="Times New Roman" w:hAnsi="Times New Roman" w:eastAsia="宋体" w:cs="Times New Roman"/>
                <w:sz w:val="24"/>
              </w:rPr>
            </w:pPr>
            <w:r>
              <w:rPr>
                <w:rFonts w:ascii="Times New Roman" w:hAnsi="Times New Roman" w:eastAsia="宋体" w:cs="Times New Roman"/>
                <w:sz w:val="24"/>
              </w:rPr>
              <w:t>从上表可以看出，施工机械噪声由于声级较高，在空旷地带声传播距离较远，昼间60m外噪声值才能达标，夜间至315m外噪声值才能达标。届时施工会对其产生较大影响，因此环评要求：</w:t>
            </w:r>
            <w:r>
              <w:rPr>
                <w:rFonts w:hint="eastAsia" w:ascii="宋体" w:hAnsi="宋体" w:eastAsia="宋体" w:cs="宋体"/>
                <w:sz w:val="24"/>
              </w:rPr>
              <w:t>①</w:t>
            </w:r>
            <w:r>
              <w:rPr>
                <w:rFonts w:ascii="Times New Roman" w:hAnsi="Times New Roman" w:eastAsia="宋体" w:cs="Times New Roman"/>
                <w:sz w:val="24"/>
              </w:rPr>
              <w:t>项目仅在白天施工，并尽量使各高噪声设备不同时使用。</w:t>
            </w:r>
          </w:p>
          <w:p w14:paraId="11CE69AB">
            <w:pPr>
              <w:spacing w:line="360" w:lineRule="auto"/>
              <w:ind w:firstLine="480"/>
              <w:rPr>
                <w:rFonts w:ascii="Times New Roman" w:hAnsi="Times New Roman" w:eastAsia="宋体" w:cs="Times New Roman"/>
                <w:sz w:val="24"/>
              </w:rPr>
            </w:pPr>
            <w:r>
              <w:rPr>
                <w:rFonts w:ascii="Times New Roman" w:hAnsi="Times New Roman" w:eastAsia="宋体" w:cs="Times New Roman"/>
                <w:sz w:val="24"/>
                <w:u w:val="single"/>
              </w:rPr>
              <w:t>项目施工期间声级较强的噪声为暂时的短期行为，随施工结束，项目施工噪声影响就消失，不会对区域声环境产生影响。</w:t>
            </w:r>
          </w:p>
          <w:p w14:paraId="36B87587">
            <w:pPr>
              <w:spacing w:line="360" w:lineRule="auto"/>
              <w:rPr>
                <w:rFonts w:ascii="Times New Roman" w:hAnsi="Times New Roman" w:eastAsia="宋体" w:cs="Times New Roman"/>
                <w:sz w:val="24"/>
                <w:szCs w:val="24"/>
              </w:rPr>
            </w:pPr>
            <w:r>
              <w:rPr>
                <w:rFonts w:ascii="Times New Roman" w:hAnsi="Times New Roman" w:eastAsia="宋体" w:cs="Times New Roman"/>
                <w:b/>
                <w:sz w:val="24"/>
                <w:szCs w:val="24"/>
              </w:rPr>
              <w:t>（四）施工期固废影响分析</w:t>
            </w:r>
          </w:p>
          <w:p w14:paraId="5D817C8E">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项目施工期固体废弃物主要为施工人员的生活垃圾产生的建筑废渣以及其他建筑垃圾等。</w:t>
            </w:r>
            <w:r>
              <w:rPr>
                <w:rFonts w:ascii="Times New Roman" w:hAnsi="Times New Roman" w:eastAsia="宋体" w:cs="Times New Roman"/>
                <w:sz w:val="24"/>
              </w:rPr>
              <w:t>项目地块地面平整，无需挖填方，无弃方产生；</w:t>
            </w:r>
            <w:r>
              <w:rPr>
                <w:rFonts w:ascii="Times New Roman" w:hAnsi="Times New Roman" w:eastAsia="宋体" w:cs="Times New Roman"/>
                <w:sz w:val="24"/>
                <w:szCs w:val="24"/>
              </w:rPr>
              <w:t>施工期产生的固体废弃物主要生活垃圾、少量建筑废物等固体废弃物。生活垃圾主要</w:t>
            </w:r>
            <w:r>
              <w:rPr>
                <w:rFonts w:hint="eastAsia" w:ascii="Times New Roman" w:hAnsi="Times New Roman" w:eastAsia="宋体" w:cs="Times New Roman"/>
                <w:sz w:val="24"/>
                <w:szCs w:val="24"/>
                <w:lang w:eastAsia="zh-CN"/>
              </w:rPr>
              <w:t>来自</w:t>
            </w:r>
            <w:r>
              <w:rPr>
                <w:rFonts w:ascii="Times New Roman" w:hAnsi="Times New Roman" w:eastAsia="宋体" w:cs="Times New Roman"/>
                <w:sz w:val="24"/>
                <w:szCs w:val="24"/>
              </w:rPr>
              <w:t>施工人员的生活，本项目施工固废</w:t>
            </w:r>
            <w:r>
              <w:rPr>
                <w:rFonts w:ascii="Times New Roman" w:hAnsi="Times New Roman" w:eastAsia="宋体" w:cs="Times New Roman"/>
                <w:sz w:val="24"/>
              </w:rPr>
              <w:t>依托现有收集设施收集后</w:t>
            </w:r>
            <w:r>
              <w:rPr>
                <w:rFonts w:ascii="Times New Roman" w:hAnsi="Times New Roman" w:eastAsia="宋体" w:cs="Times New Roman"/>
                <w:sz w:val="24"/>
                <w:szCs w:val="24"/>
              </w:rPr>
              <w:t>由环卫部门清运。</w:t>
            </w:r>
          </w:p>
          <w:p w14:paraId="4B943C7C">
            <w:pPr>
              <w:spacing w:line="360" w:lineRule="auto"/>
              <w:ind w:firstLine="480"/>
              <w:rPr>
                <w:rFonts w:ascii="Times New Roman" w:hAnsi="Times New Roman" w:eastAsia="宋体" w:cs="Times New Roman"/>
                <w:sz w:val="24"/>
                <w:szCs w:val="24"/>
                <w:u w:val="single"/>
              </w:rPr>
            </w:pPr>
            <w:r>
              <w:rPr>
                <w:rFonts w:ascii="Times New Roman" w:hAnsi="Times New Roman" w:eastAsia="宋体" w:cs="Times New Roman"/>
                <w:sz w:val="24"/>
                <w:szCs w:val="24"/>
                <w:u w:val="single"/>
              </w:rPr>
              <w:t>采取以上措施后，固体废物对周围环境影响较小，不会造成二次污染。</w:t>
            </w:r>
          </w:p>
          <w:p w14:paraId="10E14647">
            <w:pPr>
              <w:spacing w:line="360" w:lineRule="auto"/>
              <w:rPr>
                <w:rFonts w:ascii="Times New Roman" w:hAnsi="Times New Roman" w:eastAsia="宋体" w:cs="Times New Roman"/>
                <w:sz w:val="24"/>
                <w:szCs w:val="24"/>
              </w:rPr>
            </w:pPr>
            <w:r>
              <w:rPr>
                <w:rFonts w:ascii="Times New Roman" w:hAnsi="Times New Roman" w:eastAsia="宋体" w:cs="Times New Roman"/>
                <w:b/>
                <w:sz w:val="24"/>
                <w:szCs w:val="24"/>
              </w:rPr>
              <w:t>（五）施工期水土流失环境影响分析</w:t>
            </w:r>
          </w:p>
          <w:p w14:paraId="2D51D47B">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项目施工不涉及大开挖，水土流失较小，项目优化施工工序，待基座做好及时夯实回填，可以有效防止水土流失。</w:t>
            </w:r>
          </w:p>
          <w:p w14:paraId="37513F7C">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施工期比较短暂，对周围生态环境的影响相对轻微，且该影响是可逆的。随着施工期结束，建设场地被水泥、建筑物及植被覆盖，有利于消除水土流失的不利影响。</w:t>
            </w:r>
          </w:p>
          <w:p w14:paraId="42FD58DB">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因此，</w:t>
            </w:r>
            <w:r>
              <w:rPr>
                <w:rFonts w:ascii="Times New Roman" w:hAnsi="Times New Roman" w:eastAsia="宋体" w:cs="Times New Roman"/>
                <w:sz w:val="24"/>
                <w:szCs w:val="24"/>
                <w:u w:val="single"/>
              </w:rPr>
              <w:t>施工期对项目区的生态影响是可以接受的。</w:t>
            </w:r>
          </w:p>
          <w:p w14:paraId="0C46971D">
            <w:pPr>
              <w:spacing w:line="360" w:lineRule="auto"/>
              <w:ind w:firstLine="480"/>
              <w:rPr>
                <w:rFonts w:ascii="Times New Roman" w:hAnsi="Times New Roman" w:eastAsia="宋体" w:cs="Times New Roman"/>
                <w:sz w:val="24"/>
                <w:szCs w:val="24"/>
                <w:u w:val="single"/>
              </w:rPr>
            </w:pPr>
            <w:r>
              <w:rPr>
                <w:rFonts w:ascii="Times New Roman" w:hAnsi="Times New Roman" w:eastAsia="宋体" w:cs="Times New Roman"/>
                <w:b/>
                <w:sz w:val="24"/>
                <w:szCs w:val="24"/>
              </w:rPr>
              <w:t>综上所述</w:t>
            </w:r>
            <w:r>
              <w:rPr>
                <w:rFonts w:ascii="Times New Roman" w:hAnsi="Times New Roman" w:eastAsia="宋体" w:cs="Times New Roman"/>
                <w:sz w:val="24"/>
                <w:szCs w:val="24"/>
              </w:rPr>
              <w:t>，</w:t>
            </w:r>
            <w:r>
              <w:rPr>
                <w:rFonts w:ascii="Times New Roman" w:hAnsi="Times New Roman" w:eastAsia="宋体" w:cs="Times New Roman"/>
                <w:sz w:val="24"/>
                <w:szCs w:val="24"/>
                <w:u w:val="single"/>
              </w:rPr>
              <w:t>施工期对环境产生的上述影响，均为可逆的、短期的。建设单位和施工单位在施工过程中只要切实强化扬尘、噪声、固体废物的管理和控制措施的落实，施工期环境影响将得到有效控制。</w:t>
            </w:r>
          </w:p>
          <w:p w14:paraId="0B1FE6F1">
            <w:pPr>
              <w:adjustRightInd w:val="0"/>
              <w:snapToGrid w:val="0"/>
              <w:spacing w:line="480" w:lineRule="exact"/>
              <w:ind w:firstLine="562" w:firstLineChars="200"/>
              <w:rPr>
                <w:rFonts w:ascii="Times New Roman" w:hAnsi="Times New Roman" w:eastAsia="宋体" w:cs="Times New Roman"/>
                <w:b/>
                <w:sz w:val="28"/>
                <w:szCs w:val="28"/>
              </w:rPr>
            </w:pPr>
            <w:r>
              <w:rPr>
                <w:rFonts w:ascii="Times New Roman" w:hAnsi="Times New Roman" w:eastAsia="宋体" w:cs="Times New Roman"/>
                <w:b/>
                <w:sz w:val="28"/>
                <w:szCs w:val="28"/>
              </w:rPr>
              <w:t>二、营运期环境影响分析</w:t>
            </w:r>
          </w:p>
          <w:p w14:paraId="61EB4FE4">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本项目投入运行后主要环境问题表现为废水、废气、噪声、固废等影响，详细影响分析见下：</w:t>
            </w:r>
          </w:p>
          <w:p w14:paraId="1B64BB57">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1、营运期废气环境影响分析</w:t>
            </w:r>
          </w:p>
          <w:p w14:paraId="0273C676">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本项目营运期间废气主要为粉尘。</w:t>
            </w:r>
          </w:p>
          <w:p w14:paraId="2E9145C8">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依据《环境影响评价技术导则-大气环境》(HJ2.2-2018</w:t>
            </w:r>
            <w:r>
              <w:rPr>
                <w:rFonts w:hint="eastAsia" w:ascii="Times New Roman" w:hAnsi="Times New Roman" w:eastAsia="宋体" w:cs="Times New Roman"/>
                <w:sz w:val="24"/>
                <w:lang w:eastAsia="zh-CN"/>
              </w:rPr>
              <w:t>）</w:t>
            </w:r>
            <w:r>
              <w:rPr>
                <w:rFonts w:ascii="Times New Roman" w:hAnsi="Times New Roman" w:eastAsia="宋体" w:cs="Times New Roman"/>
                <w:sz w:val="24"/>
              </w:rPr>
              <w:t>中5.3节工作等级的确定方法，结合项目工程分析结果，选择正常排放的主要污染物及排放参数，采用附录A推荐模型中的AERSCREEN模式计算项目污染源的最大环境影响，然后按评价工作分级判据进行分级。</w:t>
            </w:r>
          </w:p>
          <w:p w14:paraId="162EC3E1">
            <w:pPr>
              <w:spacing w:line="480" w:lineRule="exact"/>
              <w:ind w:firstLine="422" w:firstLineChars="176"/>
              <w:jc w:val="left"/>
              <w:rPr>
                <w:rFonts w:ascii="Times New Roman" w:hAnsi="Times New Roman" w:eastAsia="宋体" w:cs="Times New Roman"/>
                <w:sz w:val="24"/>
                <w:szCs w:val="24"/>
              </w:rPr>
            </w:pPr>
            <w:r>
              <w:rPr>
                <w:rFonts w:ascii="Times New Roman" w:hAnsi="Times New Roman" w:eastAsia="宋体" w:cs="Times New Roman"/>
                <w:sz w:val="24"/>
                <w:szCs w:val="24"/>
              </w:rPr>
              <w:t>（1）P</w:t>
            </w:r>
            <w:r>
              <w:rPr>
                <w:rFonts w:ascii="Times New Roman" w:hAnsi="Times New Roman" w:eastAsia="宋体" w:cs="Times New Roman"/>
                <w:sz w:val="24"/>
                <w:szCs w:val="24"/>
                <w:vertAlign w:val="subscript"/>
              </w:rPr>
              <w:t>max</w:t>
            </w:r>
            <w:r>
              <w:rPr>
                <w:rFonts w:ascii="Times New Roman" w:hAnsi="Times New Roman" w:eastAsia="宋体" w:cs="Times New Roman"/>
                <w:sz w:val="24"/>
                <w:szCs w:val="24"/>
              </w:rPr>
              <w:t>及D</w:t>
            </w:r>
            <w:r>
              <w:rPr>
                <w:rFonts w:ascii="Times New Roman" w:hAnsi="Times New Roman" w:eastAsia="宋体" w:cs="Times New Roman"/>
                <w:sz w:val="24"/>
                <w:szCs w:val="24"/>
                <w:vertAlign w:val="subscript"/>
              </w:rPr>
              <w:t>10%</w:t>
            </w:r>
            <w:r>
              <w:rPr>
                <w:rFonts w:ascii="Times New Roman" w:hAnsi="Times New Roman" w:eastAsia="宋体" w:cs="Times New Roman"/>
                <w:sz w:val="24"/>
                <w:szCs w:val="24"/>
              </w:rPr>
              <w:t>的确定</w:t>
            </w:r>
          </w:p>
          <w:p w14:paraId="1B1D5E64">
            <w:pPr>
              <w:spacing w:line="480" w:lineRule="exact"/>
              <w:ind w:firstLine="422" w:firstLineChars="176"/>
              <w:jc w:val="left"/>
              <w:rPr>
                <w:rFonts w:ascii="Times New Roman" w:hAnsi="Times New Roman" w:eastAsia="宋体" w:cs="Times New Roman"/>
                <w:sz w:val="24"/>
                <w:szCs w:val="24"/>
              </w:rPr>
            </w:pPr>
            <w:r>
              <w:rPr>
                <w:rFonts w:ascii="Times New Roman" w:hAnsi="Times New Roman" w:eastAsia="宋体" w:cs="Times New Roman"/>
                <w:sz w:val="24"/>
                <w:szCs w:val="24"/>
              </w:rPr>
              <w:t>依据《环境影响评价技术导则大气环境》(HJ2.2-2018</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rPr>
              <w:t>中最大地面浓度占标率P</w:t>
            </w:r>
            <w:r>
              <w:rPr>
                <w:rFonts w:ascii="Times New Roman" w:hAnsi="Times New Roman" w:eastAsia="宋体" w:cs="Times New Roman"/>
                <w:i/>
                <w:sz w:val="24"/>
                <w:szCs w:val="24"/>
              </w:rPr>
              <w:t>i</w:t>
            </w:r>
            <w:r>
              <w:rPr>
                <w:rFonts w:ascii="Times New Roman" w:hAnsi="Times New Roman" w:eastAsia="宋体" w:cs="Times New Roman"/>
                <w:sz w:val="24"/>
                <w:szCs w:val="24"/>
              </w:rPr>
              <w:t>定义如下：</w:t>
            </w:r>
          </w:p>
          <w:p w14:paraId="50BAD906">
            <w:pPr>
              <w:spacing w:line="276" w:lineRule="auto"/>
              <w:ind w:firstLine="422" w:firstLineChars="176"/>
              <w:jc w:val="center"/>
              <w:rPr>
                <w:rFonts w:ascii="Times New Roman" w:hAnsi="Times New Roman" w:eastAsia="宋体" w:cs="Times New Roman"/>
                <w:sz w:val="24"/>
                <w:szCs w:val="24"/>
              </w:rPr>
            </w:pPr>
            <m:oMathPara>
              <m:oMath>
                <m:sSub>
                  <m:sSubPr>
                    <m:ctrlPr>
                      <w:rPr>
                        <w:rFonts w:ascii="Cambria Math" w:hAnsi="Cambria Math"/>
                        <w:sz w:val="24"/>
                        <w:szCs w:val="24"/>
                      </w:rPr>
                    </m:ctrlPr>
                  </m:sSubPr>
                  <m:e>
                    <m:r>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r>
                  <m:rPr>
                    <m:sty m:val="p"/>
                  </m:rPr>
                  <w:rPr>
                    <w:rFonts w:ascii="Cambria Math" w:hAnsi="Cambria Math"/>
                    <w:sz w:val="24"/>
                    <w:szCs w:val="24"/>
                  </w:rPr>
                  <m:t>=</m:t>
                </m:r>
                <m:f>
                  <m:fPr>
                    <m:ctrlPr>
                      <w:rPr>
                        <w:rFonts w:ascii="Cambria Math" w:hAnsi="Cambria Math"/>
                        <w:sz w:val="24"/>
                        <w:szCs w:val="24"/>
                      </w:rPr>
                    </m:ctrlPr>
                  </m:fPr>
                  <m:num>
                    <m:sSub>
                      <m:sSubPr>
                        <m:ctrlPr>
                          <w:rPr>
                            <w:rFonts w:ascii="Cambria Math" w:hAnsi="Cambria Math"/>
                            <w:i/>
                            <w:sz w:val="24"/>
                            <w:szCs w:val="24"/>
                          </w:rPr>
                        </m:ctrlPr>
                      </m:sSubPr>
                      <m:e>
                        <m:r>
                          <m:rPr/>
                          <w:rPr>
                            <w:rFonts w:ascii="Cambria Math" w:hAnsi="Cambria Math"/>
                            <w:sz w:val="24"/>
                            <w:szCs w:val="24"/>
                          </w:rPr>
                          <m:t>C</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ctrlPr>
                      <w:rPr>
                        <w:rFonts w:ascii="Cambria Math" w:hAnsi="Cambria Math"/>
                        <w:sz w:val="24"/>
                        <w:szCs w:val="24"/>
                      </w:rPr>
                    </m:ctrlPr>
                  </m:num>
                  <m:den>
                    <m:sSub>
                      <m:sSubPr>
                        <m:ctrlPr>
                          <w:rPr>
                            <w:rFonts w:ascii="Cambria Math" w:hAnsi="Cambria Math"/>
                            <w:i/>
                            <w:sz w:val="24"/>
                            <w:szCs w:val="24"/>
                          </w:rPr>
                        </m:ctrlPr>
                      </m:sSubPr>
                      <m:e>
                        <m:r>
                          <m:rPr/>
                          <w:rPr>
                            <w:rFonts w:ascii="Cambria Math" w:hAnsi="Cambria Math"/>
                            <w:sz w:val="24"/>
                            <w:szCs w:val="24"/>
                          </w:rPr>
                          <m:t>C</m:t>
                        </m:r>
                        <m:ctrlPr>
                          <w:rPr>
                            <w:rFonts w:ascii="Cambria Math" w:hAnsi="Cambria Math"/>
                            <w:i/>
                            <w:sz w:val="24"/>
                            <w:szCs w:val="24"/>
                          </w:rPr>
                        </m:ctrlPr>
                      </m:e>
                      <m:sub>
                        <m:r>
                          <m:rPr/>
                          <w:rPr>
                            <w:rFonts w:ascii="Cambria Math" w:hAnsi="Cambria Math"/>
                            <w:sz w:val="24"/>
                            <w:szCs w:val="24"/>
                          </w:rPr>
                          <m:t>0i</m:t>
                        </m:r>
                        <m:ctrlPr>
                          <w:rPr>
                            <w:rFonts w:ascii="Cambria Math" w:hAnsi="Cambria Math"/>
                            <w:i/>
                            <w:sz w:val="24"/>
                            <w:szCs w:val="24"/>
                          </w:rPr>
                        </m:ctrlPr>
                      </m:sub>
                    </m:sSub>
                    <m:ctrlPr>
                      <w:rPr>
                        <w:rFonts w:ascii="Cambria Math" w:hAnsi="Cambria Math"/>
                        <w:sz w:val="24"/>
                        <w:szCs w:val="24"/>
                      </w:rPr>
                    </m:ctrlPr>
                  </m:den>
                </m:f>
                <m:r>
                  <m:rPr/>
                  <w:rPr>
                    <w:rFonts w:ascii="Cambria Math" w:hAnsi="Cambria Math"/>
                    <w:sz w:val="24"/>
                    <w:szCs w:val="24"/>
                  </w:rPr>
                  <m:t>×100%</m:t>
                </m:r>
              </m:oMath>
            </m:oMathPara>
          </w:p>
          <w:p w14:paraId="2B24ABF3">
            <w:pPr>
              <w:spacing w:line="480" w:lineRule="exact"/>
              <w:ind w:firstLine="422" w:firstLineChars="176"/>
              <w:jc w:val="left"/>
              <w:rPr>
                <w:rFonts w:ascii="Times New Roman" w:hAnsi="Times New Roman" w:eastAsia="宋体" w:cs="Times New Roman"/>
                <w:sz w:val="24"/>
                <w:szCs w:val="24"/>
              </w:rPr>
            </w:pPr>
            <m:oMath>
              <m:sSub>
                <m:sSubPr>
                  <m:ctrlPr>
                    <w:rPr>
                      <w:rFonts w:ascii="Cambria Math" w:hAnsi="Cambria Math"/>
                      <w:sz w:val="24"/>
                      <w:szCs w:val="24"/>
                    </w:rPr>
                  </m:ctrlPr>
                </m:sSubPr>
                <m:e>
                  <m:r>
                    <m:rPr/>
                    <w:rPr>
                      <w:rFonts w:ascii="Cambria Math" w:hAnsi="Cambria Math"/>
                      <w:sz w:val="24"/>
                      <w:szCs w:val="24"/>
                    </w:rPr>
                    <m:t>P</m:t>
                  </m:r>
                  <m:ctrlPr>
                    <w:rPr>
                      <w:rFonts w:ascii="Cambria Math" w:hAnsi="Cambria Math"/>
                      <w:sz w:val="24"/>
                      <w:szCs w:val="24"/>
                    </w:rPr>
                  </m:ctrlPr>
                </m:e>
                <m:sub>
                  <m:r>
                    <m:rPr/>
                    <w:rPr>
                      <w:rFonts w:ascii="Cambria Math" w:hAnsi="Cambria Math"/>
                      <w:sz w:val="24"/>
                      <w:szCs w:val="24"/>
                    </w:rPr>
                    <m:t>i</m:t>
                  </m:r>
                  <m:ctrlPr>
                    <w:rPr>
                      <w:rFonts w:ascii="Cambria Math" w:hAnsi="Cambria Math"/>
                      <w:sz w:val="24"/>
                      <w:szCs w:val="24"/>
                    </w:rPr>
                  </m:ctrlPr>
                </m:sub>
              </m:sSub>
            </m:oMath>
            <w:r>
              <w:rPr>
                <w:rFonts w:ascii="Times New Roman" w:hAnsi="Times New Roman" w:eastAsia="宋体" w:cs="Times New Roman"/>
                <w:sz w:val="24"/>
                <w:szCs w:val="24"/>
              </w:rPr>
              <w:t xml:space="preserve"> ——第i个污染物的最大地面空气质量浓度占标率，%；</w:t>
            </w:r>
          </w:p>
          <w:p w14:paraId="38E54AEA">
            <w:pPr>
              <w:spacing w:line="480" w:lineRule="exact"/>
              <w:ind w:firstLine="422" w:firstLineChars="176"/>
              <w:jc w:val="left"/>
              <w:rPr>
                <w:rFonts w:ascii="Times New Roman" w:hAnsi="Times New Roman" w:eastAsia="宋体" w:cs="Times New Roman"/>
                <w:sz w:val="24"/>
                <w:szCs w:val="24"/>
              </w:rPr>
            </w:pPr>
            <m:oMath>
              <m:sSub>
                <m:sSubPr>
                  <m:ctrlPr>
                    <w:rPr>
                      <w:rFonts w:ascii="Cambria Math" w:hAnsi="Cambria Math"/>
                      <w:i/>
                      <w:sz w:val="24"/>
                      <w:szCs w:val="24"/>
                    </w:rPr>
                  </m:ctrlPr>
                </m:sSubPr>
                <m:e>
                  <m:r>
                    <m:rPr/>
                    <w:rPr>
                      <w:rFonts w:ascii="Cambria Math" w:hAnsi="Cambria Math"/>
                      <w:sz w:val="24"/>
                      <w:szCs w:val="24"/>
                    </w:rPr>
                    <m:t>C</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oMath>
            <w:r>
              <w:rPr>
                <w:rFonts w:ascii="Times New Roman" w:hAnsi="Times New Roman" w:eastAsia="宋体" w:cs="Times New Roman"/>
                <w:sz w:val="24"/>
                <w:szCs w:val="24"/>
              </w:rPr>
              <w:t>——采用估算模型计算出的第i个污染物的最大1h地面空气质量浓度，μg/m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w:t>
            </w:r>
          </w:p>
          <w:p w14:paraId="4F77D158">
            <w:pPr>
              <w:spacing w:line="480" w:lineRule="exact"/>
              <w:ind w:firstLine="422" w:firstLineChars="176"/>
              <w:jc w:val="left"/>
              <w:rPr>
                <w:rFonts w:ascii="Times New Roman" w:hAnsi="Times New Roman" w:eastAsia="宋体" w:cs="Times New Roman"/>
                <w:sz w:val="24"/>
                <w:szCs w:val="24"/>
              </w:rPr>
            </w:pPr>
            <m:oMath>
              <m:sSub>
                <m:sSubPr>
                  <m:ctrlPr>
                    <w:rPr>
                      <w:rFonts w:ascii="Cambria Math" w:hAnsi="Cambria Math"/>
                      <w:i/>
                      <w:sz w:val="24"/>
                      <w:szCs w:val="24"/>
                    </w:rPr>
                  </m:ctrlPr>
                </m:sSubPr>
                <m:e>
                  <m:r>
                    <m:rPr/>
                    <w:rPr>
                      <w:rFonts w:ascii="Cambria Math" w:hAnsi="Cambria Math"/>
                      <w:sz w:val="24"/>
                      <w:szCs w:val="24"/>
                    </w:rPr>
                    <m:t>C</m:t>
                  </m:r>
                  <m:ctrlPr>
                    <w:rPr>
                      <w:rFonts w:ascii="Cambria Math" w:hAnsi="Cambria Math"/>
                      <w:i/>
                      <w:sz w:val="24"/>
                      <w:szCs w:val="24"/>
                    </w:rPr>
                  </m:ctrlPr>
                </m:e>
                <m:sub>
                  <m:r>
                    <m:rPr/>
                    <w:rPr>
                      <w:rFonts w:ascii="Cambria Math" w:hAnsi="Cambria Math"/>
                      <w:sz w:val="24"/>
                      <w:szCs w:val="24"/>
                    </w:rPr>
                    <m:t>0i</m:t>
                  </m:r>
                  <m:ctrlPr>
                    <w:rPr>
                      <w:rFonts w:ascii="Cambria Math" w:hAnsi="Cambria Math"/>
                      <w:i/>
                      <w:sz w:val="24"/>
                      <w:szCs w:val="24"/>
                    </w:rPr>
                  </m:ctrlPr>
                </m:sub>
              </m:sSub>
            </m:oMath>
            <w:r>
              <w:rPr>
                <w:rFonts w:ascii="Times New Roman" w:hAnsi="Times New Roman" w:eastAsia="宋体" w:cs="Times New Roman"/>
                <w:sz w:val="24"/>
                <w:szCs w:val="24"/>
              </w:rPr>
              <w:t>——第i个污染物的环境空气质量浓度标准，μg/m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w:t>
            </w:r>
          </w:p>
          <w:p w14:paraId="42A6EABF">
            <w:pPr>
              <w:spacing w:line="480" w:lineRule="exact"/>
              <w:ind w:firstLine="422" w:firstLineChars="176"/>
              <w:jc w:val="left"/>
              <w:rPr>
                <w:rFonts w:ascii="Times New Roman" w:hAnsi="Times New Roman" w:eastAsia="宋体" w:cs="Times New Roman"/>
                <w:sz w:val="24"/>
                <w:szCs w:val="24"/>
              </w:rPr>
            </w:pPr>
            <w:r>
              <w:rPr>
                <w:rFonts w:ascii="Times New Roman" w:hAnsi="Times New Roman" w:eastAsia="宋体" w:cs="Times New Roman"/>
                <w:sz w:val="24"/>
                <w:szCs w:val="24"/>
              </w:rPr>
              <w:t>（2）评价等级判别表</w:t>
            </w:r>
          </w:p>
          <w:p w14:paraId="188869B2">
            <w:pPr>
              <w:spacing w:line="480" w:lineRule="exact"/>
              <w:ind w:firstLine="422" w:firstLineChars="176"/>
              <w:jc w:val="left"/>
              <w:rPr>
                <w:rFonts w:ascii="Times New Roman" w:hAnsi="Times New Roman" w:eastAsia="宋体" w:cs="Times New Roman"/>
                <w:sz w:val="24"/>
                <w:szCs w:val="24"/>
              </w:rPr>
            </w:pPr>
            <w:r>
              <w:rPr>
                <w:rFonts w:ascii="Times New Roman" w:hAnsi="Times New Roman" w:eastAsia="宋体" w:cs="Times New Roman"/>
                <w:sz w:val="24"/>
                <w:szCs w:val="24"/>
              </w:rPr>
              <w:t>评价等级按下表的分级判据进行划分</w:t>
            </w:r>
          </w:p>
          <w:p w14:paraId="444B9001">
            <w:pPr>
              <w:spacing w:line="480" w:lineRule="exact"/>
              <w:jc w:val="center"/>
              <w:rPr>
                <w:rFonts w:ascii="Times New Roman" w:hAnsi="Times New Roman" w:eastAsia="宋体" w:cs="Times New Roman"/>
                <w:bCs/>
                <w:sz w:val="24"/>
              </w:rPr>
            </w:pPr>
            <w:r>
              <w:rPr>
                <w:rFonts w:ascii="Times New Roman" w:hAnsi="Times New Roman" w:eastAsia="宋体" w:cs="Times New Roman"/>
                <w:bCs/>
                <w:sz w:val="24"/>
              </w:rPr>
              <w:t>表7-3  评价等级判别表</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141"/>
              <w:gridCol w:w="4141"/>
            </w:tblGrid>
            <w:tr w14:paraId="769062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2500" w:type="pct"/>
                  <w:vAlign w:val="center"/>
                </w:tcPr>
                <w:p w14:paraId="21E05500">
                  <w:pPr>
                    <w:jc w:val="center"/>
                    <w:rPr>
                      <w:rFonts w:ascii="Times New Roman" w:hAnsi="Times New Roman" w:eastAsia="宋体" w:cs="Times New Roman"/>
                      <w:szCs w:val="21"/>
                    </w:rPr>
                  </w:pPr>
                  <w:r>
                    <w:rPr>
                      <w:rFonts w:ascii="Times New Roman" w:hAnsi="Times New Roman" w:eastAsia="宋体" w:cs="Times New Roman"/>
                      <w:szCs w:val="21"/>
                    </w:rPr>
                    <w:t>评价工作等级</w:t>
                  </w:r>
                </w:p>
              </w:tc>
              <w:tc>
                <w:tcPr>
                  <w:tcW w:w="2500" w:type="pct"/>
                  <w:vAlign w:val="center"/>
                </w:tcPr>
                <w:p w14:paraId="3629A449">
                  <w:pPr>
                    <w:jc w:val="center"/>
                    <w:rPr>
                      <w:rFonts w:ascii="Times New Roman" w:hAnsi="Times New Roman" w:eastAsia="宋体" w:cs="Times New Roman"/>
                      <w:szCs w:val="21"/>
                    </w:rPr>
                  </w:pPr>
                  <w:r>
                    <w:rPr>
                      <w:rFonts w:ascii="Times New Roman" w:hAnsi="Times New Roman" w:eastAsia="宋体" w:cs="Times New Roman"/>
                      <w:szCs w:val="21"/>
                    </w:rPr>
                    <w:t>评价工作分级判据</w:t>
                  </w:r>
                </w:p>
              </w:tc>
            </w:tr>
            <w:tr w14:paraId="45D51F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2500" w:type="pct"/>
                  <w:vAlign w:val="center"/>
                </w:tcPr>
                <w:p w14:paraId="1C277998">
                  <w:pPr>
                    <w:jc w:val="center"/>
                    <w:rPr>
                      <w:rFonts w:ascii="Times New Roman" w:hAnsi="Times New Roman" w:eastAsia="宋体" w:cs="Times New Roman"/>
                      <w:szCs w:val="21"/>
                    </w:rPr>
                  </w:pPr>
                  <w:r>
                    <w:rPr>
                      <w:rFonts w:ascii="Times New Roman" w:hAnsi="Times New Roman" w:eastAsia="宋体" w:cs="Times New Roman"/>
                      <w:szCs w:val="21"/>
                    </w:rPr>
                    <w:t>一级评价</w:t>
                  </w:r>
                </w:p>
              </w:tc>
              <w:tc>
                <w:tcPr>
                  <w:tcW w:w="2500" w:type="pct"/>
                  <w:vAlign w:val="center"/>
                </w:tcPr>
                <w:p w14:paraId="31708CC5">
                  <w:pPr>
                    <w:jc w:val="center"/>
                    <w:rPr>
                      <w:rFonts w:ascii="Times New Roman" w:hAnsi="Times New Roman" w:eastAsia="宋体" w:cs="Times New Roman"/>
                      <w:szCs w:val="21"/>
                    </w:rPr>
                  </w:pPr>
                  <w:r>
                    <w:rPr>
                      <w:rFonts w:ascii="Times New Roman" w:hAnsi="Times New Roman" w:eastAsia="宋体" w:cs="Times New Roman"/>
                      <w:szCs w:val="21"/>
                    </w:rPr>
                    <w:t>Pmax</w:t>
                  </w:r>
                  <w:r>
                    <w:rPr>
                      <w:rFonts w:hint="eastAsia" w:ascii="宋体" w:hAnsi="宋体" w:eastAsia="宋体" w:cs="宋体"/>
                      <w:szCs w:val="21"/>
                    </w:rPr>
                    <w:t>≧</w:t>
                  </w:r>
                  <w:r>
                    <w:rPr>
                      <w:rFonts w:ascii="Times New Roman" w:hAnsi="Times New Roman" w:eastAsia="宋体" w:cs="Times New Roman"/>
                      <w:szCs w:val="21"/>
                    </w:rPr>
                    <w:t>10%</w:t>
                  </w:r>
                </w:p>
              </w:tc>
            </w:tr>
            <w:tr w14:paraId="451688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2500" w:type="pct"/>
                  <w:vAlign w:val="center"/>
                </w:tcPr>
                <w:p w14:paraId="1C192736">
                  <w:pPr>
                    <w:jc w:val="center"/>
                    <w:rPr>
                      <w:rFonts w:ascii="Times New Roman" w:hAnsi="Times New Roman" w:eastAsia="宋体" w:cs="Times New Roman"/>
                      <w:szCs w:val="21"/>
                    </w:rPr>
                  </w:pPr>
                  <w:r>
                    <w:rPr>
                      <w:rFonts w:ascii="Times New Roman" w:hAnsi="Times New Roman" w:eastAsia="宋体" w:cs="Times New Roman"/>
                      <w:szCs w:val="21"/>
                    </w:rPr>
                    <w:t>二级评价</w:t>
                  </w:r>
                </w:p>
              </w:tc>
              <w:tc>
                <w:tcPr>
                  <w:tcW w:w="2500" w:type="pct"/>
                  <w:vAlign w:val="center"/>
                </w:tcPr>
                <w:p w14:paraId="0C0208C1">
                  <w:pPr>
                    <w:jc w:val="center"/>
                    <w:rPr>
                      <w:rFonts w:ascii="Times New Roman" w:hAnsi="Times New Roman" w:eastAsia="宋体" w:cs="Times New Roman"/>
                      <w:szCs w:val="21"/>
                    </w:rPr>
                  </w:pPr>
                  <w:r>
                    <w:rPr>
                      <w:rFonts w:ascii="Times New Roman" w:hAnsi="Times New Roman" w:eastAsia="宋体" w:cs="Times New Roman"/>
                      <w:szCs w:val="21"/>
                    </w:rPr>
                    <w:t>1%</w:t>
                  </w:r>
                  <w:r>
                    <w:rPr>
                      <w:rFonts w:hint="eastAsia" w:ascii="宋体" w:hAnsi="宋体" w:eastAsia="宋体" w:cs="宋体"/>
                      <w:szCs w:val="21"/>
                    </w:rPr>
                    <w:t>≦</w:t>
                  </w:r>
                  <w:r>
                    <w:rPr>
                      <w:rFonts w:ascii="Times New Roman" w:hAnsi="Times New Roman" w:eastAsia="宋体" w:cs="Times New Roman"/>
                      <w:szCs w:val="21"/>
                    </w:rPr>
                    <w:t>Pmax&lt;10%</w:t>
                  </w:r>
                </w:p>
              </w:tc>
            </w:tr>
            <w:tr w14:paraId="39635B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25" w:hRule="atLeast"/>
                <w:jc w:val="center"/>
              </w:trPr>
              <w:tc>
                <w:tcPr>
                  <w:tcW w:w="2500" w:type="pct"/>
                  <w:vAlign w:val="center"/>
                </w:tcPr>
                <w:p w14:paraId="0C737C7F">
                  <w:pPr>
                    <w:jc w:val="center"/>
                    <w:rPr>
                      <w:rFonts w:ascii="Times New Roman" w:hAnsi="Times New Roman" w:eastAsia="宋体" w:cs="Times New Roman"/>
                      <w:szCs w:val="21"/>
                    </w:rPr>
                  </w:pPr>
                  <w:r>
                    <w:rPr>
                      <w:rFonts w:ascii="Times New Roman" w:hAnsi="Times New Roman" w:eastAsia="宋体" w:cs="Times New Roman"/>
                      <w:szCs w:val="21"/>
                    </w:rPr>
                    <w:t>三级评价</w:t>
                  </w:r>
                </w:p>
              </w:tc>
              <w:tc>
                <w:tcPr>
                  <w:tcW w:w="2500" w:type="pct"/>
                  <w:vAlign w:val="center"/>
                </w:tcPr>
                <w:p w14:paraId="457BCC8F">
                  <w:pPr>
                    <w:jc w:val="center"/>
                    <w:rPr>
                      <w:rFonts w:ascii="Times New Roman" w:hAnsi="Times New Roman" w:eastAsia="宋体" w:cs="Times New Roman"/>
                      <w:szCs w:val="21"/>
                    </w:rPr>
                  </w:pPr>
                  <w:r>
                    <w:rPr>
                      <w:rFonts w:ascii="Times New Roman" w:hAnsi="Times New Roman" w:eastAsia="宋体" w:cs="Times New Roman"/>
                      <w:szCs w:val="21"/>
                    </w:rPr>
                    <w:t>Pmax&lt;1%</w:t>
                  </w:r>
                </w:p>
              </w:tc>
            </w:tr>
          </w:tbl>
          <w:p w14:paraId="33AD7CEE">
            <w:pPr>
              <w:spacing w:line="480" w:lineRule="exact"/>
              <w:ind w:firstLine="422" w:firstLineChars="176"/>
              <w:jc w:val="left"/>
              <w:rPr>
                <w:rFonts w:ascii="Times New Roman" w:hAnsi="Times New Roman" w:eastAsia="宋体" w:cs="Times New Roman"/>
                <w:sz w:val="24"/>
                <w:szCs w:val="24"/>
              </w:rPr>
            </w:pPr>
            <w:r>
              <w:rPr>
                <w:rFonts w:ascii="Times New Roman" w:hAnsi="Times New Roman" w:eastAsia="宋体" w:cs="Times New Roman"/>
                <w:sz w:val="24"/>
                <w:szCs w:val="24"/>
              </w:rPr>
              <w:t>（3）污染物评价标准</w:t>
            </w:r>
          </w:p>
          <w:p w14:paraId="219E770D">
            <w:pPr>
              <w:spacing w:line="480" w:lineRule="exact"/>
              <w:ind w:firstLine="422" w:firstLineChars="176"/>
              <w:jc w:val="left"/>
              <w:rPr>
                <w:rFonts w:ascii="Times New Roman" w:hAnsi="Times New Roman" w:eastAsia="宋体" w:cs="Times New Roman"/>
                <w:sz w:val="24"/>
                <w:szCs w:val="24"/>
              </w:rPr>
            </w:pPr>
            <w:r>
              <w:rPr>
                <w:rFonts w:ascii="Times New Roman" w:hAnsi="Times New Roman" w:eastAsia="宋体" w:cs="Times New Roman"/>
                <w:sz w:val="24"/>
                <w:szCs w:val="24"/>
              </w:rPr>
              <w:t>污染物评价标准和来源见下表。</w:t>
            </w:r>
          </w:p>
          <w:p w14:paraId="5749F73A">
            <w:pPr>
              <w:spacing w:line="480" w:lineRule="exact"/>
              <w:jc w:val="center"/>
              <w:rPr>
                <w:rFonts w:ascii="Times New Roman" w:hAnsi="Times New Roman" w:eastAsia="宋体" w:cs="Times New Roman"/>
                <w:bCs/>
                <w:sz w:val="24"/>
              </w:rPr>
            </w:pPr>
            <w:r>
              <w:rPr>
                <w:rFonts w:ascii="Times New Roman" w:hAnsi="Times New Roman" w:eastAsia="宋体" w:cs="Times New Roman"/>
                <w:bCs/>
                <w:sz w:val="24"/>
              </w:rPr>
              <w:t>表7-4  污染物评价标准</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134"/>
              <w:gridCol w:w="1153"/>
              <w:gridCol w:w="984"/>
              <w:gridCol w:w="1697"/>
              <w:gridCol w:w="3314"/>
            </w:tblGrid>
            <w:tr w14:paraId="365723A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34" w:type="dxa"/>
                  <w:vAlign w:val="center"/>
                </w:tcPr>
                <w:p w14:paraId="4B9E4D2D">
                  <w:pPr>
                    <w:jc w:val="center"/>
                    <w:rPr>
                      <w:rFonts w:ascii="Times New Roman" w:hAnsi="Times New Roman" w:eastAsia="宋体" w:cs="Times New Roman"/>
                      <w:szCs w:val="21"/>
                    </w:rPr>
                  </w:pPr>
                  <w:r>
                    <w:rPr>
                      <w:rFonts w:ascii="Times New Roman" w:hAnsi="Times New Roman" w:eastAsia="宋体" w:cs="Times New Roman"/>
                      <w:szCs w:val="21"/>
                    </w:rPr>
                    <w:t>污染物名称</w:t>
                  </w:r>
                </w:p>
              </w:tc>
              <w:tc>
                <w:tcPr>
                  <w:tcW w:w="1154" w:type="dxa"/>
                  <w:vAlign w:val="center"/>
                </w:tcPr>
                <w:p w14:paraId="1303A0C6">
                  <w:pPr>
                    <w:jc w:val="center"/>
                    <w:rPr>
                      <w:rFonts w:ascii="Times New Roman" w:hAnsi="Times New Roman" w:eastAsia="宋体" w:cs="Times New Roman"/>
                      <w:szCs w:val="21"/>
                    </w:rPr>
                  </w:pPr>
                  <w:r>
                    <w:rPr>
                      <w:rFonts w:ascii="Times New Roman" w:hAnsi="Times New Roman" w:eastAsia="宋体" w:cs="Times New Roman"/>
                      <w:szCs w:val="21"/>
                    </w:rPr>
                    <w:t>功能区</w:t>
                  </w:r>
                </w:p>
              </w:tc>
              <w:tc>
                <w:tcPr>
                  <w:tcW w:w="0" w:type="auto"/>
                  <w:vAlign w:val="center"/>
                </w:tcPr>
                <w:p w14:paraId="0D3B9537">
                  <w:pPr>
                    <w:jc w:val="center"/>
                    <w:rPr>
                      <w:rFonts w:ascii="Times New Roman" w:hAnsi="Times New Roman" w:eastAsia="宋体" w:cs="Times New Roman"/>
                      <w:szCs w:val="21"/>
                    </w:rPr>
                  </w:pPr>
                  <w:r>
                    <w:rPr>
                      <w:rFonts w:ascii="Times New Roman" w:hAnsi="Times New Roman" w:eastAsia="宋体" w:cs="Times New Roman"/>
                      <w:szCs w:val="21"/>
                    </w:rPr>
                    <w:t>取值时间</w:t>
                  </w:r>
                </w:p>
              </w:tc>
              <w:tc>
                <w:tcPr>
                  <w:tcW w:w="0" w:type="auto"/>
                  <w:vAlign w:val="center"/>
                </w:tcPr>
                <w:p w14:paraId="41D804D2">
                  <w:pPr>
                    <w:jc w:val="center"/>
                    <w:rPr>
                      <w:rFonts w:ascii="Times New Roman" w:hAnsi="Times New Roman" w:eastAsia="宋体" w:cs="Times New Roman"/>
                      <w:szCs w:val="21"/>
                    </w:rPr>
                  </w:pPr>
                  <w:r>
                    <w:rPr>
                      <w:rFonts w:ascii="Times New Roman" w:hAnsi="Times New Roman" w:eastAsia="宋体" w:cs="Times New Roman"/>
                      <w:szCs w:val="21"/>
                    </w:rPr>
                    <w:t>标准值</w:t>
                  </w:r>
                  <w:r>
                    <w:rPr>
                      <w:rFonts w:hint="eastAsia" w:ascii="Times New Roman" w:hAnsi="Times New Roman" w:eastAsia="宋体" w:cs="Times New Roman"/>
                      <w:szCs w:val="21"/>
                      <w:lang w:eastAsia="zh-CN"/>
                    </w:rPr>
                    <w:t>（</w:t>
                  </w:r>
                  <w:r>
                    <w:rPr>
                      <w:rFonts w:ascii="Times New Roman" w:hAnsi="Times New Roman" w:eastAsia="宋体" w:cs="Times New Roman"/>
                      <w:szCs w:val="21"/>
                    </w:rPr>
                    <w:t>μg/m³</w:t>
                  </w:r>
                  <w:r>
                    <w:rPr>
                      <w:rFonts w:hint="eastAsia" w:ascii="Times New Roman" w:hAnsi="Times New Roman" w:eastAsia="宋体" w:cs="Times New Roman"/>
                      <w:szCs w:val="21"/>
                      <w:lang w:eastAsia="zh-CN"/>
                    </w:rPr>
                    <w:t>）</w:t>
                  </w:r>
                </w:p>
              </w:tc>
              <w:tc>
                <w:tcPr>
                  <w:tcW w:w="0" w:type="auto"/>
                  <w:vAlign w:val="center"/>
                </w:tcPr>
                <w:p w14:paraId="173DBBB7">
                  <w:pPr>
                    <w:jc w:val="center"/>
                    <w:rPr>
                      <w:rFonts w:ascii="Times New Roman" w:hAnsi="Times New Roman" w:eastAsia="宋体" w:cs="Times New Roman"/>
                      <w:szCs w:val="21"/>
                    </w:rPr>
                  </w:pPr>
                  <w:r>
                    <w:rPr>
                      <w:rFonts w:ascii="Times New Roman" w:hAnsi="Times New Roman" w:eastAsia="宋体" w:cs="Times New Roman"/>
                      <w:szCs w:val="21"/>
                    </w:rPr>
                    <w:t>标准来源</w:t>
                  </w:r>
                </w:p>
              </w:tc>
            </w:tr>
            <w:tr w14:paraId="6A22B8F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34" w:type="dxa"/>
                  <w:vAlign w:val="center"/>
                </w:tcPr>
                <w:p w14:paraId="47FEFAFB">
                  <w:pPr>
                    <w:jc w:val="center"/>
                    <w:rPr>
                      <w:rFonts w:ascii="Times New Roman" w:hAnsi="Times New Roman" w:eastAsia="宋体" w:cs="Times New Roman"/>
                      <w:szCs w:val="21"/>
                    </w:rPr>
                  </w:pPr>
                  <w:r>
                    <w:rPr>
                      <w:rFonts w:ascii="Times New Roman" w:hAnsi="Times New Roman" w:eastAsia="宋体" w:cs="Times New Roman"/>
                      <w:szCs w:val="21"/>
                    </w:rPr>
                    <w:t>TSP</w:t>
                  </w:r>
                </w:p>
              </w:tc>
              <w:tc>
                <w:tcPr>
                  <w:tcW w:w="1154" w:type="dxa"/>
                  <w:vAlign w:val="center"/>
                </w:tcPr>
                <w:p w14:paraId="1BEF5610">
                  <w:pPr>
                    <w:jc w:val="center"/>
                    <w:rPr>
                      <w:rFonts w:ascii="Times New Roman" w:hAnsi="Times New Roman" w:eastAsia="宋体" w:cs="Times New Roman"/>
                      <w:szCs w:val="21"/>
                    </w:rPr>
                  </w:pPr>
                  <w:r>
                    <w:rPr>
                      <w:rFonts w:ascii="Times New Roman" w:hAnsi="Times New Roman" w:eastAsia="宋体" w:cs="Times New Roman"/>
                      <w:szCs w:val="21"/>
                    </w:rPr>
                    <w:t>二类限区</w:t>
                  </w:r>
                </w:p>
              </w:tc>
              <w:tc>
                <w:tcPr>
                  <w:tcW w:w="0" w:type="auto"/>
                  <w:vAlign w:val="center"/>
                </w:tcPr>
                <w:p w14:paraId="47C56659">
                  <w:pPr>
                    <w:jc w:val="center"/>
                    <w:rPr>
                      <w:rFonts w:ascii="Times New Roman" w:hAnsi="Times New Roman" w:eastAsia="宋体" w:cs="Times New Roman"/>
                      <w:szCs w:val="21"/>
                    </w:rPr>
                  </w:pPr>
                  <w:r>
                    <w:rPr>
                      <w:rFonts w:ascii="Times New Roman" w:hAnsi="Times New Roman" w:eastAsia="宋体" w:cs="Times New Roman"/>
                      <w:szCs w:val="21"/>
                    </w:rPr>
                    <w:t>日均</w:t>
                  </w:r>
                </w:p>
              </w:tc>
              <w:tc>
                <w:tcPr>
                  <w:tcW w:w="0" w:type="auto"/>
                  <w:vAlign w:val="center"/>
                </w:tcPr>
                <w:p w14:paraId="7AF4498F">
                  <w:pPr>
                    <w:jc w:val="center"/>
                    <w:rPr>
                      <w:rFonts w:ascii="Times New Roman" w:hAnsi="Times New Roman" w:eastAsia="宋体" w:cs="Times New Roman"/>
                      <w:szCs w:val="21"/>
                    </w:rPr>
                  </w:pPr>
                  <w:r>
                    <w:rPr>
                      <w:rFonts w:ascii="Times New Roman" w:hAnsi="Times New Roman" w:eastAsia="宋体" w:cs="Times New Roman"/>
                      <w:szCs w:val="21"/>
                    </w:rPr>
                    <w:t>300.0</w:t>
                  </w:r>
                </w:p>
              </w:tc>
              <w:tc>
                <w:tcPr>
                  <w:tcW w:w="0" w:type="auto"/>
                  <w:vAlign w:val="center"/>
                </w:tcPr>
                <w:p w14:paraId="08B6DC01">
                  <w:pPr>
                    <w:jc w:val="center"/>
                    <w:rPr>
                      <w:rFonts w:ascii="Times New Roman" w:hAnsi="Times New Roman" w:eastAsia="宋体" w:cs="Times New Roman"/>
                      <w:szCs w:val="21"/>
                    </w:rPr>
                  </w:pPr>
                  <w:r>
                    <w:rPr>
                      <w:rFonts w:ascii="Times New Roman" w:hAnsi="Times New Roman" w:eastAsia="宋体" w:cs="Times New Roman"/>
                      <w:szCs w:val="21"/>
                    </w:rPr>
                    <w:t>环境空气质量标准</w:t>
                  </w:r>
                  <w:r>
                    <w:rPr>
                      <w:rFonts w:hint="eastAsia" w:ascii="Times New Roman" w:hAnsi="Times New Roman" w:eastAsia="宋体" w:cs="Times New Roman"/>
                      <w:szCs w:val="21"/>
                      <w:lang w:eastAsia="zh-CN"/>
                    </w:rPr>
                    <w:t>（</w:t>
                  </w:r>
                  <w:r>
                    <w:rPr>
                      <w:rFonts w:ascii="Times New Roman" w:hAnsi="Times New Roman" w:eastAsia="宋体" w:cs="Times New Roman"/>
                      <w:szCs w:val="21"/>
                    </w:rPr>
                    <w:t>GB 3095-2012</w:t>
                  </w:r>
                  <w:r>
                    <w:rPr>
                      <w:rFonts w:hint="eastAsia" w:ascii="Times New Roman" w:hAnsi="Times New Roman" w:eastAsia="宋体" w:cs="Times New Roman"/>
                      <w:szCs w:val="21"/>
                      <w:lang w:eastAsia="zh-CN"/>
                    </w:rPr>
                    <w:t>）</w:t>
                  </w:r>
                </w:p>
              </w:tc>
            </w:tr>
          </w:tbl>
          <w:p w14:paraId="511E3105">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（4）污染源参数</w:t>
            </w:r>
          </w:p>
          <w:p w14:paraId="0E4B787E">
            <w:pPr>
              <w:adjustRightInd w:val="0"/>
              <w:snapToGrid w:val="0"/>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表7-5  主要废气污染源参数一览表</w:t>
            </w:r>
            <w:r>
              <w:rPr>
                <w:rFonts w:hint="eastAsia" w:ascii="Times New Roman" w:hAnsi="Times New Roman" w:eastAsia="宋体" w:cs="Times New Roman"/>
                <w:bCs/>
                <w:sz w:val="24"/>
                <w:lang w:eastAsia="zh-CN"/>
              </w:rPr>
              <w:t>（</w:t>
            </w:r>
            <w:r>
              <w:rPr>
                <w:rFonts w:hint="eastAsia" w:ascii="Times New Roman" w:hAnsi="Times New Roman" w:eastAsia="宋体" w:cs="Times New Roman"/>
                <w:bCs/>
                <w:sz w:val="24"/>
              </w:rPr>
              <w:t>车间面源</w:t>
            </w:r>
            <w:r>
              <w:rPr>
                <w:rFonts w:hint="eastAsia" w:ascii="Times New Roman" w:hAnsi="Times New Roman" w:eastAsia="宋体" w:cs="Times New Roman"/>
                <w:bCs/>
                <w:sz w:val="24"/>
                <w:lang w:eastAsia="zh-CN"/>
              </w:rPr>
              <w:t>）</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678"/>
              <w:gridCol w:w="1214"/>
              <w:gridCol w:w="1109"/>
              <w:gridCol w:w="926"/>
              <w:gridCol w:w="926"/>
              <w:gridCol w:w="926"/>
              <w:gridCol w:w="1052"/>
              <w:gridCol w:w="1451"/>
            </w:tblGrid>
            <w:tr w14:paraId="2BFA9E6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0" w:type="auto"/>
                  <w:vMerge w:val="restart"/>
                  <w:vAlign w:val="center"/>
                </w:tcPr>
                <w:p w14:paraId="005A2DEE">
                  <w:pPr>
                    <w:jc w:val="center"/>
                    <w:rPr>
                      <w:rFonts w:ascii="Times New Roman" w:hAnsi="Times New Roman" w:eastAsia="宋体" w:cs="Times New Roman"/>
                      <w:szCs w:val="21"/>
                    </w:rPr>
                  </w:pPr>
                  <w:r>
                    <w:rPr>
                      <w:rFonts w:ascii="Times New Roman" w:hAnsi="Times New Roman" w:eastAsia="宋体" w:cs="Times New Roman"/>
                      <w:szCs w:val="21"/>
                    </w:rPr>
                    <w:t>污染源名称</w:t>
                  </w:r>
                </w:p>
              </w:tc>
              <w:tc>
                <w:tcPr>
                  <w:tcW w:w="0" w:type="auto"/>
                  <w:gridSpan w:val="2"/>
                  <w:vAlign w:val="center"/>
                </w:tcPr>
                <w:p w14:paraId="1EA0A0C3">
                  <w:pPr>
                    <w:jc w:val="center"/>
                    <w:rPr>
                      <w:rFonts w:ascii="Times New Roman" w:hAnsi="Times New Roman" w:eastAsia="宋体" w:cs="Times New Roman"/>
                      <w:szCs w:val="21"/>
                    </w:rPr>
                  </w:pPr>
                  <w:r>
                    <w:rPr>
                      <w:rFonts w:ascii="Times New Roman" w:hAnsi="Times New Roman" w:eastAsia="宋体" w:cs="Times New Roman"/>
                      <w:szCs w:val="21"/>
                    </w:rPr>
                    <w:t>坐标</w:t>
                  </w:r>
                  <w:r>
                    <w:rPr>
                      <w:rFonts w:hint="eastAsia" w:ascii="Times New Roman" w:hAnsi="Times New Roman" w:eastAsia="宋体" w:cs="Times New Roman"/>
                      <w:szCs w:val="21"/>
                      <w:lang w:eastAsia="zh-CN"/>
                    </w:rPr>
                    <w:t>（</w:t>
                  </w:r>
                  <w:r>
                    <w:rPr>
                      <w:rFonts w:ascii="Times New Roman" w:hAnsi="Times New Roman" w:eastAsia="宋体" w:cs="Times New Roman"/>
                      <w:szCs w:val="21"/>
                    </w:rPr>
                    <w:t>°</w:t>
                  </w:r>
                  <w:r>
                    <w:rPr>
                      <w:rFonts w:hint="eastAsia" w:ascii="Times New Roman" w:hAnsi="Times New Roman" w:eastAsia="宋体" w:cs="Times New Roman"/>
                      <w:szCs w:val="21"/>
                      <w:lang w:eastAsia="zh-CN"/>
                    </w:rPr>
                    <w:t>）</w:t>
                  </w:r>
                </w:p>
              </w:tc>
              <w:tc>
                <w:tcPr>
                  <w:tcW w:w="0" w:type="auto"/>
                  <w:vMerge w:val="restart"/>
                  <w:vAlign w:val="center"/>
                </w:tcPr>
                <w:p w14:paraId="13440D25">
                  <w:pPr>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海拔（</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0" w:type="auto"/>
                  <w:gridSpan w:val="3"/>
                  <w:vAlign w:val="center"/>
                </w:tcPr>
                <w:p w14:paraId="34B8FE10">
                  <w:pPr>
                    <w:jc w:val="center"/>
                    <w:rPr>
                      <w:rFonts w:ascii="Times New Roman" w:hAnsi="Times New Roman" w:eastAsia="宋体" w:cs="Times New Roman"/>
                      <w:szCs w:val="21"/>
                    </w:rPr>
                  </w:pPr>
                  <w:r>
                    <w:rPr>
                      <w:rFonts w:ascii="Times New Roman" w:hAnsi="Times New Roman" w:eastAsia="宋体" w:cs="Times New Roman"/>
                      <w:szCs w:val="21"/>
                    </w:rPr>
                    <w:t>矩形面源</w:t>
                  </w:r>
                </w:p>
              </w:tc>
              <w:tc>
                <w:tcPr>
                  <w:tcW w:w="0" w:type="auto"/>
                  <w:vAlign w:val="center"/>
                </w:tcPr>
                <w:p w14:paraId="37F77970">
                  <w:pPr>
                    <w:jc w:val="center"/>
                    <w:rPr>
                      <w:rFonts w:ascii="Times New Roman" w:hAnsi="Times New Roman" w:eastAsia="宋体" w:cs="Times New Roman"/>
                      <w:szCs w:val="21"/>
                    </w:rPr>
                  </w:pPr>
                  <w:r>
                    <w:rPr>
                      <w:rFonts w:ascii="Times New Roman" w:hAnsi="Times New Roman" w:eastAsia="宋体" w:cs="Times New Roman"/>
                      <w:szCs w:val="21"/>
                    </w:rPr>
                    <w:t>污染物排放速率</w:t>
                  </w:r>
                  <w:r>
                    <w:rPr>
                      <w:rFonts w:hint="eastAsia" w:ascii="Times New Roman" w:hAnsi="Times New Roman" w:eastAsia="宋体" w:cs="Times New Roman"/>
                      <w:szCs w:val="21"/>
                      <w:lang w:eastAsia="zh-CN"/>
                    </w:rPr>
                    <w:t>（</w:t>
                  </w:r>
                  <w:r>
                    <w:rPr>
                      <w:rFonts w:ascii="Times New Roman" w:hAnsi="Times New Roman" w:eastAsia="宋体" w:cs="Times New Roman"/>
                      <w:szCs w:val="21"/>
                    </w:rPr>
                    <w:t>kg/h</w:t>
                  </w:r>
                  <w:r>
                    <w:rPr>
                      <w:rFonts w:hint="eastAsia" w:ascii="Times New Roman" w:hAnsi="Times New Roman" w:eastAsia="宋体" w:cs="Times New Roman"/>
                      <w:szCs w:val="21"/>
                      <w:lang w:eastAsia="zh-CN"/>
                    </w:rPr>
                    <w:t>）</w:t>
                  </w:r>
                </w:p>
              </w:tc>
            </w:tr>
            <w:tr w14:paraId="0B7CF55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0" w:type="auto"/>
                  <w:vMerge w:val="continue"/>
                  <w:vAlign w:val="center"/>
                </w:tcPr>
                <w:p w14:paraId="489C5BD1">
                  <w:pPr>
                    <w:jc w:val="center"/>
                    <w:rPr>
                      <w:rFonts w:ascii="Times New Roman" w:hAnsi="Times New Roman" w:eastAsia="宋体" w:cs="Times New Roman"/>
                      <w:szCs w:val="21"/>
                    </w:rPr>
                  </w:pPr>
                </w:p>
              </w:tc>
              <w:tc>
                <w:tcPr>
                  <w:tcW w:w="0" w:type="auto"/>
                  <w:vAlign w:val="center"/>
                </w:tcPr>
                <w:p w14:paraId="317B3ED0">
                  <w:pPr>
                    <w:jc w:val="center"/>
                    <w:rPr>
                      <w:rFonts w:ascii="Times New Roman" w:hAnsi="Times New Roman" w:eastAsia="宋体" w:cs="Times New Roman"/>
                      <w:szCs w:val="21"/>
                    </w:rPr>
                  </w:pPr>
                  <w:r>
                    <w:rPr>
                      <w:rFonts w:ascii="Times New Roman" w:hAnsi="Times New Roman" w:eastAsia="宋体" w:cs="Times New Roman"/>
                      <w:szCs w:val="21"/>
                    </w:rPr>
                    <w:t>经度</w:t>
                  </w:r>
                </w:p>
              </w:tc>
              <w:tc>
                <w:tcPr>
                  <w:tcW w:w="0" w:type="auto"/>
                  <w:vAlign w:val="center"/>
                </w:tcPr>
                <w:p w14:paraId="60257BE4">
                  <w:pPr>
                    <w:jc w:val="center"/>
                    <w:rPr>
                      <w:rFonts w:ascii="Times New Roman" w:hAnsi="Times New Roman" w:eastAsia="宋体" w:cs="Times New Roman"/>
                      <w:szCs w:val="21"/>
                    </w:rPr>
                  </w:pPr>
                  <w:r>
                    <w:rPr>
                      <w:rFonts w:ascii="Times New Roman" w:hAnsi="Times New Roman" w:eastAsia="宋体" w:cs="Times New Roman"/>
                      <w:szCs w:val="21"/>
                    </w:rPr>
                    <w:t>纬度</w:t>
                  </w:r>
                </w:p>
              </w:tc>
              <w:tc>
                <w:tcPr>
                  <w:tcW w:w="0" w:type="auto"/>
                  <w:vMerge w:val="continue"/>
                  <w:vAlign w:val="center"/>
                </w:tcPr>
                <w:p w14:paraId="190EBADD">
                  <w:pPr>
                    <w:jc w:val="center"/>
                    <w:rPr>
                      <w:rFonts w:ascii="Times New Roman" w:hAnsi="Times New Roman" w:eastAsia="宋体" w:cs="Times New Roman"/>
                      <w:szCs w:val="21"/>
                    </w:rPr>
                  </w:pPr>
                </w:p>
              </w:tc>
              <w:tc>
                <w:tcPr>
                  <w:tcW w:w="0" w:type="auto"/>
                  <w:vAlign w:val="center"/>
                </w:tcPr>
                <w:p w14:paraId="65236C60">
                  <w:pPr>
                    <w:jc w:val="center"/>
                    <w:rPr>
                      <w:rFonts w:ascii="Times New Roman" w:hAnsi="Times New Roman" w:eastAsia="宋体" w:cs="Times New Roman"/>
                      <w:szCs w:val="21"/>
                    </w:rPr>
                  </w:pPr>
                  <w:r>
                    <w:rPr>
                      <w:rFonts w:ascii="Times New Roman" w:hAnsi="Times New Roman" w:eastAsia="宋体" w:cs="Times New Roman"/>
                      <w:szCs w:val="21"/>
                    </w:rPr>
                    <w:t>长度</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0" w:type="auto"/>
                  <w:vAlign w:val="center"/>
                </w:tcPr>
                <w:p w14:paraId="1B0192A4">
                  <w:pPr>
                    <w:jc w:val="center"/>
                    <w:rPr>
                      <w:rFonts w:ascii="Times New Roman" w:hAnsi="Times New Roman" w:eastAsia="宋体" w:cs="Times New Roman"/>
                      <w:szCs w:val="21"/>
                    </w:rPr>
                  </w:pPr>
                  <w:r>
                    <w:rPr>
                      <w:rFonts w:ascii="Times New Roman" w:hAnsi="Times New Roman" w:eastAsia="宋体" w:cs="Times New Roman"/>
                      <w:szCs w:val="21"/>
                    </w:rPr>
                    <w:t>宽度</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0" w:type="auto"/>
                  <w:vAlign w:val="center"/>
                </w:tcPr>
                <w:p w14:paraId="26636968">
                  <w:pPr>
                    <w:jc w:val="center"/>
                    <w:rPr>
                      <w:rFonts w:ascii="Times New Roman" w:hAnsi="Times New Roman" w:eastAsia="宋体" w:cs="Times New Roman"/>
                      <w:szCs w:val="21"/>
                    </w:rPr>
                  </w:pPr>
                  <w:r>
                    <w:rPr>
                      <w:rFonts w:ascii="Times New Roman" w:hAnsi="Times New Roman" w:eastAsia="宋体" w:cs="Times New Roman"/>
                      <w:szCs w:val="21"/>
                    </w:rPr>
                    <w:t>有效高度</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0" w:type="auto"/>
                  <w:vAlign w:val="center"/>
                </w:tcPr>
                <w:p w14:paraId="4ECF8DBA">
                  <w:pPr>
                    <w:jc w:val="center"/>
                    <w:rPr>
                      <w:rFonts w:ascii="Times New Roman" w:hAnsi="Times New Roman" w:eastAsia="宋体" w:cs="Times New Roman"/>
                      <w:szCs w:val="21"/>
                    </w:rPr>
                  </w:pPr>
                  <w:r>
                    <w:rPr>
                      <w:rFonts w:ascii="Times New Roman" w:hAnsi="Times New Roman" w:eastAsia="宋体" w:cs="Times New Roman"/>
                      <w:szCs w:val="21"/>
                    </w:rPr>
                    <w:t>TSP</w:t>
                  </w:r>
                </w:p>
              </w:tc>
            </w:tr>
            <w:tr w14:paraId="0ACE307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0" w:type="auto"/>
                  <w:vAlign w:val="center"/>
                </w:tcPr>
                <w:p w14:paraId="53DC92C6">
                  <w:pPr>
                    <w:jc w:val="center"/>
                    <w:rPr>
                      <w:rFonts w:ascii="Times New Roman" w:hAnsi="Times New Roman" w:eastAsia="宋体" w:cs="Times New Roman"/>
                      <w:szCs w:val="21"/>
                    </w:rPr>
                  </w:pPr>
                  <w:r>
                    <w:rPr>
                      <w:rFonts w:hint="eastAsia" w:ascii="Times New Roman" w:hAnsi="Times New Roman" w:eastAsia="宋体" w:cs="Times New Roman"/>
                      <w:szCs w:val="21"/>
                    </w:rPr>
                    <w:t>车间</w:t>
                  </w:r>
                  <w:r>
                    <w:rPr>
                      <w:rFonts w:ascii="Times New Roman" w:hAnsi="Times New Roman" w:eastAsia="宋体" w:cs="Times New Roman"/>
                      <w:szCs w:val="21"/>
                    </w:rPr>
                    <w:t>面源</w:t>
                  </w:r>
                </w:p>
              </w:tc>
              <w:tc>
                <w:tcPr>
                  <w:tcW w:w="0" w:type="auto"/>
                  <w:vAlign w:val="center"/>
                </w:tcPr>
                <w:p w14:paraId="4FF7880D">
                  <w:pPr>
                    <w:jc w:val="center"/>
                    <w:rPr>
                      <w:rFonts w:ascii="Times New Roman" w:hAnsi="Times New Roman" w:eastAsia="宋体" w:cs="Times New Roman"/>
                      <w:szCs w:val="21"/>
                    </w:rPr>
                  </w:pPr>
                  <w:r>
                    <w:rPr>
                      <w:rFonts w:ascii="Times New Roman" w:hAnsi="Times New Roman" w:eastAsia="宋体" w:cs="Times New Roman"/>
                      <w:szCs w:val="21"/>
                    </w:rPr>
                    <w:t>103.230238</w:t>
                  </w:r>
                </w:p>
              </w:tc>
              <w:tc>
                <w:tcPr>
                  <w:tcW w:w="0" w:type="auto"/>
                  <w:vAlign w:val="center"/>
                </w:tcPr>
                <w:p w14:paraId="662B378F">
                  <w:pPr>
                    <w:jc w:val="center"/>
                    <w:rPr>
                      <w:rFonts w:ascii="Times New Roman" w:hAnsi="Times New Roman" w:eastAsia="宋体" w:cs="Times New Roman"/>
                      <w:szCs w:val="21"/>
                    </w:rPr>
                  </w:pPr>
                  <w:r>
                    <w:rPr>
                      <w:rFonts w:ascii="Times New Roman" w:hAnsi="Times New Roman" w:eastAsia="宋体" w:cs="Times New Roman"/>
                      <w:szCs w:val="21"/>
                    </w:rPr>
                    <w:t>29.197706</w:t>
                  </w:r>
                </w:p>
              </w:tc>
              <w:tc>
                <w:tcPr>
                  <w:tcW w:w="0" w:type="auto"/>
                  <w:vAlign w:val="center"/>
                </w:tcPr>
                <w:p w14:paraId="22FF44D0">
                  <w:pPr>
                    <w:jc w:val="center"/>
                    <w:rPr>
                      <w:rFonts w:ascii="Times New Roman" w:hAnsi="Times New Roman" w:eastAsia="宋体" w:cs="Times New Roman"/>
                      <w:szCs w:val="21"/>
                    </w:rPr>
                  </w:pPr>
                  <w:r>
                    <w:rPr>
                      <w:rFonts w:ascii="Times New Roman" w:hAnsi="Times New Roman" w:eastAsia="宋体" w:cs="Times New Roman"/>
                      <w:szCs w:val="21"/>
                    </w:rPr>
                    <w:t>675.00</w:t>
                  </w:r>
                </w:p>
              </w:tc>
              <w:tc>
                <w:tcPr>
                  <w:tcW w:w="0" w:type="auto"/>
                  <w:vAlign w:val="center"/>
                </w:tcPr>
                <w:p w14:paraId="35FFAD90">
                  <w:pPr>
                    <w:jc w:val="center"/>
                    <w:rPr>
                      <w:rFonts w:ascii="Times New Roman" w:hAnsi="Times New Roman" w:eastAsia="宋体" w:cs="Times New Roman"/>
                      <w:szCs w:val="21"/>
                    </w:rPr>
                  </w:pPr>
                  <w:r>
                    <w:rPr>
                      <w:rFonts w:ascii="Times New Roman" w:hAnsi="Times New Roman" w:eastAsia="宋体" w:cs="Times New Roman"/>
                      <w:szCs w:val="21"/>
                    </w:rPr>
                    <w:t>20.00</w:t>
                  </w:r>
                </w:p>
              </w:tc>
              <w:tc>
                <w:tcPr>
                  <w:tcW w:w="0" w:type="auto"/>
                  <w:vAlign w:val="center"/>
                </w:tcPr>
                <w:p w14:paraId="2CB24A86">
                  <w:pPr>
                    <w:jc w:val="center"/>
                    <w:rPr>
                      <w:rFonts w:ascii="Times New Roman" w:hAnsi="Times New Roman" w:eastAsia="宋体" w:cs="Times New Roman"/>
                      <w:szCs w:val="21"/>
                    </w:rPr>
                  </w:pPr>
                  <w:r>
                    <w:rPr>
                      <w:rFonts w:ascii="Times New Roman" w:hAnsi="Times New Roman" w:eastAsia="宋体" w:cs="Times New Roman"/>
                      <w:szCs w:val="21"/>
                    </w:rPr>
                    <w:t>20.00</w:t>
                  </w:r>
                </w:p>
              </w:tc>
              <w:tc>
                <w:tcPr>
                  <w:tcW w:w="0" w:type="auto"/>
                  <w:vAlign w:val="center"/>
                </w:tcPr>
                <w:p w14:paraId="4EE1CF05">
                  <w:pPr>
                    <w:jc w:val="center"/>
                    <w:rPr>
                      <w:rFonts w:ascii="Times New Roman" w:hAnsi="Times New Roman" w:eastAsia="宋体" w:cs="Times New Roman"/>
                      <w:szCs w:val="21"/>
                    </w:rPr>
                  </w:pPr>
                  <w:r>
                    <w:rPr>
                      <w:rFonts w:ascii="Times New Roman" w:hAnsi="Times New Roman" w:eastAsia="宋体" w:cs="Times New Roman"/>
                      <w:szCs w:val="21"/>
                    </w:rPr>
                    <w:t>18.00</w:t>
                  </w:r>
                </w:p>
              </w:tc>
              <w:tc>
                <w:tcPr>
                  <w:tcW w:w="0" w:type="auto"/>
                  <w:vAlign w:val="center"/>
                </w:tcPr>
                <w:p w14:paraId="47CFD293">
                  <w:pPr>
                    <w:jc w:val="center"/>
                    <w:rPr>
                      <w:rFonts w:ascii="Times New Roman" w:hAnsi="Times New Roman" w:eastAsia="宋体" w:cs="Times New Roman"/>
                      <w:szCs w:val="21"/>
                    </w:rPr>
                  </w:pPr>
                  <w:r>
                    <w:rPr>
                      <w:rFonts w:ascii="Times New Roman" w:hAnsi="Times New Roman" w:eastAsia="宋体" w:cs="Times New Roman"/>
                      <w:szCs w:val="21"/>
                    </w:rPr>
                    <w:t>0.0830</w:t>
                  </w:r>
                </w:p>
              </w:tc>
            </w:tr>
          </w:tbl>
          <w:p w14:paraId="2326F225">
            <w:pPr>
              <w:adjustRightInd w:val="0"/>
              <w:snapToGrid w:val="0"/>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表7-6  主要废气污染源参数一览表</w:t>
            </w:r>
            <w:r>
              <w:rPr>
                <w:rFonts w:hint="eastAsia" w:ascii="Times New Roman" w:hAnsi="Times New Roman" w:eastAsia="宋体" w:cs="Times New Roman"/>
                <w:bCs/>
                <w:sz w:val="24"/>
                <w:lang w:eastAsia="zh-CN"/>
              </w:rPr>
              <w:t>（</w:t>
            </w:r>
            <w:r>
              <w:rPr>
                <w:rFonts w:hint="eastAsia" w:ascii="Times New Roman" w:hAnsi="Times New Roman" w:eastAsia="宋体" w:cs="Times New Roman"/>
                <w:bCs/>
                <w:sz w:val="24"/>
              </w:rPr>
              <w:t>装卸扬尘</w:t>
            </w:r>
            <w:r>
              <w:rPr>
                <w:rFonts w:hint="eastAsia" w:ascii="Times New Roman" w:hAnsi="Times New Roman" w:eastAsia="宋体" w:cs="Times New Roman"/>
                <w:bCs/>
                <w:sz w:val="24"/>
                <w:lang w:eastAsia="zh-CN"/>
              </w:rPr>
              <w:t>）</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426"/>
              <w:gridCol w:w="1214"/>
              <w:gridCol w:w="1592"/>
              <w:gridCol w:w="831"/>
              <w:gridCol w:w="813"/>
              <w:gridCol w:w="800"/>
              <w:gridCol w:w="800"/>
              <w:gridCol w:w="796"/>
              <w:gridCol w:w="1010"/>
            </w:tblGrid>
            <w:tr w14:paraId="351C179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3" w:type="pct"/>
                  <w:vMerge w:val="restart"/>
                  <w:vAlign w:val="center"/>
                </w:tcPr>
                <w:p w14:paraId="28243AE7">
                  <w:pPr>
                    <w:jc w:val="center"/>
                    <w:rPr>
                      <w:rFonts w:ascii="Times New Roman" w:hAnsi="Times New Roman" w:eastAsia="宋体" w:cs="Times New Roman"/>
                      <w:szCs w:val="21"/>
                    </w:rPr>
                  </w:pPr>
                  <w:r>
                    <w:rPr>
                      <w:rFonts w:ascii="Times New Roman" w:hAnsi="Times New Roman" w:eastAsia="宋体" w:cs="Times New Roman"/>
                      <w:szCs w:val="21"/>
                    </w:rPr>
                    <w:t>污染源名称</w:t>
                  </w:r>
                </w:p>
              </w:tc>
              <w:tc>
                <w:tcPr>
                  <w:tcW w:w="1574" w:type="pct"/>
                  <w:gridSpan w:val="2"/>
                  <w:vAlign w:val="center"/>
                </w:tcPr>
                <w:p w14:paraId="10F47202">
                  <w:pPr>
                    <w:jc w:val="center"/>
                    <w:rPr>
                      <w:rFonts w:ascii="Times New Roman" w:hAnsi="Times New Roman" w:eastAsia="宋体" w:cs="Times New Roman"/>
                      <w:szCs w:val="21"/>
                    </w:rPr>
                  </w:pPr>
                  <w:r>
                    <w:rPr>
                      <w:rFonts w:ascii="Times New Roman" w:hAnsi="Times New Roman" w:eastAsia="宋体" w:cs="Times New Roman"/>
                      <w:szCs w:val="21"/>
                    </w:rPr>
                    <w:t>中心点坐标</w:t>
                  </w:r>
                  <w:r>
                    <w:rPr>
                      <w:rFonts w:hint="eastAsia" w:ascii="Times New Roman" w:hAnsi="Times New Roman" w:eastAsia="宋体" w:cs="Times New Roman"/>
                      <w:szCs w:val="21"/>
                      <w:lang w:eastAsia="zh-CN"/>
                    </w:rPr>
                    <w:t>（</w:t>
                  </w:r>
                  <w:r>
                    <w:rPr>
                      <w:rFonts w:ascii="Times New Roman" w:hAnsi="Times New Roman" w:eastAsia="宋体" w:cs="Times New Roman"/>
                      <w:szCs w:val="21"/>
                    </w:rPr>
                    <w:t>°</w:t>
                  </w:r>
                  <w:r>
                    <w:rPr>
                      <w:rFonts w:hint="eastAsia" w:ascii="Times New Roman" w:hAnsi="Times New Roman" w:eastAsia="宋体" w:cs="Times New Roman"/>
                      <w:szCs w:val="21"/>
                      <w:lang w:eastAsia="zh-CN"/>
                    </w:rPr>
                    <w:t>）</w:t>
                  </w:r>
                </w:p>
              </w:tc>
              <w:tc>
                <w:tcPr>
                  <w:tcW w:w="556" w:type="pct"/>
                  <w:vMerge w:val="restart"/>
                  <w:vAlign w:val="center"/>
                </w:tcPr>
                <w:p w14:paraId="0CC67226">
                  <w:pPr>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海拔（</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545" w:type="pct"/>
                  <w:vMerge w:val="restart"/>
                  <w:vAlign w:val="center"/>
                </w:tcPr>
                <w:p w14:paraId="3415D0DB">
                  <w:pPr>
                    <w:jc w:val="center"/>
                    <w:rPr>
                      <w:rFonts w:ascii="Times New Roman" w:hAnsi="Times New Roman" w:eastAsia="宋体" w:cs="Times New Roman"/>
                      <w:szCs w:val="21"/>
                    </w:rPr>
                  </w:pPr>
                  <w:r>
                    <w:rPr>
                      <w:rFonts w:ascii="Times New Roman" w:hAnsi="Times New Roman" w:eastAsia="宋体" w:cs="Times New Roman"/>
                      <w:szCs w:val="21"/>
                    </w:rPr>
                    <w:t>面源有效排放高度</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482" w:type="pct"/>
                  <w:vMerge w:val="restart"/>
                  <w:vAlign w:val="center"/>
                </w:tcPr>
                <w:p w14:paraId="43FA2C1D">
                  <w:pPr>
                    <w:jc w:val="center"/>
                    <w:rPr>
                      <w:rFonts w:ascii="Times New Roman" w:hAnsi="Times New Roman" w:eastAsia="宋体" w:cs="Times New Roman"/>
                      <w:szCs w:val="21"/>
                    </w:rPr>
                  </w:pPr>
                  <w:r>
                    <w:rPr>
                      <w:rFonts w:ascii="Times New Roman" w:hAnsi="Times New Roman" w:eastAsia="宋体" w:cs="Times New Roman"/>
                      <w:szCs w:val="21"/>
                    </w:rPr>
                    <w:t>初始垂向扩散参数</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460" w:type="pct"/>
                  <w:vMerge w:val="restart"/>
                  <w:vAlign w:val="center"/>
                </w:tcPr>
                <w:p w14:paraId="6F7B241B">
                  <w:pPr>
                    <w:jc w:val="center"/>
                    <w:rPr>
                      <w:rFonts w:ascii="Times New Roman" w:hAnsi="Times New Roman" w:eastAsia="宋体" w:cs="Times New Roman"/>
                      <w:szCs w:val="21"/>
                    </w:rPr>
                  </w:pPr>
                  <w:r>
                    <w:rPr>
                      <w:rFonts w:ascii="Times New Roman" w:hAnsi="Times New Roman" w:eastAsia="宋体" w:cs="Times New Roman"/>
                      <w:szCs w:val="21"/>
                    </w:rPr>
                    <w:t>圆形面源半径</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535" w:type="pct"/>
                  <w:vMerge w:val="restart"/>
                  <w:vAlign w:val="center"/>
                </w:tcPr>
                <w:p w14:paraId="62251C43">
                  <w:pPr>
                    <w:jc w:val="center"/>
                    <w:rPr>
                      <w:rFonts w:ascii="Times New Roman" w:hAnsi="Times New Roman" w:eastAsia="宋体" w:cs="Times New Roman"/>
                      <w:szCs w:val="21"/>
                    </w:rPr>
                  </w:pPr>
                  <w:r>
                    <w:rPr>
                      <w:rFonts w:ascii="Times New Roman" w:hAnsi="Times New Roman" w:eastAsia="宋体" w:cs="Times New Roman"/>
                      <w:szCs w:val="21"/>
                    </w:rPr>
                    <w:t>近圆形面源的顶点或边的个数</w:t>
                  </w:r>
                </w:p>
              </w:tc>
              <w:tc>
                <w:tcPr>
                  <w:tcW w:w="545" w:type="pct"/>
                  <w:vAlign w:val="center"/>
                </w:tcPr>
                <w:p w14:paraId="44BA2B4E">
                  <w:pPr>
                    <w:jc w:val="center"/>
                    <w:rPr>
                      <w:rFonts w:ascii="Times New Roman" w:hAnsi="Times New Roman" w:eastAsia="宋体" w:cs="Times New Roman"/>
                      <w:szCs w:val="21"/>
                    </w:rPr>
                  </w:pPr>
                  <w:r>
                    <w:rPr>
                      <w:rFonts w:ascii="Times New Roman" w:hAnsi="Times New Roman" w:eastAsia="宋体" w:cs="Times New Roman"/>
                      <w:szCs w:val="21"/>
                    </w:rPr>
                    <w:t>污染物排放速率</w:t>
                  </w:r>
                  <w:r>
                    <w:rPr>
                      <w:rFonts w:hint="eastAsia" w:ascii="Times New Roman" w:hAnsi="Times New Roman" w:eastAsia="宋体" w:cs="Times New Roman"/>
                      <w:szCs w:val="21"/>
                      <w:lang w:eastAsia="zh-CN"/>
                    </w:rPr>
                    <w:t>（</w:t>
                  </w:r>
                  <w:r>
                    <w:rPr>
                      <w:rFonts w:ascii="Times New Roman" w:hAnsi="Times New Roman" w:eastAsia="宋体" w:cs="Times New Roman"/>
                      <w:szCs w:val="21"/>
                    </w:rPr>
                    <w:t>kg/h</w:t>
                  </w:r>
                  <w:r>
                    <w:rPr>
                      <w:rFonts w:hint="eastAsia" w:ascii="Times New Roman" w:hAnsi="Times New Roman" w:eastAsia="宋体" w:cs="Times New Roman"/>
                      <w:szCs w:val="21"/>
                      <w:lang w:eastAsia="zh-CN"/>
                    </w:rPr>
                    <w:t>）</w:t>
                  </w:r>
                </w:p>
              </w:tc>
            </w:tr>
            <w:tr w14:paraId="0392FD1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3" w:type="pct"/>
                  <w:vMerge w:val="continue"/>
                  <w:vAlign w:val="center"/>
                </w:tcPr>
                <w:p w14:paraId="11C0F36A">
                  <w:pPr>
                    <w:jc w:val="center"/>
                    <w:rPr>
                      <w:rFonts w:ascii="Times New Roman" w:hAnsi="Times New Roman" w:eastAsia="宋体" w:cs="Times New Roman"/>
                      <w:szCs w:val="21"/>
                    </w:rPr>
                  </w:pPr>
                </w:p>
              </w:tc>
              <w:tc>
                <w:tcPr>
                  <w:tcW w:w="550" w:type="pct"/>
                  <w:vAlign w:val="center"/>
                </w:tcPr>
                <w:p w14:paraId="3246E5E7">
                  <w:pPr>
                    <w:jc w:val="center"/>
                    <w:rPr>
                      <w:rFonts w:ascii="Times New Roman" w:hAnsi="Times New Roman" w:eastAsia="宋体" w:cs="Times New Roman"/>
                      <w:szCs w:val="21"/>
                    </w:rPr>
                  </w:pPr>
                  <w:r>
                    <w:rPr>
                      <w:rFonts w:ascii="Times New Roman" w:hAnsi="Times New Roman" w:eastAsia="宋体" w:cs="Times New Roman"/>
                      <w:szCs w:val="21"/>
                    </w:rPr>
                    <w:t>经度</w:t>
                  </w:r>
                </w:p>
              </w:tc>
              <w:tc>
                <w:tcPr>
                  <w:tcW w:w="1024" w:type="pct"/>
                  <w:vAlign w:val="center"/>
                </w:tcPr>
                <w:p w14:paraId="64EE91D4">
                  <w:pPr>
                    <w:jc w:val="center"/>
                    <w:rPr>
                      <w:rFonts w:ascii="Times New Roman" w:hAnsi="Times New Roman" w:eastAsia="宋体" w:cs="Times New Roman"/>
                      <w:szCs w:val="21"/>
                    </w:rPr>
                  </w:pPr>
                  <w:r>
                    <w:rPr>
                      <w:rFonts w:ascii="Times New Roman" w:hAnsi="Times New Roman" w:eastAsia="宋体" w:cs="Times New Roman"/>
                      <w:szCs w:val="21"/>
                    </w:rPr>
                    <w:t>纬度</w:t>
                  </w:r>
                </w:p>
              </w:tc>
              <w:tc>
                <w:tcPr>
                  <w:tcW w:w="556" w:type="pct"/>
                  <w:vMerge w:val="continue"/>
                  <w:vAlign w:val="center"/>
                </w:tcPr>
                <w:p w14:paraId="2F5D53B9">
                  <w:pPr>
                    <w:jc w:val="center"/>
                    <w:rPr>
                      <w:rFonts w:ascii="Times New Roman" w:hAnsi="Times New Roman" w:eastAsia="宋体" w:cs="Times New Roman"/>
                      <w:szCs w:val="21"/>
                    </w:rPr>
                  </w:pPr>
                </w:p>
              </w:tc>
              <w:tc>
                <w:tcPr>
                  <w:tcW w:w="545" w:type="pct"/>
                  <w:vMerge w:val="continue"/>
                  <w:vAlign w:val="center"/>
                </w:tcPr>
                <w:p w14:paraId="2A61B4A7">
                  <w:pPr>
                    <w:jc w:val="center"/>
                    <w:rPr>
                      <w:rFonts w:ascii="Times New Roman" w:hAnsi="Times New Roman" w:eastAsia="宋体" w:cs="Times New Roman"/>
                      <w:szCs w:val="21"/>
                    </w:rPr>
                  </w:pPr>
                </w:p>
              </w:tc>
              <w:tc>
                <w:tcPr>
                  <w:tcW w:w="482" w:type="pct"/>
                  <w:vMerge w:val="continue"/>
                  <w:vAlign w:val="center"/>
                </w:tcPr>
                <w:p w14:paraId="015C3959">
                  <w:pPr>
                    <w:jc w:val="center"/>
                    <w:rPr>
                      <w:rFonts w:ascii="Times New Roman" w:hAnsi="Times New Roman" w:eastAsia="宋体" w:cs="Times New Roman"/>
                      <w:szCs w:val="21"/>
                    </w:rPr>
                  </w:pPr>
                </w:p>
              </w:tc>
              <w:tc>
                <w:tcPr>
                  <w:tcW w:w="460" w:type="pct"/>
                  <w:vMerge w:val="continue"/>
                  <w:vAlign w:val="center"/>
                </w:tcPr>
                <w:p w14:paraId="4A10B42B">
                  <w:pPr>
                    <w:jc w:val="center"/>
                    <w:rPr>
                      <w:rFonts w:ascii="Times New Roman" w:hAnsi="Times New Roman" w:eastAsia="宋体" w:cs="Times New Roman"/>
                      <w:szCs w:val="21"/>
                    </w:rPr>
                  </w:pPr>
                </w:p>
              </w:tc>
              <w:tc>
                <w:tcPr>
                  <w:tcW w:w="535" w:type="pct"/>
                  <w:vMerge w:val="continue"/>
                  <w:vAlign w:val="center"/>
                </w:tcPr>
                <w:p w14:paraId="7DDCAF3C">
                  <w:pPr>
                    <w:jc w:val="center"/>
                    <w:rPr>
                      <w:rFonts w:ascii="Times New Roman" w:hAnsi="Times New Roman" w:eastAsia="宋体" w:cs="Times New Roman"/>
                      <w:szCs w:val="21"/>
                    </w:rPr>
                  </w:pPr>
                </w:p>
              </w:tc>
              <w:tc>
                <w:tcPr>
                  <w:tcW w:w="545" w:type="pct"/>
                  <w:vAlign w:val="center"/>
                </w:tcPr>
                <w:p w14:paraId="163B7F65">
                  <w:pPr>
                    <w:jc w:val="center"/>
                    <w:rPr>
                      <w:rFonts w:ascii="Times New Roman" w:hAnsi="Times New Roman" w:eastAsia="宋体" w:cs="Times New Roman"/>
                      <w:szCs w:val="21"/>
                    </w:rPr>
                  </w:pPr>
                  <w:r>
                    <w:rPr>
                      <w:rFonts w:ascii="Times New Roman" w:hAnsi="Times New Roman" w:eastAsia="宋体" w:cs="Times New Roman"/>
                      <w:szCs w:val="21"/>
                    </w:rPr>
                    <w:t>TSP</w:t>
                  </w:r>
                </w:p>
              </w:tc>
            </w:tr>
            <w:tr w14:paraId="7B6562F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3" w:type="pct"/>
                  <w:vAlign w:val="center"/>
                </w:tcPr>
                <w:p w14:paraId="39033192">
                  <w:pPr>
                    <w:jc w:val="center"/>
                    <w:rPr>
                      <w:rFonts w:ascii="Times New Roman" w:hAnsi="Times New Roman" w:eastAsia="宋体" w:cs="Times New Roman"/>
                      <w:szCs w:val="21"/>
                    </w:rPr>
                  </w:pPr>
                  <w:r>
                    <w:rPr>
                      <w:rFonts w:ascii="Times New Roman" w:hAnsi="Times New Roman" w:eastAsia="宋体" w:cs="Times New Roman"/>
                      <w:szCs w:val="21"/>
                    </w:rPr>
                    <w:t>装卸扬尘</w:t>
                  </w:r>
                </w:p>
              </w:tc>
              <w:tc>
                <w:tcPr>
                  <w:tcW w:w="550" w:type="pct"/>
                  <w:vAlign w:val="center"/>
                </w:tcPr>
                <w:p w14:paraId="4A9170F3">
                  <w:pPr>
                    <w:jc w:val="center"/>
                    <w:rPr>
                      <w:rFonts w:ascii="Times New Roman" w:hAnsi="Times New Roman" w:eastAsia="宋体" w:cs="Times New Roman"/>
                      <w:szCs w:val="21"/>
                    </w:rPr>
                  </w:pPr>
                  <w:r>
                    <w:rPr>
                      <w:rFonts w:ascii="Times New Roman" w:hAnsi="Times New Roman" w:eastAsia="宋体" w:cs="Times New Roman"/>
                      <w:szCs w:val="21"/>
                    </w:rPr>
                    <w:t>103.230298</w:t>
                  </w:r>
                </w:p>
              </w:tc>
              <w:tc>
                <w:tcPr>
                  <w:tcW w:w="1024" w:type="pct"/>
                  <w:vAlign w:val="center"/>
                </w:tcPr>
                <w:p w14:paraId="48A6FBFC">
                  <w:pPr>
                    <w:jc w:val="center"/>
                    <w:rPr>
                      <w:rFonts w:ascii="Times New Roman" w:hAnsi="Times New Roman" w:eastAsia="宋体" w:cs="Times New Roman"/>
                      <w:szCs w:val="21"/>
                    </w:rPr>
                  </w:pPr>
                  <w:r>
                    <w:rPr>
                      <w:rFonts w:ascii="Times New Roman" w:hAnsi="Times New Roman" w:eastAsia="宋体" w:cs="Times New Roman"/>
                      <w:szCs w:val="21"/>
                    </w:rPr>
                    <w:t>29.197723</w:t>
                  </w:r>
                </w:p>
              </w:tc>
              <w:tc>
                <w:tcPr>
                  <w:tcW w:w="556" w:type="pct"/>
                  <w:vAlign w:val="center"/>
                </w:tcPr>
                <w:p w14:paraId="491DC6FE">
                  <w:pPr>
                    <w:jc w:val="center"/>
                    <w:rPr>
                      <w:rFonts w:ascii="Times New Roman" w:hAnsi="Times New Roman" w:eastAsia="宋体" w:cs="Times New Roman"/>
                      <w:szCs w:val="21"/>
                    </w:rPr>
                  </w:pPr>
                  <w:r>
                    <w:rPr>
                      <w:rFonts w:ascii="Times New Roman" w:hAnsi="Times New Roman" w:eastAsia="宋体" w:cs="Times New Roman"/>
                      <w:szCs w:val="21"/>
                    </w:rPr>
                    <w:t>675.00</w:t>
                  </w:r>
                </w:p>
              </w:tc>
              <w:tc>
                <w:tcPr>
                  <w:tcW w:w="545" w:type="pct"/>
                  <w:vAlign w:val="center"/>
                </w:tcPr>
                <w:p w14:paraId="1667CCF3">
                  <w:pPr>
                    <w:jc w:val="center"/>
                    <w:rPr>
                      <w:rFonts w:ascii="Times New Roman" w:hAnsi="Times New Roman" w:eastAsia="宋体" w:cs="Times New Roman"/>
                      <w:szCs w:val="21"/>
                    </w:rPr>
                  </w:pPr>
                  <w:r>
                    <w:rPr>
                      <w:rFonts w:ascii="Times New Roman" w:hAnsi="Times New Roman" w:eastAsia="宋体" w:cs="Times New Roman"/>
                      <w:szCs w:val="21"/>
                    </w:rPr>
                    <w:t>10.00</w:t>
                  </w:r>
                </w:p>
              </w:tc>
              <w:tc>
                <w:tcPr>
                  <w:tcW w:w="482" w:type="pct"/>
                  <w:vAlign w:val="center"/>
                </w:tcPr>
                <w:p w14:paraId="272E557A">
                  <w:pPr>
                    <w:jc w:val="center"/>
                    <w:rPr>
                      <w:rFonts w:ascii="Times New Roman" w:hAnsi="Times New Roman" w:eastAsia="宋体" w:cs="Times New Roman"/>
                      <w:szCs w:val="21"/>
                    </w:rPr>
                  </w:pPr>
                  <w:r>
                    <w:rPr>
                      <w:rFonts w:ascii="Times New Roman" w:hAnsi="Times New Roman" w:eastAsia="宋体" w:cs="Times New Roman"/>
                      <w:szCs w:val="21"/>
                    </w:rPr>
                    <w:t>4.65</w:t>
                  </w:r>
                </w:p>
              </w:tc>
              <w:tc>
                <w:tcPr>
                  <w:tcW w:w="460" w:type="pct"/>
                  <w:vAlign w:val="center"/>
                </w:tcPr>
                <w:p w14:paraId="379202EF">
                  <w:pPr>
                    <w:jc w:val="center"/>
                    <w:rPr>
                      <w:rFonts w:ascii="Times New Roman" w:hAnsi="Times New Roman" w:eastAsia="宋体" w:cs="Times New Roman"/>
                      <w:szCs w:val="21"/>
                    </w:rPr>
                  </w:pPr>
                  <w:r>
                    <w:rPr>
                      <w:rFonts w:ascii="Times New Roman" w:hAnsi="Times New Roman" w:eastAsia="宋体" w:cs="Times New Roman"/>
                      <w:szCs w:val="21"/>
                    </w:rPr>
                    <w:t>5.35</w:t>
                  </w:r>
                </w:p>
              </w:tc>
              <w:tc>
                <w:tcPr>
                  <w:tcW w:w="535" w:type="pct"/>
                  <w:vAlign w:val="center"/>
                </w:tcPr>
                <w:p w14:paraId="77876DF4">
                  <w:pPr>
                    <w:jc w:val="center"/>
                    <w:rPr>
                      <w:rFonts w:ascii="Times New Roman" w:hAnsi="Times New Roman" w:eastAsia="宋体" w:cs="Times New Roman"/>
                      <w:szCs w:val="21"/>
                    </w:rPr>
                  </w:pPr>
                  <w:r>
                    <w:rPr>
                      <w:rFonts w:ascii="Times New Roman" w:hAnsi="Times New Roman" w:eastAsia="宋体" w:cs="Times New Roman"/>
                      <w:szCs w:val="21"/>
                    </w:rPr>
                    <w:t>20</w:t>
                  </w:r>
                </w:p>
              </w:tc>
              <w:tc>
                <w:tcPr>
                  <w:tcW w:w="545" w:type="pct"/>
                  <w:vAlign w:val="center"/>
                </w:tcPr>
                <w:p w14:paraId="21920F65">
                  <w:pPr>
                    <w:jc w:val="center"/>
                    <w:rPr>
                      <w:rFonts w:ascii="Times New Roman" w:hAnsi="Times New Roman" w:eastAsia="宋体" w:cs="Times New Roman"/>
                      <w:szCs w:val="21"/>
                    </w:rPr>
                  </w:pPr>
                  <w:r>
                    <w:rPr>
                      <w:rFonts w:ascii="Times New Roman" w:hAnsi="Times New Roman" w:eastAsia="宋体" w:cs="Times New Roman"/>
                      <w:szCs w:val="21"/>
                    </w:rPr>
                    <w:t>0.0250</w:t>
                  </w:r>
                </w:p>
              </w:tc>
            </w:tr>
          </w:tbl>
          <w:p w14:paraId="7B919BCD">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（5）估算模式所用参数见表。</w:t>
            </w:r>
          </w:p>
          <w:p w14:paraId="1C13092D">
            <w:pPr>
              <w:adjustRightInd w:val="0"/>
              <w:snapToGrid w:val="0"/>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表7-7  估算模型参数表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761"/>
              <w:gridCol w:w="2761"/>
              <w:gridCol w:w="2760"/>
            </w:tblGrid>
            <w:tr w14:paraId="605F37E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3334" w:type="pct"/>
                  <w:gridSpan w:val="2"/>
                  <w:vAlign w:val="center"/>
                </w:tcPr>
                <w:p w14:paraId="2153C703">
                  <w:pPr>
                    <w:jc w:val="center"/>
                    <w:rPr>
                      <w:rFonts w:ascii="Times New Roman" w:hAnsi="Times New Roman" w:eastAsia="宋体" w:cs="Times New Roman"/>
                      <w:szCs w:val="21"/>
                    </w:rPr>
                  </w:pPr>
                  <w:r>
                    <w:rPr>
                      <w:rFonts w:ascii="Times New Roman" w:hAnsi="Times New Roman" w:eastAsia="宋体" w:cs="Times New Roman"/>
                      <w:szCs w:val="21"/>
                    </w:rPr>
                    <w:t>参数</w:t>
                  </w:r>
                </w:p>
              </w:tc>
              <w:tc>
                <w:tcPr>
                  <w:tcW w:w="1666" w:type="pct"/>
                  <w:vAlign w:val="center"/>
                </w:tcPr>
                <w:p w14:paraId="26067264">
                  <w:pPr>
                    <w:jc w:val="center"/>
                    <w:rPr>
                      <w:rFonts w:ascii="Times New Roman" w:hAnsi="Times New Roman" w:eastAsia="宋体" w:cs="Times New Roman"/>
                      <w:szCs w:val="21"/>
                    </w:rPr>
                  </w:pPr>
                  <w:r>
                    <w:rPr>
                      <w:rFonts w:ascii="Times New Roman" w:hAnsi="Times New Roman" w:eastAsia="宋体" w:cs="Times New Roman"/>
                      <w:szCs w:val="21"/>
                    </w:rPr>
                    <w:t>取值</w:t>
                  </w:r>
                </w:p>
              </w:tc>
            </w:tr>
            <w:tr w14:paraId="6AAC743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restart"/>
                  <w:vAlign w:val="center"/>
                </w:tcPr>
                <w:p w14:paraId="3FF15185">
                  <w:pPr>
                    <w:jc w:val="center"/>
                    <w:rPr>
                      <w:rFonts w:ascii="Times New Roman" w:hAnsi="Times New Roman" w:eastAsia="宋体" w:cs="Times New Roman"/>
                      <w:szCs w:val="21"/>
                    </w:rPr>
                  </w:pPr>
                  <w:r>
                    <w:rPr>
                      <w:rFonts w:ascii="Times New Roman" w:hAnsi="Times New Roman" w:eastAsia="宋体" w:cs="Times New Roman"/>
                      <w:szCs w:val="21"/>
                    </w:rPr>
                    <w:t>城市/农村选项</w:t>
                  </w:r>
                </w:p>
              </w:tc>
              <w:tc>
                <w:tcPr>
                  <w:tcW w:w="1666" w:type="pct"/>
                  <w:vAlign w:val="center"/>
                </w:tcPr>
                <w:p w14:paraId="27D12DAA">
                  <w:pPr>
                    <w:jc w:val="center"/>
                    <w:rPr>
                      <w:rFonts w:ascii="Times New Roman" w:hAnsi="Times New Roman" w:eastAsia="宋体" w:cs="Times New Roman"/>
                      <w:szCs w:val="21"/>
                    </w:rPr>
                  </w:pPr>
                  <w:r>
                    <w:rPr>
                      <w:rFonts w:ascii="Times New Roman" w:hAnsi="Times New Roman" w:eastAsia="宋体" w:cs="Times New Roman"/>
                      <w:szCs w:val="21"/>
                    </w:rPr>
                    <w:t>城市/农村</w:t>
                  </w:r>
                </w:p>
              </w:tc>
              <w:tc>
                <w:tcPr>
                  <w:tcW w:w="1666" w:type="pct"/>
                  <w:vAlign w:val="center"/>
                </w:tcPr>
                <w:p w14:paraId="1ED19E23">
                  <w:pPr>
                    <w:jc w:val="center"/>
                    <w:rPr>
                      <w:rFonts w:ascii="Times New Roman" w:hAnsi="Times New Roman" w:eastAsia="宋体" w:cs="Times New Roman"/>
                      <w:szCs w:val="21"/>
                    </w:rPr>
                  </w:pPr>
                  <w:r>
                    <w:rPr>
                      <w:rFonts w:ascii="Times New Roman" w:hAnsi="Times New Roman" w:eastAsia="宋体" w:cs="Times New Roman"/>
                      <w:szCs w:val="21"/>
                    </w:rPr>
                    <w:t>农村</w:t>
                  </w:r>
                </w:p>
              </w:tc>
            </w:tr>
            <w:tr w14:paraId="7421899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continue"/>
                  <w:vAlign w:val="center"/>
                </w:tcPr>
                <w:p w14:paraId="74F3311A">
                  <w:pPr>
                    <w:jc w:val="center"/>
                    <w:rPr>
                      <w:rFonts w:ascii="Times New Roman" w:hAnsi="Times New Roman" w:eastAsia="宋体" w:cs="Times New Roman"/>
                      <w:szCs w:val="21"/>
                    </w:rPr>
                  </w:pPr>
                </w:p>
              </w:tc>
              <w:tc>
                <w:tcPr>
                  <w:tcW w:w="1666" w:type="pct"/>
                  <w:vAlign w:val="center"/>
                </w:tcPr>
                <w:p w14:paraId="30AFAB75">
                  <w:pPr>
                    <w:jc w:val="center"/>
                    <w:rPr>
                      <w:rFonts w:ascii="Times New Roman" w:hAnsi="Times New Roman" w:eastAsia="宋体" w:cs="Times New Roman"/>
                      <w:szCs w:val="21"/>
                    </w:rPr>
                  </w:pPr>
                  <w:r>
                    <w:rPr>
                      <w:rFonts w:ascii="Times New Roman" w:hAnsi="Times New Roman" w:eastAsia="宋体" w:cs="Times New Roman"/>
                      <w:szCs w:val="21"/>
                    </w:rPr>
                    <w:t>人口数</w:t>
                  </w:r>
                  <w:r>
                    <w:rPr>
                      <w:rFonts w:hint="eastAsia" w:ascii="Times New Roman" w:hAnsi="Times New Roman" w:eastAsia="宋体" w:cs="Times New Roman"/>
                      <w:szCs w:val="21"/>
                      <w:lang w:eastAsia="zh-CN"/>
                    </w:rPr>
                    <w:t>（</w:t>
                  </w:r>
                  <w:r>
                    <w:rPr>
                      <w:rFonts w:ascii="Times New Roman" w:hAnsi="Times New Roman" w:eastAsia="宋体" w:cs="Times New Roman"/>
                      <w:szCs w:val="21"/>
                    </w:rPr>
                    <w:t>城市人口数</w:t>
                  </w:r>
                  <w:r>
                    <w:rPr>
                      <w:rFonts w:hint="eastAsia" w:ascii="Times New Roman" w:hAnsi="Times New Roman" w:eastAsia="宋体" w:cs="Times New Roman"/>
                      <w:szCs w:val="21"/>
                      <w:lang w:eastAsia="zh-CN"/>
                    </w:rPr>
                    <w:t>）</w:t>
                  </w:r>
                </w:p>
              </w:tc>
              <w:tc>
                <w:tcPr>
                  <w:tcW w:w="1666" w:type="pct"/>
                  <w:vAlign w:val="center"/>
                </w:tcPr>
                <w:p w14:paraId="5E516877">
                  <w:pPr>
                    <w:jc w:val="center"/>
                    <w:rPr>
                      <w:rFonts w:ascii="Times New Roman" w:hAnsi="Times New Roman" w:eastAsia="宋体" w:cs="Times New Roman"/>
                      <w:szCs w:val="21"/>
                    </w:rPr>
                  </w:pPr>
                  <w:r>
                    <w:rPr>
                      <w:rFonts w:ascii="Times New Roman" w:hAnsi="Times New Roman" w:eastAsia="宋体" w:cs="Times New Roman"/>
                      <w:szCs w:val="21"/>
                    </w:rPr>
                    <w:t>/</w:t>
                  </w:r>
                </w:p>
              </w:tc>
            </w:tr>
            <w:tr w14:paraId="6A54E0E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3334" w:type="pct"/>
                  <w:gridSpan w:val="2"/>
                  <w:vAlign w:val="center"/>
                </w:tcPr>
                <w:p w14:paraId="45A7BF44">
                  <w:pPr>
                    <w:jc w:val="center"/>
                    <w:rPr>
                      <w:rFonts w:ascii="Times New Roman" w:hAnsi="Times New Roman" w:eastAsia="宋体" w:cs="Times New Roman"/>
                      <w:szCs w:val="21"/>
                    </w:rPr>
                  </w:pPr>
                  <w:r>
                    <w:rPr>
                      <w:rFonts w:ascii="Times New Roman" w:hAnsi="Times New Roman" w:eastAsia="宋体" w:cs="Times New Roman"/>
                      <w:szCs w:val="21"/>
                    </w:rPr>
                    <w:t>最高环境温度</w:t>
                  </w:r>
                </w:p>
              </w:tc>
              <w:tc>
                <w:tcPr>
                  <w:tcW w:w="1666" w:type="pct"/>
                  <w:vAlign w:val="center"/>
                </w:tcPr>
                <w:p w14:paraId="4F617F13">
                  <w:pPr>
                    <w:jc w:val="center"/>
                    <w:rPr>
                      <w:rFonts w:ascii="Times New Roman" w:hAnsi="Times New Roman" w:eastAsia="宋体" w:cs="Times New Roman"/>
                      <w:szCs w:val="21"/>
                    </w:rPr>
                  </w:pPr>
                  <w:r>
                    <w:rPr>
                      <w:rFonts w:ascii="Times New Roman" w:hAnsi="Times New Roman" w:eastAsia="宋体" w:cs="Times New Roman"/>
                      <w:szCs w:val="21"/>
                    </w:rPr>
                    <w:t>23.9</w:t>
                  </w:r>
                </w:p>
              </w:tc>
            </w:tr>
            <w:tr w14:paraId="2FD6868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3334" w:type="pct"/>
                  <w:gridSpan w:val="2"/>
                  <w:vAlign w:val="center"/>
                </w:tcPr>
                <w:p w14:paraId="5544F86D">
                  <w:pPr>
                    <w:jc w:val="center"/>
                    <w:rPr>
                      <w:rFonts w:ascii="Times New Roman" w:hAnsi="Times New Roman" w:eastAsia="宋体" w:cs="Times New Roman"/>
                      <w:szCs w:val="21"/>
                    </w:rPr>
                  </w:pPr>
                  <w:r>
                    <w:rPr>
                      <w:rFonts w:ascii="Times New Roman" w:hAnsi="Times New Roman" w:eastAsia="宋体" w:cs="Times New Roman"/>
                      <w:szCs w:val="21"/>
                    </w:rPr>
                    <w:t>最低环境温度</w:t>
                  </w:r>
                </w:p>
              </w:tc>
              <w:tc>
                <w:tcPr>
                  <w:tcW w:w="1666" w:type="pct"/>
                  <w:vAlign w:val="center"/>
                </w:tcPr>
                <w:p w14:paraId="51FB46C3">
                  <w:pPr>
                    <w:jc w:val="center"/>
                    <w:rPr>
                      <w:rFonts w:ascii="Times New Roman" w:hAnsi="Times New Roman" w:eastAsia="宋体" w:cs="Times New Roman"/>
                      <w:szCs w:val="21"/>
                    </w:rPr>
                  </w:pPr>
                  <w:r>
                    <w:rPr>
                      <w:rFonts w:ascii="Times New Roman" w:hAnsi="Times New Roman" w:eastAsia="宋体" w:cs="Times New Roman"/>
                      <w:szCs w:val="21"/>
                    </w:rPr>
                    <w:t>-20.9</w:t>
                  </w:r>
                </w:p>
              </w:tc>
            </w:tr>
            <w:tr w14:paraId="12901ED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3334" w:type="pct"/>
                  <w:gridSpan w:val="2"/>
                  <w:vAlign w:val="center"/>
                </w:tcPr>
                <w:p w14:paraId="53F39ACB">
                  <w:pPr>
                    <w:jc w:val="center"/>
                    <w:rPr>
                      <w:rFonts w:ascii="Times New Roman" w:hAnsi="Times New Roman" w:eastAsia="宋体" w:cs="Times New Roman"/>
                      <w:szCs w:val="21"/>
                    </w:rPr>
                  </w:pPr>
                  <w:r>
                    <w:rPr>
                      <w:rFonts w:ascii="Times New Roman" w:hAnsi="Times New Roman" w:eastAsia="宋体" w:cs="Times New Roman"/>
                      <w:szCs w:val="21"/>
                    </w:rPr>
                    <w:t>土地利用类型</w:t>
                  </w:r>
                </w:p>
              </w:tc>
              <w:tc>
                <w:tcPr>
                  <w:tcW w:w="1666" w:type="pct"/>
                  <w:vAlign w:val="center"/>
                </w:tcPr>
                <w:p w14:paraId="43864EF6">
                  <w:pPr>
                    <w:jc w:val="center"/>
                    <w:rPr>
                      <w:rFonts w:ascii="Times New Roman" w:hAnsi="Times New Roman" w:eastAsia="宋体" w:cs="Times New Roman"/>
                      <w:szCs w:val="21"/>
                    </w:rPr>
                  </w:pPr>
                  <w:r>
                    <w:rPr>
                      <w:rFonts w:hint="eastAsia" w:ascii="Times New Roman" w:hAnsi="Times New Roman" w:eastAsia="宋体" w:cs="Times New Roman"/>
                      <w:szCs w:val="21"/>
                    </w:rPr>
                    <w:t>阔叶林</w:t>
                  </w:r>
                </w:p>
              </w:tc>
            </w:tr>
            <w:tr w14:paraId="230B854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3334" w:type="pct"/>
                  <w:gridSpan w:val="2"/>
                  <w:vAlign w:val="center"/>
                </w:tcPr>
                <w:p w14:paraId="3DFAFD89">
                  <w:pPr>
                    <w:jc w:val="center"/>
                    <w:rPr>
                      <w:rFonts w:ascii="Times New Roman" w:hAnsi="Times New Roman" w:eastAsia="宋体" w:cs="Times New Roman"/>
                      <w:szCs w:val="21"/>
                    </w:rPr>
                  </w:pPr>
                  <w:r>
                    <w:rPr>
                      <w:rFonts w:ascii="Times New Roman" w:hAnsi="Times New Roman" w:eastAsia="宋体" w:cs="Times New Roman"/>
                      <w:szCs w:val="21"/>
                    </w:rPr>
                    <w:t>区域湿度条件</w:t>
                  </w:r>
                </w:p>
              </w:tc>
              <w:tc>
                <w:tcPr>
                  <w:tcW w:w="1666" w:type="pct"/>
                  <w:vAlign w:val="center"/>
                </w:tcPr>
                <w:p w14:paraId="60DD40CB">
                  <w:pPr>
                    <w:jc w:val="center"/>
                    <w:rPr>
                      <w:rFonts w:ascii="Times New Roman" w:hAnsi="Times New Roman" w:eastAsia="宋体" w:cs="Times New Roman"/>
                      <w:szCs w:val="21"/>
                    </w:rPr>
                  </w:pPr>
                  <w:r>
                    <w:rPr>
                      <w:rFonts w:ascii="Times New Roman" w:hAnsi="Times New Roman" w:eastAsia="宋体" w:cs="Times New Roman"/>
                      <w:szCs w:val="21"/>
                    </w:rPr>
                    <w:t>潮湿</w:t>
                  </w:r>
                </w:p>
              </w:tc>
            </w:tr>
            <w:tr w14:paraId="52B85AA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restart"/>
                  <w:vAlign w:val="center"/>
                </w:tcPr>
                <w:p w14:paraId="0C051DAF">
                  <w:pPr>
                    <w:jc w:val="center"/>
                    <w:rPr>
                      <w:rFonts w:ascii="Times New Roman" w:hAnsi="Times New Roman" w:eastAsia="宋体" w:cs="Times New Roman"/>
                      <w:szCs w:val="21"/>
                    </w:rPr>
                  </w:pPr>
                  <w:r>
                    <w:rPr>
                      <w:rFonts w:ascii="Times New Roman" w:hAnsi="Times New Roman" w:eastAsia="宋体" w:cs="Times New Roman"/>
                      <w:szCs w:val="21"/>
                    </w:rPr>
                    <w:t>是否考虑地形</w:t>
                  </w:r>
                </w:p>
              </w:tc>
              <w:tc>
                <w:tcPr>
                  <w:tcW w:w="1666" w:type="pct"/>
                  <w:vAlign w:val="center"/>
                </w:tcPr>
                <w:p w14:paraId="3B508616">
                  <w:pPr>
                    <w:jc w:val="center"/>
                    <w:rPr>
                      <w:rFonts w:ascii="Times New Roman" w:hAnsi="Times New Roman" w:eastAsia="宋体" w:cs="Times New Roman"/>
                      <w:szCs w:val="21"/>
                    </w:rPr>
                  </w:pPr>
                  <w:r>
                    <w:rPr>
                      <w:rFonts w:ascii="Times New Roman" w:hAnsi="Times New Roman" w:eastAsia="宋体" w:cs="Times New Roman"/>
                      <w:szCs w:val="21"/>
                    </w:rPr>
                    <w:t>考虑地形</w:t>
                  </w:r>
                </w:p>
              </w:tc>
              <w:tc>
                <w:tcPr>
                  <w:tcW w:w="1666" w:type="pct"/>
                  <w:vAlign w:val="center"/>
                </w:tcPr>
                <w:p w14:paraId="1B34C6B9">
                  <w:pPr>
                    <w:jc w:val="center"/>
                    <w:rPr>
                      <w:rFonts w:ascii="Times New Roman" w:hAnsi="Times New Roman" w:eastAsia="宋体" w:cs="Times New Roman"/>
                      <w:szCs w:val="21"/>
                    </w:rPr>
                  </w:pPr>
                  <w:r>
                    <w:rPr>
                      <w:rFonts w:ascii="Times New Roman" w:hAnsi="Times New Roman" w:eastAsia="宋体" w:cs="Times New Roman"/>
                      <w:szCs w:val="21"/>
                    </w:rPr>
                    <w:t>是</w:t>
                  </w:r>
                </w:p>
              </w:tc>
            </w:tr>
            <w:tr w14:paraId="6AB2C09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continue"/>
                  <w:vAlign w:val="center"/>
                </w:tcPr>
                <w:p w14:paraId="057BBD40">
                  <w:pPr>
                    <w:jc w:val="center"/>
                    <w:rPr>
                      <w:rFonts w:ascii="Times New Roman" w:hAnsi="Times New Roman" w:eastAsia="宋体" w:cs="Times New Roman"/>
                      <w:szCs w:val="21"/>
                    </w:rPr>
                  </w:pPr>
                </w:p>
              </w:tc>
              <w:tc>
                <w:tcPr>
                  <w:tcW w:w="1666" w:type="pct"/>
                  <w:vAlign w:val="center"/>
                </w:tcPr>
                <w:p w14:paraId="7717F346">
                  <w:pPr>
                    <w:jc w:val="center"/>
                    <w:rPr>
                      <w:rFonts w:ascii="Times New Roman" w:hAnsi="Times New Roman" w:eastAsia="宋体" w:cs="Times New Roman"/>
                      <w:szCs w:val="21"/>
                    </w:rPr>
                  </w:pPr>
                  <w:r>
                    <w:rPr>
                      <w:rFonts w:ascii="Times New Roman" w:hAnsi="Times New Roman" w:eastAsia="宋体" w:cs="Times New Roman"/>
                      <w:szCs w:val="21"/>
                    </w:rPr>
                    <w:t>地形数据分辨率</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1666" w:type="pct"/>
                  <w:vAlign w:val="center"/>
                </w:tcPr>
                <w:p w14:paraId="6CDCB904">
                  <w:pPr>
                    <w:jc w:val="center"/>
                    <w:rPr>
                      <w:rFonts w:ascii="Times New Roman" w:hAnsi="Times New Roman" w:eastAsia="宋体" w:cs="Times New Roman"/>
                      <w:szCs w:val="21"/>
                    </w:rPr>
                  </w:pPr>
                  <w:r>
                    <w:rPr>
                      <w:rFonts w:ascii="Times New Roman" w:hAnsi="Times New Roman" w:eastAsia="宋体" w:cs="Times New Roman"/>
                      <w:szCs w:val="21"/>
                    </w:rPr>
                    <w:t>90</w:t>
                  </w:r>
                </w:p>
              </w:tc>
            </w:tr>
            <w:tr w14:paraId="3BA2C4B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restart"/>
                  <w:vAlign w:val="center"/>
                </w:tcPr>
                <w:p w14:paraId="66926D17">
                  <w:pPr>
                    <w:jc w:val="center"/>
                    <w:rPr>
                      <w:rFonts w:ascii="Times New Roman" w:hAnsi="Times New Roman" w:eastAsia="宋体" w:cs="Times New Roman"/>
                      <w:szCs w:val="21"/>
                    </w:rPr>
                  </w:pPr>
                  <w:r>
                    <w:rPr>
                      <w:rFonts w:ascii="Times New Roman" w:hAnsi="Times New Roman" w:eastAsia="宋体" w:cs="Times New Roman"/>
                      <w:szCs w:val="21"/>
                    </w:rPr>
                    <w:t>是否考虑岸线熏烟</w:t>
                  </w:r>
                </w:p>
              </w:tc>
              <w:tc>
                <w:tcPr>
                  <w:tcW w:w="1666" w:type="pct"/>
                  <w:vAlign w:val="center"/>
                </w:tcPr>
                <w:p w14:paraId="1A6FF335">
                  <w:pPr>
                    <w:jc w:val="center"/>
                    <w:rPr>
                      <w:rFonts w:ascii="Times New Roman" w:hAnsi="Times New Roman" w:eastAsia="宋体" w:cs="Times New Roman"/>
                      <w:szCs w:val="21"/>
                    </w:rPr>
                  </w:pPr>
                  <w:r>
                    <w:rPr>
                      <w:rFonts w:ascii="Times New Roman" w:hAnsi="Times New Roman" w:eastAsia="宋体" w:cs="Times New Roman"/>
                      <w:szCs w:val="21"/>
                    </w:rPr>
                    <w:t>考虑岸线熏烟</w:t>
                  </w:r>
                </w:p>
              </w:tc>
              <w:tc>
                <w:tcPr>
                  <w:tcW w:w="1666" w:type="pct"/>
                  <w:vAlign w:val="center"/>
                </w:tcPr>
                <w:p w14:paraId="53D208A7">
                  <w:pPr>
                    <w:jc w:val="center"/>
                    <w:rPr>
                      <w:rFonts w:ascii="Times New Roman" w:hAnsi="Times New Roman" w:eastAsia="宋体" w:cs="Times New Roman"/>
                      <w:szCs w:val="21"/>
                    </w:rPr>
                  </w:pPr>
                  <w:r>
                    <w:rPr>
                      <w:rFonts w:ascii="Times New Roman" w:hAnsi="Times New Roman" w:eastAsia="宋体" w:cs="Times New Roman"/>
                      <w:szCs w:val="21"/>
                    </w:rPr>
                    <w:t>否</w:t>
                  </w:r>
                </w:p>
              </w:tc>
            </w:tr>
            <w:tr w14:paraId="7E2126C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continue"/>
                  <w:vAlign w:val="center"/>
                </w:tcPr>
                <w:p w14:paraId="6E605B7E">
                  <w:pPr>
                    <w:jc w:val="center"/>
                    <w:rPr>
                      <w:rFonts w:ascii="Times New Roman" w:hAnsi="Times New Roman" w:eastAsia="宋体" w:cs="Times New Roman"/>
                      <w:szCs w:val="21"/>
                    </w:rPr>
                  </w:pPr>
                </w:p>
              </w:tc>
              <w:tc>
                <w:tcPr>
                  <w:tcW w:w="1666" w:type="pct"/>
                  <w:vAlign w:val="center"/>
                </w:tcPr>
                <w:p w14:paraId="01A2DC86">
                  <w:pPr>
                    <w:jc w:val="center"/>
                    <w:rPr>
                      <w:rFonts w:ascii="Times New Roman" w:hAnsi="Times New Roman" w:eastAsia="宋体" w:cs="Times New Roman"/>
                      <w:szCs w:val="21"/>
                    </w:rPr>
                  </w:pPr>
                  <w:r>
                    <w:rPr>
                      <w:rFonts w:ascii="Times New Roman" w:hAnsi="Times New Roman" w:eastAsia="宋体" w:cs="Times New Roman"/>
                      <w:szCs w:val="21"/>
                    </w:rPr>
                    <w:t>岸线距离/m</w:t>
                  </w:r>
                </w:p>
              </w:tc>
              <w:tc>
                <w:tcPr>
                  <w:tcW w:w="1666" w:type="pct"/>
                  <w:vAlign w:val="center"/>
                </w:tcPr>
                <w:p w14:paraId="5FF2BBF2">
                  <w:pPr>
                    <w:jc w:val="center"/>
                    <w:rPr>
                      <w:rFonts w:ascii="Times New Roman" w:hAnsi="Times New Roman" w:eastAsia="宋体" w:cs="Times New Roman"/>
                      <w:szCs w:val="21"/>
                    </w:rPr>
                  </w:pPr>
                  <w:r>
                    <w:rPr>
                      <w:rFonts w:ascii="Times New Roman" w:hAnsi="Times New Roman" w:eastAsia="宋体" w:cs="Times New Roman"/>
                      <w:szCs w:val="21"/>
                    </w:rPr>
                    <w:t>/</w:t>
                  </w:r>
                </w:p>
              </w:tc>
            </w:tr>
            <w:tr w14:paraId="473E0F1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1667" w:type="pct"/>
                  <w:vMerge w:val="continue"/>
                  <w:vAlign w:val="center"/>
                </w:tcPr>
                <w:p w14:paraId="58D8985F">
                  <w:pPr>
                    <w:jc w:val="center"/>
                    <w:rPr>
                      <w:rFonts w:ascii="Times New Roman" w:hAnsi="Times New Roman" w:eastAsia="宋体" w:cs="Times New Roman"/>
                      <w:szCs w:val="21"/>
                    </w:rPr>
                  </w:pPr>
                </w:p>
              </w:tc>
              <w:tc>
                <w:tcPr>
                  <w:tcW w:w="1666" w:type="pct"/>
                  <w:vAlign w:val="center"/>
                </w:tcPr>
                <w:p w14:paraId="085A61D6">
                  <w:pPr>
                    <w:jc w:val="center"/>
                    <w:rPr>
                      <w:rFonts w:ascii="Times New Roman" w:hAnsi="Times New Roman" w:eastAsia="宋体" w:cs="Times New Roman"/>
                      <w:szCs w:val="21"/>
                    </w:rPr>
                  </w:pPr>
                  <w:r>
                    <w:rPr>
                      <w:rFonts w:ascii="Times New Roman" w:hAnsi="Times New Roman" w:eastAsia="宋体" w:cs="Times New Roman"/>
                      <w:szCs w:val="21"/>
                    </w:rPr>
                    <w:t>岸线方向/°</w:t>
                  </w:r>
                </w:p>
              </w:tc>
              <w:tc>
                <w:tcPr>
                  <w:tcW w:w="1666" w:type="pct"/>
                  <w:vAlign w:val="center"/>
                </w:tcPr>
                <w:p w14:paraId="0E6802BF">
                  <w:pPr>
                    <w:jc w:val="center"/>
                    <w:rPr>
                      <w:rFonts w:ascii="Times New Roman" w:hAnsi="Times New Roman" w:eastAsia="宋体" w:cs="Times New Roman"/>
                      <w:szCs w:val="21"/>
                    </w:rPr>
                  </w:pPr>
                  <w:r>
                    <w:rPr>
                      <w:rFonts w:ascii="Times New Roman" w:hAnsi="Times New Roman" w:eastAsia="宋体" w:cs="Times New Roman"/>
                      <w:szCs w:val="21"/>
                    </w:rPr>
                    <w:t>/</w:t>
                  </w:r>
                </w:p>
              </w:tc>
            </w:tr>
          </w:tbl>
          <w:p w14:paraId="32D68814">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（6）评级工作等级确定</w:t>
            </w:r>
          </w:p>
          <w:p w14:paraId="6B2F381C">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本项目所有污染源的正常排放的污染物的P</w:t>
            </w:r>
            <w:r>
              <w:rPr>
                <w:rFonts w:ascii="Times New Roman" w:hAnsi="Times New Roman" w:eastAsia="宋体" w:cs="Times New Roman"/>
                <w:sz w:val="24"/>
                <w:vertAlign w:val="subscript"/>
              </w:rPr>
              <w:t>max</w:t>
            </w:r>
            <w:r>
              <w:rPr>
                <w:rFonts w:ascii="Times New Roman" w:hAnsi="Times New Roman" w:eastAsia="宋体" w:cs="Times New Roman"/>
                <w:sz w:val="24"/>
              </w:rPr>
              <w:t>和D</w:t>
            </w:r>
            <w:r>
              <w:rPr>
                <w:rFonts w:ascii="Times New Roman" w:hAnsi="Times New Roman" w:eastAsia="宋体" w:cs="Times New Roman"/>
                <w:sz w:val="24"/>
                <w:vertAlign w:val="subscript"/>
              </w:rPr>
              <w:t>10%</w:t>
            </w:r>
            <w:r>
              <w:rPr>
                <w:rFonts w:ascii="Times New Roman" w:hAnsi="Times New Roman" w:eastAsia="宋体" w:cs="Times New Roman"/>
                <w:sz w:val="24"/>
              </w:rPr>
              <w:t>预测结果如下：</w:t>
            </w:r>
          </w:p>
          <w:p w14:paraId="0D888A01">
            <w:pPr>
              <w:adjustRightInd w:val="0"/>
              <w:snapToGrid w:val="0"/>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表7-8  P</w:t>
            </w:r>
            <w:r>
              <w:rPr>
                <w:rFonts w:ascii="Times New Roman" w:hAnsi="Times New Roman" w:eastAsia="宋体" w:cs="Times New Roman"/>
                <w:bCs/>
                <w:sz w:val="24"/>
                <w:vertAlign w:val="subscript"/>
              </w:rPr>
              <w:t>max</w:t>
            </w:r>
            <w:r>
              <w:rPr>
                <w:rFonts w:ascii="Times New Roman" w:hAnsi="Times New Roman" w:eastAsia="宋体" w:cs="Times New Roman"/>
                <w:bCs/>
                <w:sz w:val="24"/>
              </w:rPr>
              <w:t>和D1</w:t>
            </w:r>
            <w:r>
              <w:rPr>
                <w:rFonts w:ascii="Times New Roman" w:hAnsi="Times New Roman" w:eastAsia="宋体" w:cs="Times New Roman"/>
                <w:bCs/>
                <w:sz w:val="24"/>
                <w:vertAlign w:val="subscript"/>
              </w:rPr>
              <w:t>0%</w:t>
            </w:r>
            <w:r>
              <w:rPr>
                <w:rFonts w:ascii="Times New Roman" w:hAnsi="Times New Roman" w:eastAsia="宋体" w:cs="Times New Roman"/>
                <w:bCs/>
                <w:sz w:val="24"/>
              </w:rPr>
              <w:t>预测和计算结果一览表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375"/>
              <w:gridCol w:w="1149"/>
              <w:gridCol w:w="2063"/>
              <w:gridCol w:w="1606"/>
              <w:gridCol w:w="1033"/>
              <w:gridCol w:w="1056"/>
            </w:tblGrid>
            <w:tr w14:paraId="27B526D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31" w:type="pct"/>
                  <w:vAlign w:val="center"/>
                </w:tcPr>
                <w:p w14:paraId="4A22F758">
                  <w:pPr>
                    <w:jc w:val="center"/>
                    <w:rPr>
                      <w:rFonts w:ascii="Times New Roman" w:hAnsi="Times New Roman" w:eastAsia="宋体" w:cs="Times New Roman"/>
                      <w:szCs w:val="21"/>
                    </w:rPr>
                  </w:pPr>
                  <w:r>
                    <w:rPr>
                      <w:rFonts w:ascii="Times New Roman" w:hAnsi="Times New Roman" w:eastAsia="宋体" w:cs="Times New Roman"/>
                      <w:szCs w:val="21"/>
                    </w:rPr>
                    <w:t>污染源名称</w:t>
                  </w:r>
                </w:p>
              </w:tc>
              <w:tc>
                <w:tcPr>
                  <w:tcW w:w="694" w:type="pct"/>
                  <w:vAlign w:val="center"/>
                </w:tcPr>
                <w:p w14:paraId="3A77C08A">
                  <w:pPr>
                    <w:jc w:val="center"/>
                    <w:rPr>
                      <w:rFonts w:ascii="Times New Roman" w:hAnsi="Times New Roman" w:eastAsia="宋体" w:cs="Times New Roman"/>
                      <w:szCs w:val="21"/>
                    </w:rPr>
                  </w:pPr>
                  <w:r>
                    <w:rPr>
                      <w:rFonts w:ascii="Times New Roman" w:hAnsi="Times New Roman" w:eastAsia="宋体" w:cs="Times New Roman"/>
                      <w:szCs w:val="21"/>
                    </w:rPr>
                    <w:t>评价因子</w:t>
                  </w:r>
                </w:p>
              </w:tc>
              <w:tc>
                <w:tcPr>
                  <w:tcW w:w="1246" w:type="pct"/>
                  <w:vAlign w:val="center"/>
                </w:tcPr>
                <w:p w14:paraId="1F22323F">
                  <w:pPr>
                    <w:jc w:val="center"/>
                    <w:rPr>
                      <w:rFonts w:ascii="Times New Roman" w:hAnsi="Times New Roman" w:eastAsia="宋体" w:cs="Times New Roman"/>
                      <w:szCs w:val="21"/>
                    </w:rPr>
                  </w:pPr>
                  <w:r>
                    <w:rPr>
                      <w:rFonts w:ascii="Times New Roman" w:hAnsi="Times New Roman" w:eastAsia="宋体" w:cs="Times New Roman"/>
                      <w:szCs w:val="21"/>
                    </w:rPr>
                    <w:t>评价标准</w:t>
                  </w:r>
                  <w:r>
                    <w:rPr>
                      <w:rFonts w:hint="eastAsia" w:ascii="Times New Roman" w:hAnsi="Times New Roman" w:eastAsia="宋体" w:cs="Times New Roman"/>
                      <w:szCs w:val="21"/>
                      <w:lang w:eastAsia="zh-CN"/>
                    </w:rPr>
                    <w:t>（</w:t>
                  </w:r>
                  <w:r>
                    <w:rPr>
                      <w:rFonts w:ascii="Times New Roman" w:hAnsi="Times New Roman" w:eastAsia="宋体" w:cs="Times New Roman"/>
                      <w:szCs w:val="21"/>
                    </w:rPr>
                    <w:t>μg/m³</w:t>
                  </w:r>
                  <w:r>
                    <w:rPr>
                      <w:rFonts w:hint="eastAsia" w:ascii="Times New Roman" w:hAnsi="Times New Roman" w:eastAsia="宋体" w:cs="Times New Roman"/>
                      <w:szCs w:val="21"/>
                      <w:lang w:eastAsia="zh-CN"/>
                    </w:rPr>
                    <w:t>）</w:t>
                  </w:r>
                </w:p>
              </w:tc>
              <w:tc>
                <w:tcPr>
                  <w:tcW w:w="970" w:type="pct"/>
                  <w:vAlign w:val="center"/>
                </w:tcPr>
                <w:p w14:paraId="7DEE52A1">
                  <w:pPr>
                    <w:jc w:val="center"/>
                    <w:rPr>
                      <w:rFonts w:ascii="Times New Roman" w:hAnsi="Times New Roman" w:eastAsia="宋体" w:cs="Times New Roman"/>
                      <w:szCs w:val="21"/>
                    </w:rPr>
                  </w:pPr>
                  <w:r>
                    <w:rPr>
                      <w:rFonts w:ascii="Times New Roman" w:hAnsi="Times New Roman" w:eastAsia="宋体" w:cs="Times New Roman"/>
                      <w:szCs w:val="21"/>
                    </w:rPr>
                    <w:t>Cmax(μg/m³)</w:t>
                  </w:r>
                </w:p>
              </w:tc>
              <w:tc>
                <w:tcPr>
                  <w:tcW w:w="624" w:type="pct"/>
                  <w:vAlign w:val="center"/>
                </w:tcPr>
                <w:p w14:paraId="3AE4F016">
                  <w:pPr>
                    <w:jc w:val="center"/>
                    <w:rPr>
                      <w:rFonts w:ascii="Times New Roman" w:hAnsi="Times New Roman" w:eastAsia="宋体" w:cs="Times New Roman"/>
                      <w:szCs w:val="21"/>
                    </w:rPr>
                  </w:pPr>
                  <w:r>
                    <w:rPr>
                      <w:rFonts w:ascii="Times New Roman" w:hAnsi="Times New Roman" w:eastAsia="宋体" w:cs="Times New Roman"/>
                      <w:szCs w:val="21"/>
                    </w:rPr>
                    <w:t>Pmax(%)</w:t>
                  </w:r>
                </w:p>
              </w:tc>
              <w:tc>
                <w:tcPr>
                  <w:tcW w:w="635" w:type="pct"/>
                  <w:vAlign w:val="center"/>
                </w:tcPr>
                <w:p w14:paraId="7BDB50BC">
                  <w:pPr>
                    <w:jc w:val="center"/>
                    <w:rPr>
                      <w:rFonts w:ascii="Times New Roman" w:hAnsi="Times New Roman" w:eastAsia="宋体" w:cs="Times New Roman"/>
                      <w:szCs w:val="21"/>
                    </w:rPr>
                  </w:pPr>
                  <w:r>
                    <w:rPr>
                      <w:rFonts w:ascii="Times New Roman" w:hAnsi="Times New Roman" w:eastAsia="宋体" w:cs="Times New Roman"/>
                      <w:szCs w:val="21"/>
                    </w:rPr>
                    <w:t>D10%(m)</w:t>
                  </w:r>
                </w:p>
              </w:tc>
            </w:tr>
            <w:tr w14:paraId="137EEC6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31" w:type="pct"/>
                  <w:vAlign w:val="center"/>
                </w:tcPr>
                <w:p w14:paraId="6BA011B2">
                  <w:pPr>
                    <w:jc w:val="center"/>
                    <w:rPr>
                      <w:rFonts w:ascii="Times New Roman" w:hAnsi="Times New Roman" w:eastAsia="宋体" w:cs="Times New Roman"/>
                      <w:szCs w:val="21"/>
                    </w:rPr>
                  </w:pPr>
                  <w:r>
                    <w:rPr>
                      <w:rFonts w:hint="eastAsia" w:ascii="Times New Roman" w:hAnsi="Times New Roman" w:eastAsia="宋体" w:cs="Times New Roman"/>
                      <w:szCs w:val="21"/>
                    </w:rPr>
                    <w:t>装卸扬尘</w:t>
                  </w:r>
                </w:p>
              </w:tc>
              <w:tc>
                <w:tcPr>
                  <w:tcW w:w="694" w:type="pct"/>
                  <w:vAlign w:val="center"/>
                </w:tcPr>
                <w:p w14:paraId="76D3C2B6">
                  <w:pPr>
                    <w:jc w:val="center"/>
                    <w:rPr>
                      <w:rFonts w:ascii="Times New Roman" w:hAnsi="Times New Roman" w:eastAsia="宋体" w:cs="Times New Roman"/>
                      <w:szCs w:val="21"/>
                    </w:rPr>
                  </w:pPr>
                  <w:r>
                    <w:rPr>
                      <w:rFonts w:ascii="Times New Roman" w:hAnsi="Times New Roman" w:eastAsia="宋体" w:cs="Times New Roman"/>
                      <w:szCs w:val="21"/>
                    </w:rPr>
                    <w:t>TSP</w:t>
                  </w:r>
                </w:p>
              </w:tc>
              <w:tc>
                <w:tcPr>
                  <w:tcW w:w="1246" w:type="pct"/>
                  <w:vAlign w:val="center"/>
                </w:tcPr>
                <w:p w14:paraId="34E1B36F">
                  <w:pPr>
                    <w:jc w:val="center"/>
                    <w:rPr>
                      <w:rFonts w:ascii="Times New Roman" w:hAnsi="Times New Roman" w:eastAsia="宋体" w:cs="Times New Roman"/>
                      <w:szCs w:val="21"/>
                    </w:rPr>
                  </w:pPr>
                  <w:r>
                    <w:rPr>
                      <w:rFonts w:ascii="Times New Roman" w:hAnsi="Times New Roman" w:eastAsia="宋体" w:cs="Times New Roman"/>
                      <w:szCs w:val="21"/>
                    </w:rPr>
                    <w:t>900.0</w:t>
                  </w:r>
                </w:p>
              </w:tc>
              <w:tc>
                <w:tcPr>
                  <w:tcW w:w="970" w:type="pct"/>
                  <w:vAlign w:val="center"/>
                </w:tcPr>
                <w:p w14:paraId="51AD71C7">
                  <w:pPr>
                    <w:jc w:val="center"/>
                    <w:rPr>
                      <w:rFonts w:ascii="Times New Roman" w:hAnsi="Times New Roman" w:eastAsia="宋体" w:cs="Times New Roman"/>
                      <w:szCs w:val="21"/>
                    </w:rPr>
                  </w:pPr>
                  <w:r>
                    <w:rPr>
                      <w:rFonts w:ascii="Times New Roman" w:hAnsi="Times New Roman" w:eastAsia="宋体" w:cs="Times New Roman"/>
                      <w:szCs w:val="21"/>
                    </w:rPr>
                    <w:t>53.4310</w:t>
                  </w:r>
                </w:p>
              </w:tc>
              <w:tc>
                <w:tcPr>
                  <w:tcW w:w="624" w:type="pct"/>
                  <w:vAlign w:val="center"/>
                </w:tcPr>
                <w:p w14:paraId="05F2D1F0">
                  <w:pPr>
                    <w:jc w:val="center"/>
                    <w:rPr>
                      <w:rFonts w:ascii="Times New Roman" w:hAnsi="Times New Roman" w:eastAsia="宋体" w:cs="Times New Roman"/>
                      <w:szCs w:val="21"/>
                    </w:rPr>
                  </w:pPr>
                  <w:r>
                    <w:rPr>
                      <w:rFonts w:ascii="Times New Roman" w:hAnsi="Times New Roman" w:eastAsia="宋体" w:cs="Times New Roman"/>
                      <w:szCs w:val="21"/>
                    </w:rPr>
                    <w:t>5.9368</w:t>
                  </w:r>
                </w:p>
              </w:tc>
              <w:tc>
                <w:tcPr>
                  <w:tcW w:w="635" w:type="pct"/>
                  <w:vAlign w:val="center"/>
                </w:tcPr>
                <w:p w14:paraId="4F6C9437">
                  <w:pPr>
                    <w:jc w:val="center"/>
                    <w:rPr>
                      <w:rFonts w:ascii="Times New Roman" w:hAnsi="Times New Roman" w:eastAsia="宋体" w:cs="Times New Roman"/>
                      <w:szCs w:val="21"/>
                    </w:rPr>
                  </w:pPr>
                  <w:r>
                    <w:rPr>
                      <w:rFonts w:ascii="Times New Roman" w:hAnsi="Times New Roman" w:eastAsia="宋体" w:cs="Times New Roman"/>
                      <w:szCs w:val="21"/>
                    </w:rPr>
                    <w:t>/</w:t>
                  </w:r>
                </w:p>
              </w:tc>
            </w:tr>
            <w:tr w14:paraId="70B64BA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31" w:type="pct"/>
                  <w:vAlign w:val="center"/>
                </w:tcPr>
                <w:p w14:paraId="073F1C62">
                  <w:pPr>
                    <w:jc w:val="center"/>
                    <w:rPr>
                      <w:rFonts w:ascii="Times New Roman" w:hAnsi="Times New Roman" w:eastAsia="宋体" w:cs="Times New Roman"/>
                      <w:szCs w:val="21"/>
                    </w:rPr>
                  </w:pPr>
                  <w:r>
                    <w:rPr>
                      <w:rFonts w:hint="eastAsia" w:ascii="Times New Roman" w:hAnsi="Times New Roman" w:eastAsia="宋体" w:cs="Times New Roman"/>
                      <w:szCs w:val="21"/>
                    </w:rPr>
                    <w:t>车间</w:t>
                  </w:r>
                  <w:r>
                    <w:rPr>
                      <w:rFonts w:ascii="Times New Roman" w:hAnsi="Times New Roman" w:eastAsia="宋体" w:cs="Times New Roman"/>
                      <w:szCs w:val="21"/>
                    </w:rPr>
                    <w:t>面源</w:t>
                  </w:r>
                </w:p>
              </w:tc>
              <w:tc>
                <w:tcPr>
                  <w:tcW w:w="694" w:type="pct"/>
                  <w:vAlign w:val="center"/>
                </w:tcPr>
                <w:p w14:paraId="1B309899">
                  <w:pPr>
                    <w:jc w:val="center"/>
                    <w:rPr>
                      <w:rFonts w:ascii="Times New Roman" w:hAnsi="Times New Roman" w:eastAsia="宋体" w:cs="Times New Roman"/>
                      <w:szCs w:val="21"/>
                    </w:rPr>
                  </w:pPr>
                  <w:r>
                    <w:rPr>
                      <w:rFonts w:ascii="Times New Roman" w:hAnsi="Times New Roman" w:eastAsia="宋体" w:cs="Times New Roman"/>
                      <w:szCs w:val="21"/>
                    </w:rPr>
                    <w:t>TSP</w:t>
                  </w:r>
                </w:p>
              </w:tc>
              <w:tc>
                <w:tcPr>
                  <w:tcW w:w="1246" w:type="pct"/>
                  <w:vAlign w:val="center"/>
                </w:tcPr>
                <w:p w14:paraId="325AD384">
                  <w:pPr>
                    <w:jc w:val="center"/>
                    <w:rPr>
                      <w:rFonts w:ascii="Times New Roman" w:hAnsi="Times New Roman" w:eastAsia="宋体" w:cs="Times New Roman"/>
                      <w:szCs w:val="21"/>
                    </w:rPr>
                  </w:pPr>
                  <w:r>
                    <w:rPr>
                      <w:rFonts w:ascii="Times New Roman" w:hAnsi="Times New Roman" w:eastAsia="宋体" w:cs="Times New Roman"/>
                      <w:szCs w:val="21"/>
                    </w:rPr>
                    <w:t>900.0</w:t>
                  </w:r>
                </w:p>
              </w:tc>
              <w:tc>
                <w:tcPr>
                  <w:tcW w:w="970" w:type="pct"/>
                  <w:vAlign w:val="center"/>
                </w:tcPr>
                <w:p w14:paraId="61712FB1">
                  <w:pPr>
                    <w:jc w:val="center"/>
                    <w:rPr>
                      <w:rFonts w:ascii="Times New Roman" w:hAnsi="Times New Roman" w:eastAsia="宋体" w:cs="Times New Roman"/>
                      <w:szCs w:val="21"/>
                    </w:rPr>
                  </w:pPr>
                  <w:r>
                    <w:rPr>
                      <w:rFonts w:ascii="Times New Roman" w:hAnsi="Times New Roman" w:eastAsia="宋体" w:cs="Times New Roman"/>
                      <w:szCs w:val="21"/>
                    </w:rPr>
                    <w:t>40.0280</w:t>
                  </w:r>
                </w:p>
              </w:tc>
              <w:tc>
                <w:tcPr>
                  <w:tcW w:w="624" w:type="pct"/>
                  <w:vAlign w:val="center"/>
                </w:tcPr>
                <w:p w14:paraId="4E3F70BE">
                  <w:pPr>
                    <w:jc w:val="center"/>
                    <w:rPr>
                      <w:rFonts w:ascii="Times New Roman" w:hAnsi="Times New Roman" w:eastAsia="宋体" w:cs="Times New Roman"/>
                      <w:szCs w:val="21"/>
                    </w:rPr>
                  </w:pPr>
                  <w:r>
                    <w:rPr>
                      <w:rFonts w:ascii="Times New Roman" w:hAnsi="Times New Roman" w:eastAsia="宋体" w:cs="Times New Roman"/>
                      <w:szCs w:val="21"/>
                    </w:rPr>
                    <w:t>4.4476</w:t>
                  </w:r>
                </w:p>
              </w:tc>
              <w:tc>
                <w:tcPr>
                  <w:tcW w:w="635" w:type="pct"/>
                  <w:vAlign w:val="center"/>
                </w:tcPr>
                <w:p w14:paraId="72D501E3">
                  <w:pPr>
                    <w:jc w:val="center"/>
                    <w:rPr>
                      <w:rFonts w:ascii="Times New Roman" w:hAnsi="Times New Roman" w:eastAsia="宋体" w:cs="Times New Roman"/>
                      <w:szCs w:val="21"/>
                    </w:rPr>
                  </w:pPr>
                  <w:r>
                    <w:rPr>
                      <w:rFonts w:ascii="Times New Roman" w:hAnsi="Times New Roman" w:eastAsia="宋体" w:cs="Times New Roman"/>
                      <w:szCs w:val="21"/>
                    </w:rPr>
                    <w:t>/</w:t>
                  </w:r>
                </w:p>
              </w:tc>
            </w:tr>
          </w:tbl>
          <w:p w14:paraId="1C8094E4">
            <w:pPr>
              <w:adjustRightInd w:val="0"/>
              <w:snapToGrid w:val="0"/>
              <w:spacing w:line="360" w:lineRule="auto"/>
              <w:ind w:firstLine="480" w:firstLineChars="200"/>
              <w:rPr>
                <w:rFonts w:ascii="Times New Roman" w:hAnsi="Times New Roman" w:eastAsia="宋体" w:cs="Times New Roman"/>
                <w:kern w:val="0"/>
                <w:sz w:val="24"/>
                <w:szCs w:val="24"/>
              </w:rPr>
            </w:pPr>
            <w:r>
              <w:rPr>
                <w:rFonts w:hint="eastAsia" w:ascii="Times New Roman" w:hAnsi="Times New Roman" w:eastAsia="宋体" w:cs="Times New Roman"/>
                <w:sz w:val="24"/>
              </w:rPr>
              <w:t>本项目Pmax最大值出现为装卸扬尘排放的TSPPmax值为5.9368%，Cmax为53.431μg/m³，根据《环境影响评价技术导则 大气环境》（HJ2.2-2018）分级判据，确定本项目大气环境影响评价工作等级为二级，评价范围边长取5km。</w:t>
            </w:r>
            <w:r>
              <w:rPr>
                <w:rFonts w:ascii="Times New Roman" w:hAnsi="Times New Roman" w:eastAsia="宋体" w:cs="Times New Roman"/>
                <w:kern w:val="0"/>
                <w:sz w:val="24"/>
                <w:szCs w:val="24"/>
              </w:rPr>
              <w:t>根据《环境影响评价技术导则  大气环境》（HJ2.2-2018）中二级评价项目的影响预测与评价要求：二级评价项目不进行进一步预测与评价，只对污染物排放量进行核算。</w:t>
            </w:r>
          </w:p>
          <w:p w14:paraId="0BDCBF3B">
            <w:pPr>
              <w:tabs>
                <w:tab w:val="left" w:pos="1680"/>
              </w:tabs>
              <w:spacing w:line="360" w:lineRule="auto"/>
              <w:ind w:firstLine="364" w:firstLineChars="152"/>
              <w:rPr>
                <w:rFonts w:ascii="Times New Roman" w:hAnsi="Times New Roman" w:eastAsia="宋体" w:cs="Times New Roman"/>
                <w:sz w:val="24"/>
                <w:szCs w:val="24"/>
              </w:rPr>
            </w:pPr>
            <w:r>
              <w:rPr>
                <w:rFonts w:ascii="Times New Roman" w:hAnsi="Times New Roman" w:eastAsia="宋体" w:cs="Times New Roman"/>
                <w:sz w:val="24"/>
                <w:szCs w:val="24"/>
              </w:rPr>
              <w:t>根据估算结果表明，本项目大气环境评价工作等级为二级。为尽量避免区域环境空气质量的降低，建设方应控制非正常工况的持续时间，要杜绝各类事故的发生，严格操作规程，对生产设备进行定期检修，发现隐患及时处理，尽量减少事故排放对环境产生的不良影响。</w:t>
            </w:r>
            <w:r>
              <w:rPr>
                <w:rFonts w:ascii="Times New Roman" w:hAnsi="Times New Roman" w:eastAsia="宋体" w:cs="Times New Roman"/>
                <w:kern w:val="0"/>
                <w:sz w:val="24"/>
                <w:szCs w:val="24"/>
              </w:rPr>
              <w:t>同时，项目区域开阔，扩散条件好</w:t>
            </w:r>
            <w:r>
              <w:rPr>
                <w:rFonts w:ascii="Times New Roman" w:hAnsi="Times New Roman" w:eastAsia="宋体" w:cs="Times New Roman"/>
                <w:sz w:val="24"/>
                <w:szCs w:val="24"/>
              </w:rPr>
              <w:t>，项目废气在落实环保措施后，基本可实现达标排放，不会对区域大气环境产生明显影响，不会改变区域大气质量环境使用功能。</w:t>
            </w:r>
          </w:p>
          <w:p w14:paraId="2EA0EA17">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（7）预测结果</w:t>
            </w:r>
          </w:p>
          <w:p w14:paraId="6E413BE9">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1 \* GB3 </w:instrText>
            </w:r>
            <w:r>
              <w:rPr>
                <w:rFonts w:ascii="Times New Roman" w:hAnsi="Times New Roman" w:eastAsia="宋体" w:cs="Times New Roman"/>
                <w:sz w:val="24"/>
              </w:rPr>
              <w:fldChar w:fldCharType="separate"/>
            </w:r>
            <w:r>
              <w:rPr>
                <w:rFonts w:hint="eastAsia" w:ascii="宋体" w:hAnsi="宋体" w:eastAsia="宋体" w:cs="宋体"/>
                <w:sz w:val="24"/>
              </w:rPr>
              <w:t>①</w:t>
            </w:r>
            <w:r>
              <w:rPr>
                <w:rFonts w:ascii="Times New Roman" w:hAnsi="Times New Roman" w:eastAsia="宋体" w:cs="Times New Roman"/>
                <w:sz w:val="24"/>
              </w:rPr>
              <w:fldChar w:fldCharType="end"/>
            </w:r>
            <w:r>
              <w:rPr>
                <w:rFonts w:ascii="Times New Roman" w:hAnsi="Times New Roman" w:eastAsia="宋体" w:cs="Times New Roman"/>
                <w:sz w:val="24"/>
              </w:rPr>
              <w:t>敏感点预测结果</w:t>
            </w:r>
          </w:p>
          <w:p w14:paraId="57A44564">
            <w:pPr>
              <w:adjustRightInd w:val="0"/>
              <w:snapToGrid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本次大气环境影响预测采用《环境影响评价技术导则—大气环境》（HJ2.2-2018）推荐模式清单中的 AERSCREEN 模型进行预测，离散点结果预测见下表7-9、表7-10。</w:t>
            </w:r>
          </w:p>
          <w:p w14:paraId="5406EEF5">
            <w:pPr>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表7-9  敏感点预测和计算结果一览表（</w:t>
            </w:r>
            <w:r>
              <w:rPr>
                <w:rFonts w:hint="eastAsia" w:ascii="Times New Roman" w:hAnsi="Times New Roman" w:eastAsia="宋体" w:cs="Times New Roman"/>
                <w:bCs/>
                <w:sz w:val="24"/>
              </w:rPr>
              <w:t>装卸扬尘</w:t>
            </w:r>
            <w:r>
              <w:rPr>
                <w:rFonts w:ascii="Times New Roman" w:hAnsi="Times New Roman" w:eastAsia="宋体" w:cs="Times New Roman"/>
                <w:bCs/>
                <w:sz w:val="24"/>
              </w:rPr>
              <w:t>）</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836"/>
              <w:gridCol w:w="1334"/>
              <w:gridCol w:w="1231"/>
              <w:gridCol w:w="938"/>
              <w:gridCol w:w="1722"/>
              <w:gridCol w:w="1221"/>
            </w:tblGrid>
            <w:tr w14:paraId="425AEC8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266" w:type="pct"/>
                  <w:gridSpan w:val="5"/>
                  <w:vAlign w:val="center"/>
                </w:tcPr>
                <w:p w14:paraId="290A20D8">
                  <w:pPr>
                    <w:jc w:val="center"/>
                    <w:rPr>
                      <w:rFonts w:ascii="Times New Roman" w:hAnsi="Times New Roman" w:eastAsia="宋体" w:cs="Times New Roman"/>
                      <w:szCs w:val="21"/>
                    </w:rPr>
                  </w:pPr>
                  <w:r>
                    <w:rPr>
                      <w:rFonts w:ascii="Times New Roman" w:hAnsi="Times New Roman" w:eastAsia="宋体" w:cs="Times New Roman"/>
                      <w:szCs w:val="21"/>
                    </w:rPr>
                    <w:t>离散点信息</w:t>
                  </w:r>
                </w:p>
              </w:tc>
              <w:tc>
                <w:tcPr>
                  <w:tcW w:w="734" w:type="pct"/>
                  <w:vAlign w:val="center"/>
                </w:tcPr>
                <w:p w14:paraId="049AD145">
                  <w:pPr>
                    <w:jc w:val="center"/>
                    <w:rPr>
                      <w:rFonts w:ascii="Times New Roman" w:hAnsi="Times New Roman" w:eastAsia="宋体" w:cs="Times New Roman"/>
                      <w:szCs w:val="21"/>
                    </w:rPr>
                  </w:pPr>
                  <w:r>
                    <w:rPr>
                      <w:rFonts w:hint="eastAsia" w:ascii="Times New Roman" w:hAnsi="Times New Roman" w:eastAsia="宋体" w:cs="Times New Roman"/>
                      <w:szCs w:val="21"/>
                    </w:rPr>
                    <w:t>装卸扬尘</w:t>
                  </w:r>
                </w:p>
              </w:tc>
            </w:tr>
            <w:tr w14:paraId="4C4A151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09" w:type="pct"/>
                  <w:vAlign w:val="center"/>
                </w:tcPr>
                <w:p w14:paraId="3530D42E">
                  <w:pPr>
                    <w:jc w:val="center"/>
                    <w:rPr>
                      <w:rFonts w:ascii="Times New Roman" w:hAnsi="Times New Roman" w:eastAsia="宋体" w:cs="Times New Roman"/>
                      <w:szCs w:val="21"/>
                    </w:rPr>
                  </w:pPr>
                  <w:r>
                    <w:rPr>
                      <w:rFonts w:ascii="Times New Roman" w:hAnsi="Times New Roman" w:eastAsia="宋体" w:cs="Times New Roman"/>
                      <w:szCs w:val="21"/>
                    </w:rPr>
                    <w:t>离散点名称</w:t>
                  </w:r>
                </w:p>
              </w:tc>
              <w:tc>
                <w:tcPr>
                  <w:tcW w:w="806" w:type="pct"/>
                  <w:vAlign w:val="center"/>
                </w:tcPr>
                <w:p w14:paraId="2D48BA16">
                  <w:pPr>
                    <w:jc w:val="center"/>
                    <w:rPr>
                      <w:rFonts w:ascii="Times New Roman" w:hAnsi="Times New Roman" w:eastAsia="宋体" w:cs="Times New Roman"/>
                      <w:szCs w:val="21"/>
                    </w:rPr>
                  </w:pPr>
                  <w:r>
                    <w:rPr>
                      <w:rFonts w:ascii="Times New Roman" w:hAnsi="Times New Roman" w:eastAsia="宋体" w:cs="Times New Roman"/>
                      <w:szCs w:val="21"/>
                    </w:rPr>
                    <w:t>经度</w:t>
                  </w:r>
                  <w:r>
                    <w:rPr>
                      <w:rFonts w:hint="eastAsia" w:ascii="Times New Roman" w:hAnsi="Times New Roman" w:eastAsia="宋体" w:cs="Times New Roman"/>
                      <w:szCs w:val="21"/>
                      <w:lang w:eastAsia="zh-CN"/>
                    </w:rPr>
                    <w:t>（</w:t>
                  </w:r>
                  <w:r>
                    <w:rPr>
                      <w:rFonts w:ascii="Times New Roman" w:hAnsi="Times New Roman" w:eastAsia="宋体" w:cs="Times New Roman"/>
                      <w:szCs w:val="21"/>
                    </w:rPr>
                    <w:t>度</w:t>
                  </w:r>
                  <w:r>
                    <w:rPr>
                      <w:rFonts w:hint="eastAsia" w:ascii="Times New Roman" w:hAnsi="Times New Roman" w:eastAsia="宋体" w:cs="Times New Roman"/>
                      <w:szCs w:val="21"/>
                      <w:lang w:eastAsia="zh-CN"/>
                    </w:rPr>
                    <w:t>）</w:t>
                  </w:r>
                </w:p>
              </w:tc>
              <w:tc>
                <w:tcPr>
                  <w:tcW w:w="744" w:type="pct"/>
                  <w:vAlign w:val="center"/>
                </w:tcPr>
                <w:p w14:paraId="5A179B82">
                  <w:pPr>
                    <w:jc w:val="center"/>
                    <w:rPr>
                      <w:rFonts w:ascii="Times New Roman" w:hAnsi="Times New Roman" w:eastAsia="宋体" w:cs="Times New Roman"/>
                      <w:szCs w:val="21"/>
                    </w:rPr>
                  </w:pPr>
                  <w:r>
                    <w:rPr>
                      <w:rFonts w:ascii="Times New Roman" w:hAnsi="Times New Roman" w:eastAsia="宋体" w:cs="Times New Roman"/>
                      <w:szCs w:val="21"/>
                    </w:rPr>
                    <w:t>纬度</w:t>
                  </w:r>
                  <w:r>
                    <w:rPr>
                      <w:rFonts w:hint="eastAsia" w:ascii="Times New Roman" w:hAnsi="Times New Roman" w:eastAsia="宋体" w:cs="Times New Roman"/>
                      <w:szCs w:val="21"/>
                      <w:lang w:eastAsia="zh-CN"/>
                    </w:rPr>
                    <w:t>（</w:t>
                  </w:r>
                  <w:r>
                    <w:rPr>
                      <w:rFonts w:ascii="Times New Roman" w:hAnsi="Times New Roman" w:eastAsia="宋体" w:cs="Times New Roman"/>
                      <w:szCs w:val="21"/>
                    </w:rPr>
                    <w:t>度</w:t>
                  </w:r>
                  <w:r>
                    <w:rPr>
                      <w:rFonts w:hint="eastAsia" w:ascii="Times New Roman" w:hAnsi="Times New Roman" w:eastAsia="宋体" w:cs="Times New Roman"/>
                      <w:szCs w:val="21"/>
                      <w:lang w:eastAsia="zh-CN"/>
                    </w:rPr>
                    <w:t>）</w:t>
                  </w:r>
                </w:p>
              </w:tc>
              <w:tc>
                <w:tcPr>
                  <w:tcW w:w="567" w:type="pct"/>
                  <w:vAlign w:val="center"/>
                </w:tcPr>
                <w:p w14:paraId="56B5A8EF">
                  <w:pPr>
                    <w:jc w:val="center"/>
                    <w:rPr>
                      <w:rFonts w:ascii="Times New Roman" w:hAnsi="Times New Roman" w:eastAsia="宋体" w:cs="Times New Roman"/>
                      <w:szCs w:val="21"/>
                    </w:rPr>
                  </w:pPr>
                  <w:r>
                    <w:rPr>
                      <w:rFonts w:ascii="Times New Roman" w:hAnsi="Times New Roman" w:eastAsia="宋体" w:cs="Times New Roman"/>
                      <w:szCs w:val="21"/>
                    </w:rPr>
                    <w:t>海拔</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1040" w:type="pct"/>
                  <w:vAlign w:val="center"/>
                </w:tcPr>
                <w:p w14:paraId="121EC972">
                  <w:pPr>
                    <w:jc w:val="center"/>
                    <w:rPr>
                      <w:rFonts w:ascii="Times New Roman" w:hAnsi="Times New Roman" w:eastAsia="宋体" w:cs="Times New Roman"/>
                      <w:szCs w:val="21"/>
                    </w:rPr>
                  </w:pPr>
                  <w:r>
                    <w:rPr>
                      <w:rFonts w:ascii="Times New Roman" w:hAnsi="Times New Roman" w:eastAsia="宋体" w:cs="Times New Roman"/>
                      <w:szCs w:val="21"/>
                    </w:rPr>
                    <w:t>下风向距离</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734" w:type="pct"/>
                  <w:vAlign w:val="center"/>
                </w:tcPr>
                <w:p w14:paraId="4222CE1D">
                  <w:pPr>
                    <w:jc w:val="center"/>
                    <w:rPr>
                      <w:rFonts w:ascii="Times New Roman" w:hAnsi="Times New Roman" w:eastAsia="宋体" w:cs="Times New Roman"/>
                      <w:szCs w:val="21"/>
                    </w:rPr>
                  </w:pPr>
                  <w:r>
                    <w:rPr>
                      <w:rFonts w:ascii="Times New Roman" w:hAnsi="Times New Roman" w:eastAsia="宋体" w:cs="Times New Roman"/>
                      <w:szCs w:val="21"/>
                    </w:rPr>
                    <w:t>TSP(μg/m³)</w:t>
                  </w:r>
                </w:p>
              </w:tc>
            </w:tr>
            <w:tr w14:paraId="5D01523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09" w:type="pct"/>
                  <w:vAlign w:val="center"/>
                </w:tcPr>
                <w:p w14:paraId="5118C690">
                  <w:pPr>
                    <w:jc w:val="center"/>
                    <w:rPr>
                      <w:rFonts w:ascii="Times New Roman" w:hAnsi="Times New Roman" w:eastAsia="宋体" w:cs="Times New Roman"/>
                      <w:szCs w:val="21"/>
                    </w:rPr>
                  </w:pPr>
                  <w:r>
                    <w:rPr>
                      <w:rFonts w:ascii="Times New Roman" w:hAnsi="Times New Roman" w:eastAsia="宋体" w:cs="Times New Roman"/>
                      <w:szCs w:val="21"/>
                    </w:rPr>
                    <w:t>卷木村最近敏感点</w:t>
                  </w:r>
                </w:p>
              </w:tc>
              <w:tc>
                <w:tcPr>
                  <w:tcW w:w="806" w:type="pct"/>
                  <w:vAlign w:val="center"/>
                </w:tcPr>
                <w:p w14:paraId="3E8651A9">
                  <w:pPr>
                    <w:jc w:val="center"/>
                    <w:rPr>
                      <w:rFonts w:ascii="Times New Roman" w:hAnsi="Times New Roman" w:eastAsia="宋体" w:cs="Times New Roman"/>
                      <w:szCs w:val="21"/>
                    </w:rPr>
                  </w:pPr>
                  <w:r>
                    <w:rPr>
                      <w:rFonts w:ascii="Times New Roman" w:hAnsi="Times New Roman" w:eastAsia="宋体" w:cs="Times New Roman"/>
                      <w:szCs w:val="21"/>
                    </w:rPr>
                    <w:t>103.228435</w:t>
                  </w:r>
                </w:p>
              </w:tc>
              <w:tc>
                <w:tcPr>
                  <w:tcW w:w="744" w:type="pct"/>
                  <w:vAlign w:val="center"/>
                </w:tcPr>
                <w:p w14:paraId="41F7A7F2">
                  <w:pPr>
                    <w:jc w:val="center"/>
                    <w:rPr>
                      <w:rFonts w:ascii="Times New Roman" w:hAnsi="Times New Roman" w:eastAsia="宋体" w:cs="Times New Roman"/>
                      <w:szCs w:val="21"/>
                    </w:rPr>
                  </w:pPr>
                  <w:r>
                    <w:rPr>
                      <w:rFonts w:ascii="Times New Roman" w:hAnsi="Times New Roman" w:eastAsia="宋体" w:cs="Times New Roman"/>
                      <w:szCs w:val="21"/>
                    </w:rPr>
                    <w:t>29.196361</w:t>
                  </w:r>
                </w:p>
              </w:tc>
              <w:tc>
                <w:tcPr>
                  <w:tcW w:w="567" w:type="pct"/>
                  <w:vAlign w:val="center"/>
                </w:tcPr>
                <w:p w14:paraId="54F2C9CD">
                  <w:pPr>
                    <w:jc w:val="center"/>
                    <w:rPr>
                      <w:rFonts w:ascii="Times New Roman" w:hAnsi="Times New Roman" w:eastAsia="宋体" w:cs="Times New Roman"/>
                      <w:szCs w:val="21"/>
                    </w:rPr>
                  </w:pPr>
                  <w:r>
                    <w:rPr>
                      <w:rFonts w:ascii="Times New Roman" w:hAnsi="Times New Roman" w:eastAsia="宋体" w:cs="Times New Roman"/>
                      <w:szCs w:val="21"/>
                    </w:rPr>
                    <w:t>759.0</w:t>
                  </w:r>
                </w:p>
              </w:tc>
              <w:tc>
                <w:tcPr>
                  <w:tcW w:w="1040" w:type="pct"/>
                  <w:vAlign w:val="center"/>
                </w:tcPr>
                <w:p w14:paraId="0134A3FB">
                  <w:pPr>
                    <w:jc w:val="center"/>
                    <w:rPr>
                      <w:rFonts w:ascii="Times New Roman" w:hAnsi="Times New Roman" w:eastAsia="宋体" w:cs="Times New Roman"/>
                      <w:szCs w:val="21"/>
                    </w:rPr>
                  </w:pPr>
                  <w:r>
                    <w:rPr>
                      <w:rFonts w:ascii="Times New Roman" w:hAnsi="Times New Roman" w:eastAsia="宋体" w:cs="Times New Roman"/>
                      <w:szCs w:val="21"/>
                    </w:rPr>
                    <w:t>250.39</w:t>
                  </w:r>
                </w:p>
              </w:tc>
              <w:tc>
                <w:tcPr>
                  <w:tcW w:w="734" w:type="pct"/>
                  <w:vAlign w:val="center"/>
                </w:tcPr>
                <w:p w14:paraId="5B8373E0">
                  <w:pPr>
                    <w:jc w:val="center"/>
                    <w:rPr>
                      <w:rFonts w:ascii="Times New Roman" w:hAnsi="Times New Roman" w:eastAsia="宋体" w:cs="Times New Roman"/>
                      <w:szCs w:val="21"/>
                    </w:rPr>
                  </w:pPr>
                  <w:r>
                    <w:rPr>
                      <w:rFonts w:ascii="Times New Roman" w:hAnsi="Times New Roman" w:eastAsia="宋体" w:cs="Times New Roman"/>
                      <w:szCs w:val="21"/>
                    </w:rPr>
                    <w:t>9.3101</w:t>
                  </w:r>
                </w:p>
              </w:tc>
            </w:tr>
            <w:tr w14:paraId="74DAF49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09" w:type="pct"/>
                  <w:vAlign w:val="center"/>
                </w:tcPr>
                <w:p w14:paraId="16BBADE6">
                  <w:pPr>
                    <w:jc w:val="center"/>
                    <w:rPr>
                      <w:rFonts w:ascii="Times New Roman" w:hAnsi="Times New Roman" w:eastAsia="宋体" w:cs="Times New Roman"/>
                      <w:szCs w:val="21"/>
                    </w:rPr>
                  </w:pPr>
                  <w:r>
                    <w:rPr>
                      <w:rFonts w:ascii="Times New Roman" w:hAnsi="Times New Roman" w:eastAsia="宋体" w:cs="Times New Roman"/>
                      <w:szCs w:val="21"/>
                    </w:rPr>
                    <w:t>南坡最近敏感点</w:t>
                  </w:r>
                </w:p>
              </w:tc>
              <w:tc>
                <w:tcPr>
                  <w:tcW w:w="806" w:type="pct"/>
                  <w:vAlign w:val="center"/>
                </w:tcPr>
                <w:p w14:paraId="390B0096">
                  <w:pPr>
                    <w:jc w:val="center"/>
                    <w:rPr>
                      <w:rFonts w:ascii="Times New Roman" w:hAnsi="Times New Roman" w:eastAsia="宋体" w:cs="Times New Roman"/>
                      <w:szCs w:val="21"/>
                    </w:rPr>
                  </w:pPr>
                  <w:r>
                    <w:rPr>
                      <w:rFonts w:ascii="Times New Roman" w:hAnsi="Times New Roman" w:eastAsia="宋体" w:cs="Times New Roman"/>
                      <w:szCs w:val="21"/>
                    </w:rPr>
                    <w:t>103.226591</w:t>
                  </w:r>
                </w:p>
              </w:tc>
              <w:tc>
                <w:tcPr>
                  <w:tcW w:w="744" w:type="pct"/>
                  <w:vAlign w:val="center"/>
                </w:tcPr>
                <w:p w14:paraId="76223E86">
                  <w:pPr>
                    <w:jc w:val="center"/>
                    <w:rPr>
                      <w:rFonts w:ascii="Times New Roman" w:hAnsi="Times New Roman" w:eastAsia="宋体" w:cs="Times New Roman"/>
                      <w:szCs w:val="21"/>
                    </w:rPr>
                  </w:pPr>
                  <w:r>
                    <w:rPr>
                      <w:rFonts w:ascii="Times New Roman" w:hAnsi="Times New Roman" w:eastAsia="宋体" w:cs="Times New Roman"/>
                      <w:szCs w:val="21"/>
                    </w:rPr>
                    <w:t>29.203742</w:t>
                  </w:r>
                </w:p>
              </w:tc>
              <w:tc>
                <w:tcPr>
                  <w:tcW w:w="567" w:type="pct"/>
                  <w:vAlign w:val="center"/>
                </w:tcPr>
                <w:p w14:paraId="1AC59830">
                  <w:pPr>
                    <w:jc w:val="center"/>
                    <w:rPr>
                      <w:rFonts w:ascii="Times New Roman" w:hAnsi="Times New Roman" w:eastAsia="宋体" w:cs="Times New Roman"/>
                      <w:szCs w:val="21"/>
                    </w:rPr>
                  </w:pPr>
                  <w:r>
                    <w:rPr>
                      <w:rFonts w:ascii="Times New Roman" w:hAnsi="Times New Roman" w:eastAsia="宋体" w:cs="Times New Roman"/>
                      <w:szCs w:val="21"/>
                    </w:rPr>
                    <w:t>893.0</w:t>
                  </w:r>
                </w:p>
              </w:tc>
              <w:tc>
                <w:tcPr>
                  <w:tcW w:w="1040" w:type="pct"/>
                  <w:vAlign w:val="center"/>
                </w:tcPr>
                <w:p w14:paraId="296C2681">
                  <w:pPr>
                    <w:jc w:val="center"/>
                    <w:rPr>
                      <w:rFonts w:ascii="Times New Roman" w:hAnsi="Times New Roman" w:eastAsia="宋体" w:cs="Times New Roman"/>
                      <w:szCs w:val="21"/>
                    </w:rPr>
                  </w:pPr>
                  <w:r>
                    <w:rPr>
                      <w:rFonts w:ascii="Times New Roman" w:hAnsi="Times New Roman" w:eastAsia="宋体" w:cs="Times New Roman"/>
                      <w:szCs w:val="21"/>
                    </w:rPr>
                    <w:t>790.53</w:t>
                  </w:r>
                </w:p>
              </w:tc>
              <w:tc>
                <w:tcPr>
                  <w:tcW w:w="734" w:type="pct"/>
                  <w:vAlign w:val="center"/>
                </w:tcPr>
                <w:p w14:paraId="350DFE20">
                  <w:pPr>
                    <w:jc w:val="center"/>
                    <w:rPr>
                      <w:rFonts w:ascii="Times New Roman" w:hAnsi="Times New Roman" w:eastAsia="宋体" w:cs="Times New Roman"/>
                      <w:szCs w:val="21"/>
                    </w:rPr>
                  </w:pPr>
                  <w:r>
                    <w:rPr>
                      <w:rFonts w:ascii="Times New Roman" w:hAnsi="Times New Roman" w:eastAsia="宋体" w:cs="Times New Roman"/>
                      <w:szCs w:val="21"/>
                    </w:rPr>
                    <w:t>3.0804</w:t>
                  </w:r>
                </w:p>
              </w:tc>
            </w:tr>
            <w:tr w14:paraId="0E879FC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09" w:type="pct"/>
                  <w:vAlign w:val="center"/>
                </w:tcPr>
                <w:p w14:paraId="0EE6B621">
                  <w:pPr>
                    <w:jc w:val="center"/>
                    <w:rPr>
                      <w:rFonts w:ascii="Times New Roman" w:hAnsi="Times New Roman" w:eastAsia="宋体" w:cs="Times New Roman"/>
                      <w:szCs w:val="21"/>
                    </w:rPr>
                  </w:pPr>
                  <w:r>
                    <w:rPr>
                      <w:rFonts w:ascii="Times New Roman" w:hAnsi="Times New Roman" w:eastAsia="宋体" w:cs="Times New Roman"/>
                      <w:szCs w:val="21"/>
                    </w:rPr>
                    <w:t>下溪坪最近敏感点</w:t>
                  </w:r>
                </w:p>
              </w:tc>
              <w:tc>
                <w:tcPr>
                  <w:tcW w:w="806" w:type="pct"/>
                  <w:vAlign w:val="center"/>
                </w:tcPr>
                <w:p w14:paraId="43E5BEF8">
                  <w:pPr>
                    <w:jc w:val="center"/>
                    <w:rPr>
                      <w:rFonts w:ascii="Times New Roman" w:hAnsi="Times New Roman" w:eastAsia="宋体" w:cs="Times New Roman"/>
                      <w:szCs w:val="21"/>
                    </w:rPr>
                  </w:pPr>
                  <w:r>
                    <w:rPr>
                      <w:rFonts w:ascii="Times New Roman" w:hAnsi="Times New Roman" w:eastAsia="宋体" w:cs="Times New Roman"/>
                      <w:szCs w:val="21"/>
                    </w:rPr>
                    <w:t>103.232999</w:t>
                  </w:r>
                </w:p>
              </w:tc>
              <w:tc>
                <w:tcPr>
                  <w:tcW w:w="744" w:type="pct"/>
                  <w:vAlign w:val="center"/>
                </w:tcPr>
                <w:p w14:paraId="5FDC05A9">
                  <w:pPr>
                    <w:jc w:val="center"/>
                    <w:rPr>
                      <w:rFonts w:ascii="Times New Roman" w:hAnsi="Times New Roman" w:eastAsia="宋体" w:cs="Times New Roman"/>
                      <w:szCs w:val="21"/>
                    </w:rPr>
                  </w:pPr>
                  <w:r>
                    <w:rPr>
                      <w:rFonts w:ascii="Times New Roman" w:hAnsi="Times New Roman" w:eastAsia="宋体" w:cs="Times New Roman"/>
                      <w:szCs w:val="21"/>
                    </w:rPr>
                    <w:t>29.197267</w:t>
                  </w:r>
                </w:p>
              </w:tc>
              <w:tc>
                <w:tcPr>
                  <w:tcW w:w="567" w:type="pct"/>
                  <w:vAlign w:val="center"/>
                </w:tcPr>
                <w:p w14:paraId="16D20EDF">
                  <w:pPr>
                    <w:jc w:val="center"/>
                    <w:rPr>
                      <w:rFonts w:ascii="Times New Roman" w:hAnsi="Times New Roman" w:eastAsia="宋体" w:cs="Times New Roman"/>
                      <w:szCs w:val="21"/>
                    </w:rPr>
                  </w:pPr>
                  <w:r>
                    <w:rPr>
                      <w:rFonts w:ascii="Times New Roman" w:hAnsi="Times New Roman" w:eastAsia="宋体" w:cs="Times New Roman"/>
                      <w:szCs w:val="21"/>
                    </w:rPr>
                    <w:t>656.0</w:t>
                  </w:r>
                </w:p>
              </w:tc>
              <w:tc>
                <w:tcPr>
                  <w:tcW w:w="1040" w:type="pct"/>
                  <w:vAlign w:val="center"/>
                </w:tcPr>
                <w:p w14:paraId="139138C3">
                  <w:pPr>
                    <w:jc w:val="center"/>
                    <w:rPr>
                      <w:rFonts w:ascii="Times New Roman" w:hAnsi="Times New Roman" w:eastAsia="宋体" w:cs="Times New Roman"/>
                      <w:szCs w:val="21"/>
                    </w:rPr>
                  </w:pPr>
                  <w:r>
                    <w:rPr>
                      <w:rFonts w:ascii="Times New Roman" w:hAnsi="Times New Roman" w:eastAsia="宋体" w:cs="Times New Roman"/>
                      <w:szCs w:val="21"/>
                    </w:rPr>
                    <w:t>267.71</w:t>
                  </w:r>
                </w:p>
              </w:tc>
              <w:tc>
                <w:tcPr>
                  <w:tcW w:w="734" w:type="pct"/>
                  <w:vAlign w:val="center"/>
                </w:tcPr>
                <w:p w14:paraId="453B49B6">
                  <w:pPr>
                    <w:jc w:val="center"/>
                    <w:rPr>
                      <w:rFonts w:ascii="Times New Roman" w:hAnsi="Times New Roman" w:eastAsia="宋体" w:cs="Times New Roman"/>
                      <w:szCs w:val="21"/>
                    </w:rPr>
                  </w:pPr>
                  <w:r>
                    <w:rPr>
                      <w:rFonts w:ascii="Times New Roman" w:hAnsi="Times New Roman" w:eastAsia="宋体" w:cs="Times New Roman"/>
                      <w:szCs w:val="21"/>
                    </w:rPr>
                    <w:t>8.8668</w:t>
                  </w:r>
                </w:p>
              </w:tc>
            </w:tr>
            <w:tr w14:paraId="633EB4C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09" w:type="pct"/>
                  <w:vAlign w:val="center"/>
                </w:tcPr>
                <w:p w14:paraId="0409C59A">
                  <w:pPr>
                    <w:jc w:val="center"/>
                    <w:rPr>
                      <w:rFonts w:ascii="Times New Roman" w:hAnsi="Times New Roman" w:eastAsia="宋体" w:cs="Times New Roman"/>
                      <w:szCs w:val="21"/>
                    </w:rPr>
                  </w:pPr>
                  <w:r>
                    <w:rPr>
                      <w:rFonts w:ascii="Times New Roman" w:hAnsi="Times New Roman" w:eastAsia="宋体" w:cs="Times New Roman"/>
                      <w:szCs w:val="21"/>
                    </w:rPr>
                    <w:t>堰坎最近敏感点</w:t>
                  </w:r>
                </w:p>
              </w:tc>
              <w:tc>
                <w:tcPr>
                  <w:tcW w:w="806" w:type="pct"/>
                  <w:vAlign w:val="center"/>
                </w:tcPr>
                <w:p w14:paraId="05EE67C9">
                  <w:pPr>
                    <w:jc w:val="center"/>
                    <w:rPr>
                      <w:rFonts w:ascii="Times New Roman" w:hAnsi="Times New Roman" w:eastAsia="宋体" w:cs="Times New Roman"/>
                      <w:szCs w:val="21"/>
                    </w:rPr>
                  </w:pPr>
                  <w:r>
                    <w:rPr>
                      <w:rFonts w:ascii="Times New Roman" w:hAnsi="Times New Roman" w:eastAsia="宋体" w:cs="Times New Roman"/>
                      <w:szCs w:val="21"/>
                    </w:rPr>
                    <w:t>103.224671</w:t>
                  </w:r>
                </w:p>
              </w:tc>
              <w:tc>
                <w:tcPr>
                  <w:tcW w:w="744" w:type="pct"/>
                  <w:vAlign w:val="center"/>
                </w:tcPr>
                <w:p w14:paraId="26103E65">
                  <w:pPr>
                    <w:jc w:val="center"/>
                    <w:rPr>
                      <w:rFonts w:ascii="Times New Roman" w:hAnsi="Times New Roman" w:eastAsia="宋体" w:cs="Times New Roman"/>
                      <w:szCs w:val="21"/>
                    </w:rPr>
                  </w:pPr>
                  <w:r>
                    <w:rPr>
                      <w:rFonts w:ascii="Times New Roman" w:hAnsi="Times New Roman" w:eastAsia="宋体" w:cs="Times New Roman"/>
                      <w:szCs w:val="21"/>
                    </w:rPr>
                    <w:t>29.198219</w:t>
                  </w:r>
                </w:p>
              </w:tc>
              <w:tc>
                <w:tcPr>
                  <w:tcW w:w="567" w:type="pct"/>
                  <w:vAlign w:val="center"/>
                </w:tcPr>
                <w:p w14:paraId="58368141">
                  <w:pPr>
                    <w:jc w:val="center"/>
                    <w:rPr>
                      <w:rFonts w:ascii="Times New Roman" w:hAnsi="Times New Roman" w:eastAsia="宋体" w:cs="Times New Roman"/>
                      <w:szCs w:val="21"/>
                    </w:rPr>
                  </w:pPr>
                  <w:r>
                    <w:rPr>
                      <w:rFonts w:ascii="Times New Roman" w:hAnsi="Times New Roman" w:eastAsia="宋体" w:cs="Times New Roman"/>
                      <w:szCs w:val="21"/>
                    </w:rPr>
                    <w:t>821.0</w:t>
                  </w:r>
                </w:p>
              </w:tc>
              <w:tc>
                <w:tcPr>
                  <w:tcW w:w="1040" w:type="pct"/>
                  <w:vAlign w:val="center"/>
                </w:tcPr>
                <w:p w14:paraId="3E098F47">
                  <w:pPr>
                    <w:jc w:val="center"/>
                    <w:rPr>
                      <w:rFonts w:ascii="Times New Roman" w:hAnsi="Times New Roman" w:eastAsia="宋体" w:cs="Times New Roman"/>
                      <w:szCs w:val="21"/>
                    </w:rPr>
                  </w:pPr>
                  <w:r>
                    <w:rPr>
                      <w:rFonts w:ascii="Times New Roman" w:hAnsi="Times New Roman" w:eastAsia="宋体" w:cs="Times New Roman"/>
                      <w:szCs w:val="21"/>
                    </w:rPr>
                    <w:t>568.05</w:t>
                  </w:r>
                </w:p>
              </w:tc>
              <w:tc>
                <w:tcPr>
                  <w:tcW w:w="734" w:type="pct"/>
                  <w:vAlign w:val="center"/>
                </w:tcPr>
                <w:p w14:paraId="0FCA6984">
                  <w:pPr>
                    <w:jc w:val="center"/>
                    <w:rPr>
                      <w:rFonts w:ascii="Times New Roman" w:hAnsi="Times New Roman" w:eastAsia="宋体" w:cs="Times New Roman"/>
                      <w:szCs w:val="21"/>
                    </w:rPr>
                  </w:pPr>
                  <w:r>
                    <w:rPr>
                      <w:rFonts w:ascii="Times New Roman" w:hAnsi="Times New Roman" w:eastAsia="宋体" w:cs="Times New Roman"/>
                      <w:szCs w:val="21"/>
                    </w:rPr>
                    <w:t>4.3605</w:t>
                  </w:r>
                </w:p>
              </w:tc>
            </w:tr>
            <w:tr w14:paraId="0D1AA8E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09" w:type="pct"/>
                  <w:vAlign w:val="center"/>
                </w:tcPr>
                <w:p w14:paraId="77AB4A74">
                  <w:pPr>
                    <w:jc w:val="center"/>
                    <w:rPr>
                      <w:rFonts w:ascii="Times New Roman" w:hAnsi="Times New Roman" w:eastAsia="宋体" w:cs="Times New Roman"/>
                      <w:szCs w:val="21"/>
                    </w:rPr>
                  </w:pPr>
                  <w:r>
                    <w:rPr>
                      <w:rFonts w:ascii="Times New Roman" w:hAnsi="Times New Roman" w:eastAsia="宋体" w:cs="Times New Roman"/>
                      <w:szCs w:val="21"/>
                    </w:rPr>
                    <w:t>西北散居居民敏感点</w:t>
                  </w:r>
                </w:p>
              </w:tc>
              <w:tc>
                <w:tcPr>
                  <w:tcW w:w="806" w:type="pct"/>
                  <w:vAlign w:val="center"/>
                </w:tcPr>
                <w:p w14:paraId="01543B81">
                  <w:pPr>
                    <w:jc w:val="center"/>
                    <w:rPr>
                      <w:rFonts w:ascii="Times New Roman" w:hAnsi="Times New Roman" w:eastAsia="宋体" w:cs="Times New Roman"/>
                      <w:szCs w:val="21"/>
                    </w:rPr>
                  </w:pPr>
                  <w:r>
                    <w:rPr>
                      <w:rFonts w:ascii="Times New Roman" w:hAnsi="Times New Roman" w:eastAsia="宋体" w:cs="Times New Roman"/>
                      <w:szCs w:val="21"/>
                    </w:rPr>
                    <w:t>103.227535</w:t>
                  </w:r>
                </w:p>
              </w:tc>
              <w:tc>
                <w:tcPr>
                  <w:tcW w:w="744" w:type="pct"/>
                  <w:vAlign w:val="center"/>
                </w:tcPr>
                <w:p w14:paraId="177B84FB">
                  <w:pPr>
                    <w:jc w:val="center"/>
                    <w:rPr>
                      <w:rFonts w:ascii="Times New Roman" w:hAnsi="Times New Roman" w:eastAsia="宋体" w:cs="Times New Roman"/>
                      <w:szCs w:val="21"/>
                    </w:rPr>
                  </w:pPr>
                  <w:r>
                    <w:rPr>
                      <w:rFonts w:ascii="Times New Roman" w:hAnsi="Times New Roman" w:eastAsia="宋体" w:cs="Times New Roman"/>
                      <w:szCs w:val="21"/>
                    </w:rPr>
                    <w:t>29.201588</w:t>
                  </w:r>
                </w:p>
              </w:tc>
              <w:tc>
                <w:tcPr>
                  <w:tcW w:w="567" w:type="pct"/>
                  <w:vAlign w:val="center"/>
                </w:tcPr>
                <w:p w14:paraId="78A93EBD">
                  <w:pPr>
                    <w:jc w:val="center"/>
                    <w:rPr>
                      <w:rFonts w:ascii="Times New Roman" w:hAnsi="Times New Roman" w:eastAsia="宋体" w:cs="Times New Roman"/>
                      <w:szCs w:val="21"/>
                    </w:rPr>
                  </w:pPr>
                  <w:r>
                    <w:rPr>
                      <w:rFonts w:ascii="Times New Roman" w:hAnsi="Times New Roman" w:eastAsia="宋体" w:cs="Times New Roman"/>
                      <w:szCs w:val="21"/>
                    </w:rPr>
                    <w:t>750.0</w:t>
                  </w:r>
                </w:p>
              </w:tc>
              <w:tc>
                <w:tcPr>
                  <w:tcW w:w="1040" w:type="pct"/>
                  <w:vAlign w:val="center"/>
                </w:tcPr>
                <w:p w14:paraId="0FD8CECA">
                  <w:pPr>
                    <w:jc w:val="center"/>
                    <w:rPr>
                      <w:rFonts w:ascii="Times New Roman" w:hAnsi="Times New Roman" w:eastAsia="宋体" w:cs="Times New Roman"/>
                      <w:szCs w:val="21"/>
                    </w:rPr>
                  </w:pPr>
                  <w:r>
                    <w:rPr>
                      <w:rFonts w:ascii="Times New Roman" w:hAnsi="Times New Roman" w:eastAsia="宋体" w:cs="Times New Roman"/>
                      <w:szCs w:val="21"/>
                    </w:rPr>
                    <w:t>512.11</w:t>
                  </w:r>
                </w:p>
              </w:tc>
              <w:tc>
                <w:tcPr>
                  <w:tcW w:w="734" w:type="pct"/>
                  <w:vAlign w:val="center"/>
                </w:tcPr>
                <w:p w14:paraId="0B81C978">
                  <w:pPr>
                    <w:jc w:val="center"/>
                    <w:rPr>
                      <w:rFonts w:ascii="Times New Roman" w:hAnsi="Times New Roman" w:eastAsia="宋体" w:cs="Times New Roman"/>
                      <w:szCs w:val="21"/>
                    </w:rPr>
                  </w:pPr>
                  <w:r>
                    <w:rPr>
                      <w:rFonts w:ascii="Times New Roman" w:hAnsi="Times New Roman" w:eastAsia="宋体" w:cs="Times New Roman"/>
                      <w:szCs w:val="21"/>
                    </w:rPr>
                    <w:t>5.3620</w:t>
                  </w:r>
                </w:p>
              </w:tc>
            </w:tr>
            <w:tr w14:paraId="6595BB4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09" w:type="pct"/>
                  <w:vAlign w:val="center"/>
                </w:tcPr>
                <w:p w14:paraId="52CE9B7B">
                  <w:pPr>
                    <w:jc w:val="center"/>
                    <w:rPr>
                      <w:rFonts w:ascii="Times New Roman" w:hAnsi="Times New Roman" w:eastAsia="宋体" w:cs="Times New Roman"/>
                      <w:szCs w:val="21"/>
                    </w:rPr>
                  </w:pPr>
                  <w:r>
                    <w:rPr>
                      <w:rFonts w:ascii="Times New Roman" w:hAnsi="Times New Roman" w:eastAsia="宋体" w:cs="Times New Roman"/>
                      <w:szCs w:val="21"/>
                    </w:rPr>
                    <w:t>上溪坪最近敏感点</w:t>
                  </w:r>
                </w:p>
              </w:tc>
              <w:tc>
                <w:tcPr>
                  <w:tcW w:w="806" w:type="pct"/>
                  <w:vAlign w:val="center"/>
                </w:tcPr>
                <w:p w14:paraId="5B2F974C">
                  <w:pPr>
                    <w:jc w:val="center"/>
                    <w:rPr>
                      <w:rFonts w:ascii="Times New Roman" w:hAnsi="Times New Roman" w:eastAsia="宋体" w:cs="Times New Roman"/>
                      <w:szCs w:val="21"/>
                    </w:rPr>
                  </w:pPr>
                  <w:r>
                    <w:rPr>
                      <w:rFonts w:ascii="Times New Roman" w:hAnsi="Times New Roman" w:eastAsia="宋体" w:cs="Times New Roman"/>
                      <w:szCs w:val="21"/>
                    </w:rPr>
                    <w:t>103.234165</w:t>
                  </w:r>
                </w:p>
              </w:tc>
              <w:tc>
                <w:tcPr>
                  <w:tcW w:w="744" w:type="pct"/>
                  <w:vAlign w:val="center"/>
                </w:tcPr>
                <w:p w14:paraId="4BCC21BD">
                  <w:pPr>
                    <w:jc w:val="center"/>
                    <w:rPr>
                      <w:rFonts w:ascii="Times New Roman" w:hAnsi="Times New Roman" w:eastAsia="宋体" w:cs="Times New Roman"/>
                      <w:szCs w:val="21"/>
                    </w:rPr>
                  </w:pPr>
                  <w:r>
                    <w:rPr>
                      <w:rFonts w:ascii="Times New Roman" w:hAnsi="Times New Roman" w:eastAsia="宋体" w:cs="Times New Roman"/>
                      <w:szCs w:val="21"/>
                    </w:rPr>
                    <w:t>29.19251</w:t>
                  </w:r>
                </w:p>
              </w:tc>
              <w:tc>
                <w:tcPr>
                  <w:tcW w:w="567" w:type="pct"/>
                  <w:vAlign w:val="center"/>
                </w:tcPr>
                <w:p w14:paraId="71373569">
                  <w:pPr>
                    <w:jc w:val="center"/>
                    <w:rPr>
                      <w:rFonts w:ascii="Times New Roman" w:hAnsi="Times New Roman" w:eastAsia="宋体" w:cs="Times New Roman"/>
                      <w:szCs w:val="21"/>
                    </w:rPr>
                  </w:pPr>
                  <w:r>
                    <w:rPr>
                      <w:rFonts w:ascii="Times New Roman" w:hAnsi="Times New Roman" w:eastAsia="宋体" w:cs="Times New Roman"/>
                      <w:szCs w:val="21"/>
                    </w:rPr>
                    <w:t>678.0</w:t>
                  </w:r>
                </w:p>
              </w:tc>
              <w:tc>
                <w:tcPr>
                  <w:tcW w:w="1040" w:type="pct"/>
                  <w:vAlign w:val="center"/>
                </w:tcPr>
                <w:p w14:paraId="6E08F09B">
                  <w:pPr>
                    <w:jc w:val="center"/>
                    <w:rPr>
                      <w:rFonts w:ascii="Times New Roman" w:hAnsi="Times New Roman" w:eastAsia="宋体" w:cs="Times New Roman"/>
                      <w:szCs w:val="21"/>
                    </w:rPr>
                  </w:pPr>
                  <w:r>
                    <w:rPr>
                      <w:rFonts w:ascii="Times New Roman" w:hAnsi="Times New Roman" w:eastAsia="宋体" w:cs="Times New Roman"/>
                      <w:szCs w:val="21"/>
                    </w:rPr>
                    <w:t>690.59</w:t>
                  </w:r>
                </w:p>
              </w:tc>
              <w:tc>
                <w:tcPr>
                  <w:tcW w:w="734" w:type="pct"/>
                  <w:vAlign w:val="center"/>
                </w:tcPr>
                <w:p w14:paraId="68036710">
                  <w:pPr>
                    <w:jc w:val="center"/>
                    <w:rPr>
                      <w:rFonts w:ascii="Times New Roman" w:hAnsi="Times New Roman" w:eastAsia="宋体" w:cs="Times New Roman"/>
                      <w:szCs w:val="21"/>
                    </w:rPr>
                  </w:pPr>
                  <w:r>
                    <w:rPr>
                      <w:rFonts w:ascii="Times New Roman" w:hAnsi="Times New Roman" w:eastAsia="宋体" w:cs="Times New Roman"/>
                      <w:szCs w:val="21"/>
                    </w:rPr>
                    <w:t>4.1453</w:t>
                  </w:r>
                </w:p>
              </w:tc>
            </w:tr>
          </w:tbl>
          <w:p w14:paraId="3C3EBDA1">
            <w:pPr>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表7-10  敏感点预测和计算结果一览表（</w:t>
            </w:r>
            <w:r>
              <w:rPr>
                <w:rFonts w:hint="eastAsia" w:ascii="Times New Roman" w:hAnsi="Times New Roman" w:eastAsia="宋体" w:cs="Times New Roman"/>
                <w:bCs/>
                <w:sz w:val="24"/>
              </w:rPr>
              <w:t>车间面源</w:t>
            </w:r>
            <w:r>
              <w:rPr>
                <w:rFonts w:ascii="Times New Roman" w:hAnsi="Times New Roman" w:eastAsia="宋体" w:cs="Times New Roman"/>
                <w:bCs/>
                <w:sz w:val="24"/>
              </w:rPr>
              <w:t>）</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764"/>
              <w:gridCol w:w="1362"/>
              <w:gridCol w:w="1247"/>
              <w:gridCol w:w="954"/>
              <w:gridCol w:w="1481"/>
              <w:gridCol w:w="1474"/>
            </w:tblGrid>
            <w:tr w14:paraId="570895F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109" w:type="pct"/>
                  <w:gridSpan w:val="5"/>
                  <w:vAlign w:val="center"/>
                </w:tcPr>
                <w:p w14:paraId="4DFDA8B9">
                  <w:pPr>
                    <w:jc w:val="center"/>
                    <w:rPr>
                      <w:rFonts w:ascii="Times New Roman" w:hAnsi="Times New Roman" w:eastAsia="宋体" w:cs="Times New Roman"/>
                      <w:szCs w:val="21"/>
                    </w:rPr>
                  </w:pPr>
                  <w:r>
                    <w:rPr>
                      <w:rFonts w:ascii="Times New Roman" w:hAnsi="Times New Roman" w:eastAsia="宋体" w:cs="Times New Roman"/>
                      <w:szCs w:val="21"/>
                    </w:rPr>
                    <w:t>离散点信息</w:t>
                  </w:r>
                </w:p>
              </w:tc>
              <w:tc>
                <w:tcPr>
                  <w:tcW w:w="891" w:type="pct"/>
                  <w:vAlign w:val="center"/>
                </w:tcPr>
                <w:p w14:paraId="173E95E1">
                  <w:pPr>
                    <w:jc w:val="center"/>
                    <w:rPr>
                      <w:rFonts w:ascii="Times New Roman" w:hAnsi="Times New Roman" w:eastAsia="宋体" w:cs="Times New Roman"/>
                      <w:szCs w:val="21"/>
                    </w:rPr>
                  </w:pPr>
                  <w:r>
                    <w:rPr>
                      <w:rFonts w:hint="eastAsia" w:ascii="Times New Roman" w:hAnsi="Times New Roman" w:eastAsia="宋体" w:cs="Times New Roman"/>
                      <w:szCs w:val="21"/>
                    </w:rPr>
                    <w:t>车间</w:t>
                  </w:r>
                  <w:r>
                    <w:rPr>
                      <w:rFonts w:ascii="Times New Roman" w:hAnsi="Times New Roman" w:eastAsia="宋体" w:cs="Times New Roman"/>
                      <w:szCs w:val="21"/>
                    </w:rPr>
                    <w:t>面源</w:t>
                  </w:r>
                </w:p>
              </w:tc>
            </w:tr>
            <w:tr w14:paraId="2FFF4E4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65" w:type="pct"/>
                  <w:vAlign w:val="center"/>
                </w:tcPr>
                <w:p w14:paraId="7F6D9AD6">
                  <w:pPr>
                    <w:jc w:val="center"/>
                    <w:rPr>
                      <w:rFonts w:ascii="Times New Roman" w:hAnsi="Times New Roman" w:eastAsia="宋体" w:cs="Times New Roman"/>
                      <w:szCs w:val="21"/>
                    </w:rPr>
                  </w:pPr>
                  <w:r>
                    <w:rPr>
                      <w:rFonts w:ascii="Times New Roman" w:hAnsi="Times New Roman" w:eastAsia="宋体" w:cs="Times New Roman"/>
                      <w:szCs w:val="21"/>
                    </w:rPr>
                    <w:t>离散点名称</w:t>
                  </w:r>
                </w:p>
              </w:tc>
              <w:tc>
                <w:tcPr>
                  <w:tcW w:w="822" w:type="pct"/>
                  <w:vAlign w:val="center"/>
                </w:tcPr>
                <w:p w14:paraId="2ADA04D8">
                  <w:pPr>
                    <w:jc w:val="center"/>
                    <w:rPr>
                      <w:rFonts w:ascii="Times New Roman" w:hAnsi="Times New Roman" w:eastAsia="宋体" w:cs="Times New Roman"/>
                      <w:szCs w:val="21"/>
                    </w:rPr>
                  </w:pPr>
                  <w:r>
                    <w:rPr>
                      <w:rFonts w:ascii="Times New Roman" w:hAnsi="Times New Roman" w:eastAsia="宋体" w:cs="Times New Roman"/>
                      <w:szCs w:val="21"/>
                    </w:rPr>
                    <w:t>经度</w:t>
                  </w:r>
                  <w:r>
                    <w:rPr>
                      <w:rFonts w:hint="eastAsia" w:ascii="Times New Roman" w:hAnsi="Times New Roman" w:eastAsia="宋体" w:cs="Times New Roman"/>
                      <w:szCs w:val="21"/>
                      <w:lang w:eastAsia="zh-CN"/>
                    </w:rPr>
                    <w:t>（</w:t>
                  </w:r>
                  <w:r>
                    <w:rPr>
                      <w:rFonts w:ascii="Times New Roman" w:hAnsi="Times New Roman" w:eastAsia="宋体" w:cs="Times New Roman"/>
                      <w:szCs w:val="21"/>
                    </w:rPr>
                    <w:t>度</w:t>
                  </w:r>
                  <w:r>
                    <w:rPr>
                      <w:rFonts w:hint="eastAsia" w:ascii="Times New Roman" w:hAnsi="Times New Roman" w:eastAsia="宋体" w:cs="Times New Roman"/>
                      <w:szCs w:val="21"/>
                      <w:lang w:eastAsia="zh-CN"/>
                    </w:rPr>
                    <w:t>）</w:t>
                  </w:r>
                </w:p>
              </w:tc>
              <w:tc>
                <w:tcPr>
                  <w:tcW w:w="753" w:type="pct"/>
                  <w:vAlign w:val="center"/>
                </w:tcPr>
                <w:p w14:paraId="08F8AB1D">
                  <w:pPr>
                    <w:jc w:val="center"/>
                    <w:rPr>
                      <w:rFonts w:ascii="Times New Roman" w:hAnsi="Times New Roman" w:eastAsia="宋体" w:cs="Times New Roman"/>
                      <w:szCs w:val="21"/>
                    </w:rPr>
                  </w:pPr>
                  <w:r>
                    <w:rPr>
                      <w:rFonts w:ascii="Times New Roman" w:hAnsi="Times New Roman" w:eastAsia="宋体" w:cs="Times New Roman"/>
                      <w:szCs w:val="21"/>
                    </w:rPr>
                    <w:t>纬度</w:t>
                  </w:r>
                  <w:r>
                    <w:rPr>
                      <w:rFonts w:hint="eastAsia" w:ascii="Times New Roman" w:hAnsi="Times New Roman" w:eastAsia="宋体" w:cs="Times New Roman"/>
                      <w:szCs w:val="21"/>
                      <w:lang w:eastAsia="zh-CN"/>
                    </w:rPr>
                    <w:t>（</w:t>
                  </w:r>
                  <w:r>
                    <w:rPr>
                      <w:rFonts w:ascii="Times New Roman" w:hAnsi="Times New Roman" w:eastAsia="宋体" w:cs="Times New Roman"/>
                      <w:szCs w:val="21"/>
                    </w:rPr>
                    <w:t>度</w:t>
                  </w:r>
                  <w:r>
                    <w:rPr>
                      <w:rFonts w:hint="eastAsia" w:ascii="Times New Roman" w:hAnsi="Times New Roman" w:eastAsia="宋体" w:cs="Times New Roman"/>
                      <w:szCs w:val="21"/>
                      <w:lang w:eastAsia="zh-CN"/>
                    </w:rPr>
                    <w:t>）</w:t>
                  </w:r>
                </w:p>
              </w:tc>
              <w:tc>
                <w:tcPr>
                  <w:tcW w:w="576" w:type="pct"/>
                  <w:vAlign w:val="center"/>
                </w:tcPr>
                <w:p w14:paraId="46C92671">
                  <w:pPr>
                    <w:jc w:val="center"/>
                    <w:rPr>
                      <w:rFonts w:ascii="Times New Roman" w:hAnsi="Times New Roman" w:eastAsia="宋体" w:cs="Times New Roman"/>
                      <w:szCs w:val="21"/>
                    </w:rPr>
                  </w:pPr>
                  <w:r>
                    <w:rPr>
                      <w:rFonts w:ascii="Times New Roman" w:hAnsi="Times New Roman" w:eastAsia="宋体" w:cs="Times New Roman"/>
                      <w:szCs w:val="21"/>
                    </w:rPr>
                    <w:t>海拔</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894" w:type="pct"/>
                  <w:vAlign w:val="center"/>
                </w:tcPr>
                <w:p w14:paraId="2DD48BA7">
                  <w:pPr>
                    <w:jc w:val="center"/>
                    <w:rPr>
                      <w:rFonts w:ascii="Times New Roman" w:hAnsi="Times New Roman" w:eastAsia="宋体" w:cs="Times New Roman"/>
                      <w:szCs w:val="21"/>
                    </w:rPr>
                  </w:pPr>
                  <w:r>
                    <w:rPr>
                      <w:rFonts w:ascii="Times New Roman" w:hAnsi="Times New Roman" w:eastAsia="宋体" w:cs="Times New Roman"/>
                      <w:szCs w:val="21"/>
                    </w:rPr>
                    <w:t>下风向距离</w:t>
                  </w:r>
                  <w:r>
                    <w:rPr>
                      <w:rFonts w:hint="eastAsia" w:ascii="Times New Roman" w:hAnsi="Times New Roman" w:eastAsia="宋体" w:cs="Times New Roman"/>
                      <w:szCs w:val="21"/>
                      <w:lang w:eastAsia="zh-CN"/>
                    </w:rPr>
                    <w:t>（</w:t>
                  </w:r>
                  <w:r>
                    <w:rPr>
                      <w:rFonts w:ascii="Times New Roman" w:hAnsi="Times New Roman" w:eastAsia="宋体" w:cs="Times New Roman"/>
                      <w:szCs w:val="21"/>
                    </w:rPr>
                    <w:t>m</w:t>
                  </w:r>
                  <w:r>
                    <w:rPr>
                      <w:rFonts w:hint="eastAsia" w:ascii="Times New Roman" w:hAnsi="Times New Roman" w:eastAsia="宋体" w:cs="Times New Roman"/>
                      <w:szCs w:val="21"/>
                      <w:lang w:eastAsia="zh-CN"/>
                    </w:rPr>
                    <w:t>）</w:t>
                  </w:r>
                </w:p>
              </w:tc>
              <w:tc>
                <w:tcPr>
                  <w:tcW w:w="891" w:type="pct"/>
                  <w:vAlign w:val="center"/>
                </w:tcPr>
                <w:p w14:paraId="4DFE4DE6">
                  <w:pPr>
                    <w:jc w:val="center"/>
                    <w:rPr>
                      <w:rFonts w:ascii="Times New Roman" w:hAnsi="Times New Roman" w:eastAsia="宋体" w:cs="Times New Roman"/>
                      <w:szCs w:val="21"/>
                    </w:rPr>
                  </w:pPr>
                  <w:r>
                    <w:rPr>
                      <w:rFonts w:ascii="Times New Roman" w:hAnsi="Times New Roman" w:eastAsia="宋体" w:cs="Times New Roman"/>
                      <w:szCs w:val="21"/>
                    </w:rPr>
                    <w:t>TSP(μg/m³)</w:t>
                  </w:r>
                </w:p>
              </w:tc>
            </w:tr>
            <w:tr w14:paraId="37266A1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65" w:type="pct"/>
                  <w:vAlign w:val="center"/>
                </w:tcPr>
                <w:p w14:paraId="706B4FA3">
                  <w:pPr>
                    <w:jc w:val="center"/>
                    <w:rPr>
                      <w:rFonts w:ascii="Times New Roman" w:hAnsi="Times New Roman" w:eastAsia="宋体" w:cs="Times New Roman"/>
                      <w:szCs w:val="21"/>
                    </w:rPr>
                  </w:pPr>
                  <w:r>
                    <w:rPr>
                      <w:rFonts w:ascii="Times New Roman" w:hAnsi="Times New Roman" w:eastAsia="宋体" w:cs="Times New Roman"/>
                      <w:szCs w:val="21"/>
                    </w:rPr>
                    <w:t>卷木村最近敏感点</w:t>
                  </w:r>
                </w:p>
              </w:tc>
              <w:tc>
                <w:tcPr>
                  <w:tcW w:w="822" w:type="pct"/>
                  <w:vAlign w:val="center"/>
                </w:tcPr>
                <w:p w14:paraId="5FDB097D">
                  <w:pPr>
                    <w:jc w:val="center"/>
                    <w:rPr>
                      <w:rFonts w:ascii="Times New Roman" w:hAnsi="Times New Roman" w:eastAsia="宋体" w:cs="Times New Roman"/>
                      <w:szCs w:val="21"/>
                    </w:rPr>
                  </w:pPr>
                  <w:r>
                    <w:rPr>
                      <w:rFonts w:ascii="Times New Roman" w:hAnsi="Times New Roman" w:eastAsia="宋体" w:cs="Times New Roman"/>
                      <w:szCs w:val="21"/>
                    </w:rPr>
                    <w:t>103.228435</w:t>
                  </w:r>
                </w:p>
              </w:tc>
              <w:tc>
                <w:tcPr>
                  <w:tcW w:w="753" w:type="pct"/>
                  <w:vAlign w:val="center"/>
                </w:tcPr>
                <w:p w14:paraId="7107E230">
                  <w:pPr>
                    <w:jc w:val="center"/>
                    <w:rPr>
                      <w:rFonts w:ascii="Times New Roman" w:hAnsi="Times New Roman" w:eastAsia="宋体" w:cs="Times New Roman"/>
                      <w:szCs w:val="21"/>
                    </w:rPr>
                  </w:pPr>
                  <w:r>
                    <w:rPr>
                      <w:rFonts w:ascii="Times New Roman" w:hAnsi="Times New Roman" w:eastAsia="宋体" w:cs="Times New Roman"/>
                      <w:szCs w:val="21"/>
                    </w:rPr>
                    <w:t>29.196361</w:t>
                  </w:r>
                </w:p>
              </w:tc>
              <w:tc>
                <w:tcPr>
                  <w:tcW w:w="576" w:type="pct"/>
                  <w:vAlign w:val="center"/>
                </w:tcPr>
                <w:p w14:paraId="567D4D36">
                  <w:pPr>
                    <w:jc w:val="center"/>
                    <w:rPr>
                      <w:rFonts w:ascii="Times New Roman" w:hAnsi="Times New Roman" w:eastAsia="宋体" w:cs="Times New Roman"/>
                      <w:szCs w:val="21"/>
                    </w:rPr>
                  </w:pPr>
                  <w:r>
                    <w:rPr>
                      <w:rFonts w:ascii="Times New Roman" w:hAnsi="Times New Roman" w:eastAsia="宋体" w:cs="Times New Roman"/>
                      <w:szCs w:val="21"/>
                    </w:rPr>
                    <w:t>759.0</w:t>
                  </w:r>
                </w:p>
              </w:tc>
              <w:tc>
                <w:tcPr>
                  <w:tcW w:w="894" w:type="pct"/>
                  <w:vAlign w:val="center"/>
                </w:tcPr>
                <w:p w14:paraId="20080189">
                  <w:pPr>
                    <w:jc w:val="center"/>
                    <w:rPr>
                      <w:rFonts w:ascii="Times New Roman" w:hAnsi="Times New Roman" w:eastAsia="宋体" w:cs="Times New Roman"/>
                      <w:szCs w:val="21"/>
                    </w:rPr>
                  </w:pPr>
                  <w:r>
                    <w:rPr>
                      <w:rFonts w:ascii="Times New Roman" w:hAnsi="Times New Roman" w:eastAsia="宋体" w:cs="Times New Roman"/>
                      <w:szCs w:val="21"/>
                    </w:rPr>
                    <w:t>245.06</w:t>
                  </w:r>
                </w:p>
              </w:tc>
              <w:tc>
                <w:tcPr>
                  <w:tcW w:w="891" w:type="pct"/>
                  <w:vAlign w:val="center"/>
                </w:tcPr>
                <w:p w14:paraId="6E2FB457">
                  <w:pPr>
                    <w:jc w:val="center"/>
                    <w:rPr>
                      <w:rFonts w:ascii="Times New Roman" w:hAnsi="Times New Roman" w:eastAsia="宋体" w:cs="Times New Roman"/>
                      <w:szCs w:val="21"/>
                    </w:rPr>
                  </w:pPr>
                  <w:r>
                    <w:rPr>
                      <w:rFonts w:ascii="Times New Roman" w:hAnsi="Times New Roman" w:eastAsia="宋体" w:cs="Times New Roman"/>
                      <w:szCs w:val="21"/>
                    </w:rPr>
                    <w:t>9.0843</w:t>
                  </w:r>
                </w:p>
              </w:tc>
            </w:tr>
            <w:tr w14:paraId="0E11C47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65" w:type="pct"/>
                  <w:vAlign w:val="center"/>
                </w:tcPr>
                <w:p w14:paraId="57BFB669">
                  <w:pPr>
                    <w:jc w:val="center"/>
                    <w:rPr>
                      <w:rFonts w:ascii="Times New Roman" w:hAnsi="Times New Roman" w:eastAsia="宋体" w:cs="Times New Roman"/>
                      <w:szCs w:val="21"/>
                    </w:rPr>
                  </w:pPr>
                  <w:r>
                    <w:rPr>
                      <w:rFonts w:ascii="Times New Roman" w:hAnsi="Times New Roman" w:eastAsia="宋体" w:cs="Times New Roman"/>
                      <w:szCs w:val="21"/>
                    </w:rPr>
                    <w:t>南坡最近敏感点</w:t>
                  </w:r>
                </w:p>
              </w:tc>
              <w:tc>
                <w:tcPr>
                  <w:tcW w:w="822" w:type="pct"/>
                  <w:vAlign w:val="center"/>
                </w:tcPr>
                <w:p w14:paraId="70C5C8BC">
                  <w:pPr>
                    <w:jc w:val="center"/>
                    <w:rPr>
                      <w:rFonts w:ascii="Times New Roman" w:hAnsi="Times New Roman" w:eastAsia="宋体" w:cs="Times New Roman"/>
                      <w:szCs w:val="21"/>
                    </w:rPr>
                  </w:pPr>
                  <w:r>
                    <w:rPr>
                      <w:rFonts w:ascii="Times New Roman" w:hAnsi="Times New Roman" w:eastAsia="宋体" w:cs="Times New Roman"/>
                      <w:szCs w:val="21"/>
                    </w:rPr>
                    <w:t>103.226591</w:t>
                  </w:r>
                </w:p>
              </w:tc>
              <w:tc>
                <w:tcPr>
                  <w:tcW w:w="753" w:type="pct"/>
                  <w:vAlign w:val="center"/>
                </w:tcPr>
                <w:p w14:paraId="6EB2D865">
                  <w:pPr>
                    <w:jc w:val="center"/>
                    <w:rPr>
                      <w:rFonts w:ascii="Times New Roman" w:hAnsi="Times New Roman" w:eastAsia="宋体" w:cs="Times New Roman"/>
                      <w:szCs w:val="21"/>
                    </w:rPr>
                  </w:pPr>
                  <w:r>
                    <w:rPr>
                      <w:rFonts w:ascii="Times New Roman" w:hAnsi="Times New Roman" w:eastAsia="宋体" w:cs="Times New Roman"/>
                      <w:szCs w:val="21"/>
                    </w:rPr>
                    <w:t>29.203742</w:t>
                  </w:r>
                </w:p>
              </w:tc>
              <w:tc>
                <w:tcPr>
                  <w:tcW w:w="576" w:type="pct"/>
                  <w:vAlign w:val="center"/>
                </w:tcPr>
                <w:p w14:paraId="5E247D85">
                  <w:pPr>
                    <w:jc w:val="center"/>
                    <w:rPr>
                      <w:rFonts w:ascii="Times New Roman" w:hAnsi="Times New Roman" w:eastAsia="宋体" w:cs="Times New Roman"/>
                      <w:szCs w:val="21"/>
                    </w:rPr>
                  </w:pPr>
                  <w:r>
                    <w:rPr>
                      <w:rFonts w:ascii="Times New Roman" w:hAnsi="Times New Roman" w:eastAsia="宋体" w:cs="Times New Roman"/>
                      <w:szCs w:val="21"/>
                    </w:rPr>
                    <w:t>893.0</w:t>
                  </w:r>
                </w:p>
              </w:tc>
              <w:tc>
                <w:tcPr>
                  <w:tcW w:w="894" w:type="pct"/>
                  <w:vAlign w:val="center"/>
                </w:tcPr>
                <w:p w14:paraId="38F047A2">
                  <w:pPr>
                    <w:jc w:val="center"/>
                    <w:rPr>
                      <w:rFonts w:ascii="Times New Roman" w:hAnsi="Times New Roman" w:eastAsia="宋体" w:cs="Times New Roman"/>
                      <w:szCs w:val="21"/>
                    </w:rPr>
                  </w:pPr>
                  <w:r>
                    <w:rPr>
                      <w:rFonts w:ascii="Times New Roman" w:hAnsi="Times New Roman" w:eastAsia="宋体" w:cs="Times New Roman"/>
                      <w:szCs w:val="21"/>
                    </w:rPr>
                    <w:t>789.5</w:t>
                  </w:r>
                </w:p>
              </w:tc>
              <w:tc>
                <w:tcPr>
                  <w:tcW w:w="891" w:type="pct"/>
                  <w:vAlign w:val="center"/>
                </w:tcPr>
                <w:p w14:paraId="74F8F667">
                  <w:pPr>
                    <w:jc w:val="center"/>
                    <w:rPr>
                      <w:rFonts w:ascii="Times New Roman" w:hAnsi="Times New Roman" w:eastAsia="宋体" w:cs="Times New Roman"/>
                      <w:szCs w:val="21"/>
                    </w:rPr>
                  </w:pPr>
                  <w:r>
                    <w:rPr>
                      <w:rFonts w:ascii="Times New Roman" w:hAnsi="Times New Roman" w:eastAsia="宋体" w:cs="Times New Roman"/>
                      <w:szCs w:val="21"/>
                    </w:rPr>
                    <w:t>4.4615</w:t>
                  </w:r>
                </w:p>
              </w:tc>
            </w:tr>
            <w:tr w14:paraId="7F42C42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65" w:type="pct"/>
                  <w:vAlign w:val="center"/>
                </w:tcPr>
                <w:p w14:paraId="5AAB6E49">
                  <w:pPr>
                    <w:jc w:val="center"/>
                    <w:rPr>
                      <w:rFonts w:ascii="Times New Roman" w:hAnsi="Times New Roman" w:eastAsia="宋体" w:cs="Times New Roman"/>
                      <w:szCs w:val="21"/>
                    </w:rPr>
                  </w:pPr>
                  <w:r>
                    <w:rPr>
                      <w:rFonts w:ascii="Times New Roman" w:hAnsi="Times New Roman" w:eastAsia="宋体" w:cs="Times New Roman"/>
                      <w:szCs w:val="21"/>
                    </w:rPr>
                    <w:t>下溪坪最近敏感点</w:t>
                  </w:r>
                </w:p>
              </w:tc>
              <w:tc>
                <w:tcPr>
                  <w:tcW w:w="822" w:type="pct"/>
                  <w:vAlign w:val="center"/>
                </w:tcPr>
                <w:p w14:paraId="7DB2CAEC">
                  <w:pPr>
                    <w:jc w:val="center"/>
                    <w:rPr>
                      <w:rFonts w:ascii="Times New Roman" w:hAnsi="Times New Roman" w:eastAsia="宋体" w:cs="Times New Roman"/>
                      <w:szCs w:val="21"/>
                    </w:rPr>
                  </w:pPr>
                  <w:r>
                    <w:rPr>
                      <w:rFonts w:ascii="Times New Roman" w:hAnsi="Times New Roman" w:eastAsia="宋体" w:cs="Times New Roman"/>
                      <w:szCs w:val="21"/>
                    </w:rPr>
                    <w:t>103.232999</w:t>
                  </w:r>
                </w:p>
              </w:tc>
              <w:tc>
                <w:tcPr>
                  <w:tcW w:w="753" w:type="pct"/>
                  <w:vAlign w:val="center"/>
                </w:tcPr>
                <w:p w14:paraId="4F1FA8DC">
                  <w:pPr>
                    <w:jc w:val="center"/>
                    <w:rPr>
                      <w:rFonts w:ascii="Times New Roman" w:hAnsi="Times New Roman" w:eastAsia="宋体" w:cs="Times New Roman"/>
                      <w:szCs w:val="21"/>
                    </w:rPr>
                  </w:pPr>
                  <w:r>
                    <w:rPr>
                      <w:rFonts w:ascii="Times New Roman" w:hAnsi="Times New Roman" w:eastAsia="宋体" w:cs="Times New Roman"/>
                      <w:szCs w:val="21"/>
                    </w:rPr>
                    <w:t>29.197267</w:t>
                  </w:r>
                </w:p>
              </w:tc>
              <w:tc>
                <w:tcPr>
                  <w:tcW w:w="576" w:type="pct"/>
                  <w:vAlign w:val="center"/>
                </w:tcPr>
                <w:p w14:paraId="0C9DD3C5">
                  <w:pPr>
                    <w:jc w:val="center"/>
                    <w:rPr>
                      <w:rFonts w:ascii="Times New Roman" w:hAnsi="Times New Roman" w:eastAsia="宋体" w:cs="Times New Roman"/>
                      <w:szCs w:val="21"/>
                    </w:rPr>
                  </w:pPr>
                  <w:r>
                    <w:rPr>
                      <w:rFonts w:ascii="Times New Roman" w:hAnsi="Times New Roman" w:eastAsia="宋体" w:cs="Times New Roman"/>
                      <w:szCs w:val="21"/>
                    </w:rPr>
                    <w:t>656.0</w:t>
                  </w:r>
                </w:p>
              </w:tc>
              <w:tc>
                <w:tcPr>
                  <w:tcW w:w="894" w:type="pct"/>
                  <w:vAlign w:val="center"/>
                </w:tcPr>
                <w:p w14:paraId="1DD1E9DC">
                  <w:pPr>
                    <w:jc w:val="center"/>
                    <w:rPr>
                      <w:rFonts w:ascii="Times New Roman" w:hAnsi="Times New Roman" w:eastAsia="宋体" w:cs="Times New Roman"/>
                      <w:szCs w:val="21"/>
                    </w:rPr>
                  </w:pPr>
                  <w:r>
                    <w:rPr>
                      <w:rFonts w:ascii="Times New Roman" w:hAnsi="Times New Roman" w:eastAsia="宋体" w:cs="Times New Roman"/>
                      <w:szCs w:val="21"/>
                    </w:rPr>
                    <w:t>273.07</w:t>
                  </w:r>
                </w:p>
              </w:tc>
              <w:tc>
                <w:tcPr>
                  <w:tcW w:w="891" w:type="pct"/>
                  <w:vAlign w:val="center"/>
                </w:tcPr>
                <w:p w14:paraId="190566BB">
                  <w:pPr>
                    <w:jc w:val="center"/>
                    <w:rPr>
                      <w:rFonts w:ascii="Times New Roman" w:hAnsi="Times New Roman" w:eastAsia="宋体" w:cs="Times New Roman"/>
                      <w:szCs w:val="21"/>
                    </w:rPr>
                  </w:pPr>
                  <w:r>
                    <w:rPr>
                      <w:rFonts w:ascii="Times New Roman" w:hAnsi="Times New Roman" w:eastAsia="宋体" w:cs="Times New Roman"/>
                      <w:szCs w:val="21"/>
                    </w:rPr>
                    <w:t>8.4893</w:t>
                  </w:r>
                </w:p>
              </w:tc>
            </w:tr>
            <w:tr w14:paraId="1838273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65" w:type="pct"/>
                  <w:vAlign w:val="center"/>
                </w:tcPr>
                <w:p w14:paraId="3F6D3E61">
                  <w:pPr>
                    <w:jc w:val="center"/>
                    <w:rPr>
                      <w:rFonts w:ascii="Times New Roman" w:hAnsi="Times New Roman" w:eastAsia="宋体" w:cs="Times New Roman"/>
                      <w:szCs w:val="21"/>
                    </w:rPr>
                  </w:pPr>
                  <w:r>
                    <w:rPr>
                      <w:rFonts w:ascii="Times New Roman" w:hAnsi="Times New Roman" w:eastAsia="宋体" w:cs="Times New Roman"/>
                      <w:szCs w:val="21"/>
                    </w:rPr>
                    <w:t>堰坎最近敏感点</w:t>
                  </w:r>
                </w:p>
              </w:tc>
              <w:tc>
                <w:tcPr>
                  <w:tcW w:w="822" w:type="pct"/>
                  <w:vAlign w:val="center"/>
                </w:tcPr>
                <w:p w14:paraId="5CFEDA17">
                  <w:pPr>
                    <w:jc w:val="center"/>
                    <w:rPr>
                      <w:rFonts w:ascii="Times New Roman" w:hAnsi="Times New Roman" w:eastAsia="宋体" w:cs="Times New Roman"/>
                      <w:szCs w:val="21"/>
                    </w:rPr>
                  </w:pPr>
                  <w:r>
                    <w:rPr>
                      <w:rFonts w:ascii="Times New Roman" w:hAnsi="Times New Roman" w:eastAsia="宋体" w:cs="Times New Roman"/>
                      <w:szCs w:val="21"/>
                    </w:rPr>
                    <w:t>103.224671</w:t>
                  </w:r>
                </w:p>
              </w:tc>
              <w:tc>
                <w:tcPr>
                  <w:tcW w:w="753" w:type="pct"/>
                  <w:vAlign w:val="center"/>
                </w:tcPr>
                <w:p w14:paraId="38018FCE">
                  <w:pPr>
                    <w:jc w:val="center"/>
                    <w:rPr>
                      <w:rFonts w:ascii="Times New Roman" w:hAnsi="Times New Roman" w:eastAsia="宋体" w:cs="Times New Roman"/>
                      <w:szCs w:val="21"/>
                    </w:rPr>
                  </w:pPr>
                  <w:r>
                    <w:rPr>
                      <w:rFonts w:ascii="Times New Roman" w:hAnsi="Times New Roman" w:eastAsia="宋体" w:cs="Times New Roman"/>
                      <w:szCs w:val="21"/>
                    </w:rPr>
                    <w:t>29.198219</w:t>
                  </w:r>
                </w:p>
              </w:tc>
              <w:tc>
                <w:tcPr>
                  <w:tcW w:w="576" w:type="pct"/>
                  <w:vAlign w:val="center"/>
                </w:tcPr>
                <w:p w14:paraId="2EF69772">
                  <w:pPr>
                    <w:jc w:val="center"/>
                    <w:rPr>
                      <w:rFonts w:ascii="Times New Roman" w:hAnsi="Times New Roman" w:eastAsia="宋体" w:cs="Times New Roman"/>
                      <w:szCs w:val="21"/>
                    </w:rPr>
                  </w:pPr>
                  <w:r>
                    <w:rPr>
                      <w:rFonts w:ascii="Times New Roman" w:hAnsi="Times New Roman" w:eastAsia="宋体" w:cs="Times New Roman"/>
                      <w:szCs w:val="21"/>
                    </w:rPr>
                    <w:t>821.0</w:t>
                  </w:r>
                </w:p>
              </w:tc>
              <w:tc>
                <w:tcPr>
                  <w:tcW w:w="894" w:type="pct"/>
                  <w:vAlign w:val="center"/>
                </w:tcPr>
                <w:p w14:paraId="451CC070">
                  <w:pPr>
                    <w:jc w:val="center"/>
                    <w:rPr>
                      <w:rFonts w:ascii="Times New Roman" w:hAnsi="Times New Roman" w:eastAsia="宋体" w:cs="Times New Roman"/>
                      <w:szCs w:val="21"/>
                    </w:rPr>
                  </w:pPr>
                  <w:r>
                    <w:rPr>
                      <w:rFonts w:ascii="Times New Roman" w:hAnsi="Times New Roman" w:eastAsia="宋体" w:cs="Times New Roman"/>
                      <w:szCs w:val="21"/>
                    </w:rPr>
                    <w:t>562.64</w:t>
                  </w:r>
                </w:p>
              </w:tc>
              <w:tc>
                <w:tcPr>
                  <w:tcW w:w="891" w:type="pct"/>
                  <w:vAlign w:val="center"/>
                </w:tcPr>
                <w:p w14:paraId="7B0F6239">
                  <w:pPr>
                    <w:jc w:val="center"/>
                    <w:rPr>
                      <w:rFonts w:ascii="Times New Roman" w:hAnsi="Times New Roman" w:eastAsia="宋体" w:cs="Times New Roman"/>
                      <w:szCs w:val="21"/>
                    </w:rPr>
                  </w:pPr>
                  <w:r>
                    <w:rPr>
                      <w:rFonts w:ascii="Times New Roman" w:hAnsi="Times New Roman" w:eastAsia="宋体" w:cs="Times New Roman"/>
                      <w:szCs w:val="21"/>
                    </w:rPr>
                    <w:t>5.4414</w:t>
                  </w:r>
                </w:p>
              </w:tc>
            </w:tr>
            <w:tr w14:paraId="7C7E8C7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65" w:type="pct"/>
                  <w:vAlign w:val="center"/>
                </w:tcPr>
                <w:p w14:paraId="3D45EC75">
                  <w:pPr>
                    <w:jc w:val="center"/>
                    <w:rPr>
                      <w:rFonts w:ascii="Times New Roman" w:hAnsi="Times New Roman" w:eastAsia="宋体" w:cs="Times New Roman"/>
                      <w:szCs w:val="21"/>
                    </w:rPr>
                  </w:pPr>
                  <w:r>
                    <w:rPr>
                      <w:rFonts w:ascii="Times New Roman" w:hAnsi="Times New Roman" w:eastAsia="宋体" w:cs="Times New Roman"/>
                      <w:szCs w:val="21"/>
                    </w:rPr>
                    <w:t>西北散居居民敏感点</w:t>
                  </w:r>
                </w:p>
              </w:tc>
              <w:tc>
                <w:tcPr>
                  <w:tcW w:w="822" w:type="pct"/>
                  <w:vAlign w:val="center"/>
                </w:tcPr>
                <w:p w14:paraId="3E8D1F2B">
                  <w:pPr>
                    <w:jc w:val="center"/>
                    <w:rPr>
                      <w:rFonts w:ascii="Times New Roman" w:hAnsi="Times New Roman" w:eastAsia="宋体" w:cs="Times New Roman"/>
                      <w:szCs w:val="21"/>
                    </w:rPr>
                  </w:pPr>
                  <w:r>
                    <w:rPr>
                      <w:rFonts w:ascii="Times New Roman" w:hAnsi="Times New Roman" w:eastAsia="宋体" w:cs="Times New Roman"/>
                      <w:szCs w:val="21"/>
                    </w:rPr>
                    <w:t>103.227535</w:t>
                  </w:r>
                </w:p>
              </w:tc>
              <w:tc>
                <w:tcPr>
                  <w:tcW w:w="753" w:type="pct"/>
                  <w:vAlign w:val="center"/>
                </w:tcPr>
                <w:p w14:paraId="46F18638">
                  <w:pPr>
                    <w:jc w:val="center"/>
                    <w:rPr>
                      <w:rFonts w:ascii="Times New Roman" w:hAnsi="Times New Roman" w:eastAsia="宋体" w:cs="Times New Roman"/>
                      <w:szCs w:val="21"/>
                    </w:rPr>
                  </w:pPr>
                  <w:r>
                    <w:rPr>
                      <w:rFonts w:ascii="Times New Roman" w:hAnsi="Times New Roman" w:eastAsia="宋体" w:cs="Times New Roman"/>
                      <w:szCs w:val="21"/>
                    </w:rPr>
                    <w:t>29.201588</w:t>
                  </w:r>
                </w:p>
              </w:tc>
              <w:tc>
                <w:tcPr>
                  <w:tcW w:w="576" w:type="pct"/>
                  <w:vAlign w:val="center"/>
                </w:tcPr>
                <w:p w14:paraId="3AB6E4C4">
                  <w:pPr>
                    <w:jc w:val="center"/>
                    <w:rPr>
                      <w:rFonts w:ascii="Times New Roman" w:hAnsi="Times New Roman" w:eastAsia="宋体" w:cs="Times New Roman"/>
                      <w:szCs w:val="21"/>
                    </w:rPr>
                  </w:pPr>
                  <w:r>
                    <w:rPr>
                      <w:rFonts w:ascii="Times New Roman" w:hAnsi="Times New Roman" w:eastAsia="宋体" w:cs="Times New Roman"/>
                      <w:szCs w:val="21"/>
                    </w:rPr>
                    <w:t>750.0</w:t>
                  </w:r>
                </w:p>
              </w:tc>
              <w:tc>
                <w:tcPr>
                  <w:tcW w:w="894" w:type="pct"/>
                  <w:vAlign w:val="center"/>
                </w:tcPr>
                <w:p w14:paraId="1573058D">
                  <w:pPr>
                    <w:jc w:val="center"/>
                    <w:rPr>
                      <w:rFonts w:ascii="Times New Roman" w:hAnsi="Times New Roman" w:eastAsia="宋体" w:cs="Times New Roman"/>
                      <w:szCs w:val="21"/>
                    </w:rPr>
                  </w:pPr>
                  <w:r>
                    <w:rPr>
                      <w:rFonts w:ascii="Times New Roman" w:hAnsi="Times New Roman" w:eastAsia="宋体" w:cs="Times New Roman"/>
                      <w:szCs w:val="21"/>
                    </w:rPr>
                    <w:t>510.68</w:t>
                  </w:r>
                </w:p>
              </w:tc>
              <w:tc>
                <w:tcPr>
                  <w:tcW w:w="891" w:type="pct"/>
                  <w:vAlign w:val="center"/>
                </w:tcPr>
                <w:p w14:paraId="78A8BD99">
                  <w:pPr>
                    <w:jc w:val="center"/>
                    <w:rPr>
                      <w:rFonts w:ascii="Times New Roman" w:hAnsi="Times New Roman" w:eastAsia="宋体" w:cs="Times New Roman"/>
                      <w:szCs w:val="21"/>
                    </w:rPr>
                  </w:pPr>
                  <w:r>
                    <w:rPr>
                      <w:rFonts w:ascii="Times New Roman" w:hAnsi="Times New Roman" w:eastAsia="宋体" w:cs="Times New Roman"/>
                      <w:szCs w:val="21"/>
                    </w:rPr>
                    <w:t>5.6970</w:t>
                  </w:r>
                </w:p>
              </w:tc>
            </w:tr>
            <w:tr w14:paraId="03625E9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65" w:type="pct"/>
                  <w:vAlign w:val="center"/>
                </w:tcPr>
                <w:p w14:paraId="1DDEC09E">
                  <w:pPr>
                    <w:jc w:val="center"/>
                    <w:rPr>
                      <w:rFonts w:ascii="Times New Roman" w:hAnsi="Times New Roman" w:eastAsia="宋体" w:cs="Times New Roman"/>
                      <w:szCs w:val="21"/>
                    </w:rPr>
                  </w:pPr>
                  <w:r>
                    <w:rPr>
                      <w:rFonts w:ascii="Times New Roman" w:hAnsi="Times New Roman" w:eastAsia="宋体" w:cs="Times New Roman"/>
                      <w:szCs w:val="21"/>
                    </w:rPr>
                    <w:t>上溪坪最近敏感点</w:t>
                  </w:r>
                </w:p>
              </w:tc>
              <w:tc>
                <w:tcPr>
                  <w:tcW w:w="822" w:type="pct"/>
                  <w:vAlign w:val="center"/>
                </w:tcPr>
                <w:p w14:paraId="059020BA">
                  <w:pPr>
                    <w:jc w:val="center"/>
                    <w:rPr>
                      <w:rFonts w:ascii="Times New Roman" w:hAnsi="Times New Roman" w:eastAsia="宋体" w:cs="Times New Roman"/>
                      <w:szCs w:val="21"/>
                    </w:rPr>
                  </w:pPr>
                  <w:r>
                    <w:rPr>
                      <w:rFonts w:ascii="Times New Roman" w:hAnsi="Times New Roman" w:eastAsia="宋体" w:cs="Times New Roman"/>
                      <w:szCs w:val="21"/>
                    </w:rPr>
                    <w:t>103.234165</w:t>
                  </w:r>
                </w:p>
              </w:tc>
              <w:tc>
                <w:tcPr>
                  <w:tcW w:w="753" w:type="pct"/>
                  <w:vAlign w:val="center"/>
                </w:tcPr>
                <w:p w14:paraId="0544434F">
                  <w:pPr>
                    <w:jc w:val="center"/>
                    <w:rPr>
                      <w:rFonts w:ascii="Times New Roman" w:hAnsi="Times New Roman" w:eastAsia="宋体" w:cs="Times New Roman"/>
                      <w:szCs w:val="21"/>
                    </w:rPr>
                  </w:pPr>
                  <w:r>
                    <w:rPr>
                      <w:rFonts w:ascii="Times New Roman" w:hAnsi="Times New Roman" w:eastAsia="宋体" w:cs="Times New Roman"/>
                      <w:szCs w:val="21"/>
                    </w:rPr>
                    <w:t>29.19251</w:t>
                  </w:r>
                </w:p>
              </w:tc>
              <w:tc>
                <w:tcPr>
                  <w:tcW w:w="576" w:type="pct"/>
                  <w:vAlign w:val="center"/>
                </w:tcPr>
                <w:p w14:paraId="26D6E8F8">
                  <w:pPr>
                    <w:jc w:val="center"/>
                    <w:rPr>
                      <w:rFonts w:ascii="Times New Roman" w:hAnsi="Times New Roman" w:eastAsia="宋体" w:cs="Times New Roman"/>
                      <w:szCs w:val="21"/>
                    </w:rPr>
                  </w:pPr>
                  <w:r>
                    <w:rPr>
                      <w:rFonts w:ascii="Times New Roman" w:hAnsi="Times New Roman" w:eastAsia="宋体" w:cs="Times New Roman"/>
                      <w:szCs w:val="21"/>
                    </w:rPr>
                    <w:t>678.0</w:t>
                  </w:r>
                </w:p>
              </w:tc>
              <w:tc>
                <w:tcPr>
                  <w:tcW w:w="894" w:type="pct"/>
                  <w:vAlign w:val="center"/>
                </w:tcPr>
                <w:p w14:paraId="1DB43F92">
                  <w:pPr>
                    <w:jc w:val="center"/>
                    <w:rPr>
                      <w:rFonts w:ascii="Times New Roman" w:hAnsi="Times New Roman" w:eastAsia="宋体" w:cs="Times New Roman"/>
                      <w:szCs w:val="21"/>
                    </w:rPr>
                  </w:pPr>
                  <w:r>
                    <w:rPr>
                      <w:rFonts w:ascii="Times New Roman" w:hAnsi="Times New Roman" w:eastAsia="宋体" w:cs="Times New Roman"/>
                      <w:szCs w:val="21"/>
                    </w:rPr>
                    <w:t>692.19</w:t>
                  </w:r>
                </w:p>
              </w:tc>
              <w:tc>
                <w:tcPr>
                  <w:tcW w:w="891" w:type="pct"/>
                  <w:vAlign w:val="center"/>
                </w:tcPr>
                <w:p w14:paraId="26F796D6">
                  <w:pPr>
                    <w:jc w:val="center"/>
                    <w:rPr>
                      <w:rFonts w:ascii="Times New Roman" w:hAnsi="Times New Roman" w:eastAsia="宋体" w:cs="Times New Roman"/>
                      <w:szCs w:val="21"/>
                    </w:rPr>
                  </w:pPr>
                  <w:r>
                    <w:rPr>
                      <w:rFonts w:ascii="Times New Roman" w:hAnsi="Times New Roman" w:eastAsia="宋体" w:cs="Times New Roman"/>
                      <w:szCs w:val="21"/>
                    </w:rPr>
                    <w:t>4.8444</w:t>
                  </w:r>
                </w:p>
              </w:tc>
            </w:tr>
          </w:tbl>
          <w:p w14:paraId="6FD2BDCF">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由上述预测结果可知：</w:t>
            </w:r>
            <w:r>
              <w:rPr>
                <w:rFonts w:hint="eastAsia" w:ascii="Times New Roman" w:hAnsi="Times New Roman" w:eastAsia="宋体" w:cs="Times New Roman"/>
                <w:sz w:val="24"/>
              </w:rPr>
              <w:t>项目周边居民敏感点距本项目距离较远，</w:t>
            </w:r>
            <w:r>
              <w:rPr>
                <w:rFonts w:ascii="Times New Roman" w:hAnsi="Times New Roman" w:eastAsia="宋体" w:cs="Times New Roman"/>
                <w:sz w:val="24"/>
              </w:rPr>
              <w:t>项目废气污染物产生量对周边居民影响较小，对区域敏感点影响轻微。</w:t>
            </w:r>
          </w:p>
          <w:p w14:paraId="02C8A5F0">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2 \* GB3 </w:instrText>
            </w:r>
            <w:r>
              <w:rPr>
                <w:rFonts w:ascii="Times New Roman" w:hAnsi="Times New Roman" w:eastAsia="宋体" w:cs="Times New Roman"/>
                <w:sz w:val="24"/>
              </w:rPr>
              <w:fldChar w:fldCharType="separate"/>
            </w:r>
            <w:r>
              <w:rPr>
                <w:rFonts w:hint="eastAsia" w:ascii="宋体" w:hAnsi="宋体" w:eastAsia="宋体" w:cs="宋体"/>
                <w:sz w:val="24"/>
              </w:rPr>
              <w:t>②</w:t>
            </w:r>
            <w:r>
              <w:rPr>
                <w:rFonts w:ascii="Times New Roman" w:hAnsi="Times New Roman" w:eastAsia="宋体" w:cs="Times New Roman"/>
                <w:sz w:val="24"/>
              </w:rPr>
              <w:fldChar w:fldCharType="end"/>
            </w:r>
            <w:r>
              <w:rPr>
                <w:rFonts w:ascii="Times New Roman" w:hAnsi="Times New Roman" w:eastAsia="宋体" w:cs="Times New Roman"/>
                <w:sz w:val="24"/>
              </w:rPr>
              <w:t>污染源结果预测结果</w:t>
            </w:r>
          </w:p>
          <w:p w14:paraId="6692A5DA">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污染源预测结果见表7-11、表7-12。</w:t>
            </w:r>
          </w:p>
          <w:p w14:paraId="22F188D9">
            <w:pPr>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表7-11  污染源结果（</w:t>
            </w:r>
            <w:r>
              <w:rPr>
                <w:rFonts w:hint="eastAsia" w:ascii="Times New Roman" w:hAnsi="Times New Roman" w:eastAsia="宋体" w:cs="Times New Roman"/>
                <w:bCs/>
                <w:sz w:val="24"/>
              </w:rPr>
              <w:t>车间面源</w:t>
            </w:r>
            <w:r>
              <w:rPr>
                <w:rFonts w:ascii="Times New Roman" w:hAnsi="Times New Roman" w:eastAsia="宋体" w:cs="Times New Roman"/>
                <w:bCs/>
                <w:sz w:val="24"/>
              </w:rPr>
              <w:t>）</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821"/>
              <w:gridCol w:w="2705"/>
              <w:gridCol w:w="2756"/>
            </w:tblGrid>
            <w:tr w14:paraId="58CA311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Merge w:val="restart"/>
                  <w:vAlign w:val="center"/>
                </w:tcPr>
                <w:p w14:paraId="271B9F7C">
                  <w:pPr>
                    <w:jc w:val="center"/>
                    <w:rPr>
                      <w:rFonts w:ascii="Times New Roman" w:hAnsi="Times New Roman" w:eastAsia="宋体" w:cs="Times New Roman"/>
                      <w:szCs w:val="21"/>
                    </w:rPr>
                  </w:pPr>
                  <w:r>
                    <w:rPr>
                      <w:rFonts w:ascii="Times New Roman" w:hAnsi="Times New Roman" w:eastAsia="宋体" w:cs="Times New Roman"/>
                      <w:szCs w:val="21"/>
                    </w:rPr>
                    <w:t>下风向距离</w:t>
                  </w:r>
                </w:p>
              </w:tc>
              <w:tc>
                <w:tcPr>
                  <w:tcW w:w="3297" w:type="pct"/>
                  <w:gridSpan w:val="2"/>
                  <w:vAlign w:val="center"/>
                </w:tcPr>
                <w:p w14:paraId="69C229CB">
                  <w:pPr>
                    <w:jc w:val="center"/>
                    <w:rPr>
                      <w:rFonts w:ascii="Times New Roman" w:hAnsi="Times New Roman" w:eastAsia="宋体" w:cs="Times New Roman"/>
                      <w:szCs w:val="21"/>
                    </w:rPr>
                  </w:pPr>
                  <w:r>
                    <w:rPr>
                      <w:rFonts w:ascii="Times New Roman" w:hAnsi="Times New Roman" w:eastAsia="宋体" w:cs="Times New Roman"/>
                      <w:szCs w:val="21"/>
                    </w:rPr>
                    <w:t>车间面源</w:t>
                  </w:r>
                </w:p>
              </w:tc>
            </w:tr>
            <w:tr w14:paraId="62EC9E5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Merge w:val="continue"/>
                  <w:vAlign w:val="center"/>
                </w:tcPr>
                <w:p w14:paraId="5FCAA2E9">
                  <w:pPr>
                    <w:jc w:val="center"/>
                    <w:rPr>
                      <w:rFonts w:ascii="Times New Roman" w:hAnsi="Times New Roman" w:eastAsia="宋体" w:cs="Times New Roman"/>
                      <w:szCs w:val="21"/>
                    </w:rPr>
                  </w:pPr>
                </w:p>
              </w:tc>
              <w:tc>
                <w:tcPr>
                  <w:tcW w:w="1633" w:type="pct"/>
                  <w:vAlign w:val="center"/>
                </w:tcPr>
                <w:p w14:paraId="7BD8B722">
                  <w:pPr>
                    <w:jc w:val="center"/>
                    <w:rPr>
                      <w:rFonts w:ascii="Times New Roman" w:hAnsi="Times New Roman" w:eastAsia="宋体" w:cs="Times New Roman"/>
                      <w:szCs w:val="21"/>
                    </w:rPr>
                  </w:pPr>
                  <w:r>
                    <w:rPr>
                      <w:rFonts w:ascii="Times New Roman" w:hAnsi="Times New Roman" w:eastAsia="宋体" w:cs="Times New Roman"/>
                      <w:szCs w:val="21"/>
                    </w:rPr>
                    <w:t>TSP浓度</w:t>
                  </w:r>
                  <w:r>
                    <w:rPr>
                      <w:rFonts w:hint="eastAsia" w:ascii="Times New Roman" w:hAnsi="Times New Roman" w:eastAsia="宋体" w:cs="Times New Roman"/>
                      <w:szCs w:val="21"/>
                      <w:lang w:eastAsia="zh-CN"/>
                    </w:rPr>
                    <w:t>（</w:t>
                  </w:r>
                  <w:r>
                    <w:rPr>
                      <w:rFonts w:ascii="Times New Roman" w:hAnsi="Times New Roman" w:eastAsia="宋体" w:cs="Times New Roman"/>
                      <w:szCs w:val="21"/>
                    </w:rPr>
                    <w:t>μg/m³</w:t>
                  </w:r>
                  <w:r>
                    <w:rPr>
                      <w:rFonts w:hint="eastAsia" w:ascii="Times New Roman" w:hAnsi="Times New Roman" w:eastAsia="宋体" w:cs="Times New Roman"/>
                      <w:szCs w:val="21"/>
                      <w:lang w:eastAsia="zh-CN"/>
                    </w:rPr>
                    <w:t>）</w:t>
                  </w:r>
                </w:p>
              </w:tc>
              <w:tc>
                <w:tcPr>
                  <w:tcW w:w="1664" w:type="pct"/>
                  <w:vAlign w:val="center"/>
                </w:tcPr>
                <w:p w14:paraId="43F6822C">
                  <w:pPr>
                    <w:jc w:val="center"/>
                    <w:rPr>
                      <w:rFonts w:ascii="Times New Roman" w:hAnsi="Times New Roman" w:eastAsia="宋体" w:cs="Times New Roman"/>
                      <w:szCs w:val="21"/>
                    </w:rPr>
                  </w:pPr>
                  <w:r>
                    <w:rPr>
                      <w:rFonts w:ascii="Times New Roman" w:hAnsi="Times New Roman" w:eastAsia="宋体" w:cs="Times New Roman"/>
                      <w:szCs w:val="21"/>
                    </w:rPr>
                    <w:t>TSP占标率</w:t>
                  </w:r>
                  <w:r>
                    <w:rPr>
                      <w:rFonts w:hint="eastAsia" w:ascii="Times New Roman" w:hAnsi="Times New Roman" w:eastAsia="宋体" w:cs="Times New Roman"/>
                      <w:szCs w:val="21"/>
                      <w:lang w:eastAsia="zh-CN"/>
                    </w:rPr>
                    <w:t>（</w:t>
                  </w:r>
                  <w:r>
                    <w:rPr>
                      <w:rFonts w:ascii="Times New Roman" w:hAnsi="Times New Roman" w:eastAsia="宋体" w:cs="Times New Roman"/>
                      <w:szCs w:val="21"/>
                    </w:rPr>
                    <w:t>%</w:t>
                  </w:r>
                  <w:r>
                    <w:rPr>
                      <w:rFonts w:hint="eastAsia" w:ascii="Times New Roman" w:hAnsi="Times New Roman" w:eastAsia="宋体" w:cs="Times New Roman"/>
                      <w:szCs w:val="21"/>
                      <w:lang w:eastAsia="zh-CN"/>
                    </w:rPr>
                    <w:t>）</w:t>
                  </w:r>
                </w:p>
              </w:tc>
            </w:tr>
            <w:tr w14:paraId="1F770C8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2A83269B">
                  <w:pPr>
                    <w:jc w:val="center"/>
                    <w:rPr>
                      <w:rFonts w:ascii="Times New Roman" w:hAnsi="Times New Roman" w:eastAsia="宋体" w:cs="Times New Roman"/>
                      <w:szCs w:val="21"/>
                    </w:rPr>
                  </w:pPr>
                  <w:r>
                    <w:rPr>
                      <w:rFonts w:ascii="Times New Roman" w:hAnsi="Times New Roman" w:eastAsia="宋体" w:cs="Times New Roman"/>
                      <w:szCs w:val="21"/>
                    </w:rPr>
                    <w:t>50.0</w:t>
                  </w:r>
                </w:p>
              </w:tc>
              <w:tc>
                <w:tcPr>
                  <w:tcW w:w="1633" w:type="pct"/>
                  <w:vAlign w:val="center"/>
                </w:tcPr>
                <w:p w14:paraId="046CC83A">
                  <w:pPr>
                    <w:jc w:val="center"/>
                    <w:rPr>
                      <w:rFonts w:ascii="Times New Roman" w:hAnsi="Times New Roman" w:eastAsia="宋体" w:cs="Times New Roman"/>
                      <w:szCs w:val="21"/>
                    </w:rPr>
                  </w:pPr>
                  <w:r>
                    <w:rPr>
                      <w:rFonts w:ascii="Times New Roman" w:hAnsi="Times New Roman" w:eastAsia="宋体" w:cs="Times New Roman"/>
                      <w:szCs w:val="21"/>
                    </w:rPr>
                    <w:t>28.1180</w:t>
                  </w:r>
                </w:p>
              </w:tc>
              <w:tc>
                <w:tcPr>
                  <w:tcW w:w="1664" w:type="pct"/>
                  <w:vAlign w:val="center"/>
                </w:tcPr>
                <w:p w14:paraId="5C4A0A39">
                  <w:pPr>
                    <w:jc w:val="center"/>
                    <w:rPr>
                      <w:rFonts w:ascii="Times New Roman" w:hAnsi="Times New Roman" w:eastAsia="宋体" w:cs="Times New Roman"/>
                      <w:szCs w:val="21"/>
                    </w:rPr>
                  </w:pPr>
                  <w:r>
                    <w:rPr>
                      <w:rFonts w:ascii="Times New Roman" w:hAnsi="Times New Roman" w:eastAsia="宋体" w:cs="Times New Roman"/>
                      <w:szCs w:val="21"/>
                    </w:rPr>
                    <w:t>3.1242</w:t>
                  </w:r>
                </w:p>
              </w:tc>
            </w:tr>
            <w:tr w14:paraId="7DE6488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528F030">
                  <w:pPr>
                    <w:jc w:val="center"/>
                    <w:rPr>
                      <w:rFonts w:ascii="Times New Roman" w:hAnsi="Times New Roman" w:eastAsia="宋体" w:cs="Times New Roman"/>
                      <w:szCs w:val="21"/>
                    </w:rPr>
                  </w:pPr>
                  <w:r>
                    <w:rPr>
                      <w:rFonts w:ascii="Times New Roman" w:hAnsi="Times New Roman" w:eastAsia="宋体" w:cs="Times New Roman"/>
                      <w:szCs w:val="21"/>
                    </w:rPr>
                    <w:t>100.0</w:t>
                  </w:r>
                </w:p>
              </w:tc>
              <w:tc>
                <w:tcPr>
                  <w:tcW w:w="1633" w:type="pct"/>
                  <w:vAlign w:val="center"/>
                </w:tcPr>
                <w:p w14:paraId="7E93240C">
                  <w:pPr>
                    <w:jc w:val="center"/>
                    <w:rPr>
                      <w:rFonts w:ascii="Times New Roman" w:hAnsi="Times New Roman" w:eastAsia="宋体" w:cs="Times New Roman"/>
                      <w:szCs w:val="21"/>
                    </w:rPr>
                  </w:pPr>
                  <w:r>
                    <w:rPr>
                      <w:rFonts w:ascii="Times New Roman" w:hAnsi="Times New Roman" w:eastAsia="宋体" w:cs="Times New Roman"/>
                      <w:szCs w:val="21"/>
                    </w:rPr>
                    <w:t>15.6000</w:t>
                  </w:r>
                </w:p>
              </w:tc>
              <w:tc>
                <w:tcPr>
                  <w:tcW w:w="1664" w:type="pct"/>
                  <w:vAlign w:val="center"/>
                </w:tcPr>
                <w:p w14:paraId="6DDACC8E">
                  <w:pPr>
                    <w:jc w:val="center"/>
                    <w:rPr>
                      <w:rFonts w:ascii="Times New Roman" w:hAnsi="Times New Roman" w:eastAsia="宋体" w:cs="Times New Roman"/>
                      <w:szCs w:val="21"/>
                    </w:rPr>
                  </w:pPr>
                  <w:r>
                    <w:rPr>
                      <w:rFonts w:ascii="Times New Roman" w:hAnsi="Times New Roman" w:eastAsia="宋体" w:cs="Times New Roman"/>
                      <w:szCs w:val="21"/>
                    </w:rPr>
                    <w:t>1.7333</w:t>
                  </w:r>
                </w:p>
              </w:tc>
            </w:tr>
            <w:tr w14:paraId="6EB28C6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0678BD35">
                  <w:pPr>
                    <w:jc w:val="center"/>
                    <w:rPr>
                      <w:rFonts w:ascii="Times New Roman" w:hAnsi="Times New Roman" w:eastAsia="宋体" w:cs="Times New Roman"/>
                      <w:szCs w:val="21"/>
                    </w:rPr>
                  </w:pPr>
                  <w:r>
                    <w:rPr>
                      <w:rFonts w:ascii="Times New Roman" w:hAnsi="Times New Roman" w:eastAsia="宋体" w:cs="Times New Roman"/>
                      <w:szCs w:val="21"/>
                    </w:rPr>
                    <w:t>200.0</w:t>
                  </w:r>
                </w:p>
              </w:tc>
              <w:tc>
                <w:tcPr>
                  <w:tcW w:w="1633" w:type="pct"/>
                  <w:vAlign w:val="center"/>
                </w:tcPr>
                <w:p w14:paraId="60FF5838">
                  <w:pPr>
                    <w:jc w:val="center"/>
                    <w:rPr>
                      <w:rFonts w:ascii="Times New Roman" w:hAnsi="Times New Roman" w:eastAsia="宋体" w:cs="Times New Roman"/>
                      <w:szCs w:val="21"/>
                    </w:rPr>
                  </w:pPr>
                  <w:r>
                    <w:rPr>
                      <w:rFonts w:ascii="Times New Roman" w:hAnsi="Times New Roman" w:eastAsia="宋体" w:cs="Times New Roman"/>
                      <w:szCs w:val="21"/>
                    </w:rPr>
                    <w:t>10.2480</w:t>
                  </w:r>
                </w:p>
              </w:tc>
              <w:tc>
                <w:tcPr>
                  <w:tcW w:w="1664" w:type="pct"/>
                  <w:vAlign w:val="center"/>
                </w:tcPr>
                <w:p w14:paraId="3EE83E80">
                  <w:pPr>
                    <w:jc w:val="center"/>
                    <w:rPr>
                      <w:rFonts w:ascii="Times New Roman" w:hAnsi="Times New Roman" w:eastAsia="宋体" w:cs="Times New Roman"/>
                      <w:szCs w:val="21"/>
                    </w:rPr>
                  </w:pPr>
                  <w:r>
                    <w:rPr>
                      <w:rFonts w:ascii="Times New Roman" w:hAnsi="Times New Roman" w:eastAsia="宋体" w:cs="Times New Roman"/>
                      <w:szCs w:val="21"/>
                    </w:rPr>
                    <w:t>1.1387</w:t>
                  </w:r>
                </w:p>
              </w:tc>
            </w:tr>
            <w:tr w14:paraId="4969A52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52C0B4A4">
                  <w:pPr>
                    <w:jc w:val="center"/>
                    <w:rPr>
                      <w:rFonts w:ascii="Times New Roman" w:hAnsi="Times New Roman" w:eastAsia="宋体" w:cs="Times New Roman"/>
                      <w:szCs w:val="21"/>
                    </w:rPr>
                  </w:pPr>
                  <w:r>
                    <w:rPr>
                      <w:rFonts w:ascii="Times New Roman" w:hAnsi="Times New Roman" w:eastAsia="宋体" w:cs="Times New Roman"/>
                      <w:szCs w:val="21"/>
                    </w:rPr>
                    <w:t>300.0</w:t>
                  </w:r>
                </w:p>
              </w:tc>
              <w:tc>
                <w:tcPr>
                  <w:tcW w:w="1633" w:type="pct"/>
                  <w:vAlign w:val="center"/>
                </w:tcPr>
                <w:p w14:paraId="45DEC906">
                  <w:pPr>
                    <w:jc w:val="center"/>
                    <w:rPr>
                      <w:rFonts w:ascii="Times New Roman" w:hAnsi="Times New Roman" w:eastAsia="宋体" w:cs="Times New Roman"/>
                      <w:szCs w:val="21"/>
                    </w:rPr>
                  </w:pPr>
                  <w:r>
                    <w:rPr>
                      <w:rFonts w:ascii="Times New Roman" w:hAnsi="Times New Roman" w:eastAsia="宋体" w:cs="Times New Roman"/>
                      <w:szCs w:val="21"/>
                    </w:rPr>
                    <w:t>7.9643</w:t>
                  </w:r>
                </w:p>
              </w:tc>
              <w:tc>
                <w:tcPr>
                  <w:tcW w:w="1664" w:type="pct"/>
                  <w:vAlign w:val="center"/>
                </w:tcPr>
                <w:p w14:paraId="0ED2D608">
                  <w:pPr>
                    <w:jc w:val="center"/>
                    <w:rPr>
                      <w:rFonts w:ascii="Times New Roman" w:hAnsi="Times New Roman" w:eastAsia="宋体" w:cs="Times New Roman"/>
                      <w:szCs w:val="21"/>
                    </w:rPr>
                  </w:pPr>
                  <w:r>
                    <w:rPr>
                      <w:rFonts w:ascii="Times New Roman" w:hAnsi="Times New Roman" w:eastAsia="宋体" w:cs="Times New Roman"/>
                      <w:szCs w:val="21"/>
                    </w:rPr>
                    <w:t>0.8849</w:t>
                  </w:r>
                </w:p>
              </w:tc>
            </w:tr>
            <w:tr w14:paraId="40423A4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74F0D3FA">
                  <w:pPr>
                    <w:jc w:val="center"/>
                    <w:rPr>
                      <w:rFonts w:ascii="Times New Roman" w:hAnsi="Times New Roman" w:eastAsia="宋体" w:cs="Times New Roman"/>
                      <w:szCs w:val="21"/>
                    </w:rPr>
                  </w:pPr>
                  <w:r>
                    <w:rPr>
                      <w:rFonts w:ascii="Times New Roman" w:hAnsi="Times New Roman" w:eastAsia="宋体" w:cs="Times New Roman"/>
                      <w:szCs w:val="21"/>
                    </w:rPr>
                    <w:t>400.0</w:t>
                  </w:r>
                </w:p>
              </w:tc>
              <w:tc>
                <w:tcPr>
                  <w:tcW w:w="1633" w:type="pct"/>
                  <w:vAlign w:val="center"/>
                </w:tcPr>
                <w:p w14:paraId="56011ABA">
                  <w:pPr>
                    <w:jc w:val="center"/>
                    <w:rPr>
                      <w:rFonts w:ascii="Times New Roman" w:hAnsi="Times New Roman" w:eastAsia="宋体" w:cs="Times New Roman"/>
                      <w:szCs w:val="21"/>
                    </w:rPr>
                  </w:pPr>
                  <w:r>
                    <w:rPr>
                      <w:rFonts w:ascii="Times New Roman" w:hAnsi="Times New Roman" w:eastAsia="宋体" w:cs="Times New Roman"/>
                      <w:szCs w:val="21"/>
                    </w:rPr>
                    <w:t>6.7070</w:t>
                  </w:r>
                </w:p>
              </w:tc>
              <w:tc>
                <w:tcPr>
                  <w:tcW w:w="1664" w:type="pct"/>
                  <w:vAlign w:val="center"/>
                </w:tcPr>
                <w:p w14:paraId="036B239F">
                  <w:pPr>
                    <w:jc w:val="center"/>
                    <w:rPr>
                      <w:rFonts w:ascii="Times New Roman" w:hAnsi="Times New Roman" w:eastAsia="宋体" w:cs="Times New Roman"/>
                      <w:szCs w:val="21"/>
                    </w:rPr>
                  </w:pPr>
                  <w:r>
                    <w:rPr>
                      <w:rFonts w:ascii="Times New Roman" w:hAnsi="Times New Roman" w:eastAsia="宋体" w:cs="Times New Roman"/>
                      <w:szCs w:val="21"/>
                    </w:rPr>
                    <w:t>0.7452</w:t>
                  </w:r>
                </w:p>
              </w:tc>
            </w:tr>
            <w:tr w14:paraId="7C47130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47C222B0">
                  <w:pPr>
                    <w:jc w:val="center"/>
                    <w:rPr>
                      <w:rFonts w:ascii="Times New Roman" w:hAnsi="Times New Roman" w:eastAsia="宋体" w:cs="Times New Roman"/>
                      <w:szCs w:val="21"/>
                    </w:rPr>
                  </w:pPr>
                  <w:r>
                    <w:rPr>
                      <w:rFonts w:ascii="Times New Roman" w:hAnsi="Times New Roman" w:eastAsia="宋体" w:cs="Times New Roman"/>
                      <w:szCs w:val="21"/>
                    </w:rPr>
                    <w:t>500.0</w:t>
                  </w:r>
                </w:p>
              </w:tc>
              <w:tc>
                <w:tcPr>
                  <w:tcW w:w="1633" w:type="pct"/>
                  <w:vAlign w:val="center"/>
                </w:tcPr>
                <w:p w14:paraId="7DB9878F">
                  <w:pPr>
                    <w:jc w:val="center"/>
                    <w:rPr>
                      <w:rFonts w:ascii="Times New Roman" w:hAnsi="Times New Roman" w:eastAsia="宋体" w:cs="Times New Roman"/>
                      <w:szCs w:val="21"/>
                    </w:rPr>
                  </w:pPr>
                  <w:r>
                    <w:rPr>
                      <w:rFonts w:ascii="Times New Roman" w:hAnsi="Times New Roman" w:eastAsia="宋体" w:cs="Times New Roman"/>
                      <w:szCs w:val="21"/>
                    </w:rPr>
                    <w:t>5.7552</w:t>
                  </w:r>
                </w:p>
              </w:tc>
              <w:tc>
                <w:tcPr>
                  <w:tcW w:w="1664" w:type="pct"/>
                  <w:vAlign w:val="center"/>
                </w:tcPr>
                <w:p w14:paraId="5192800B">
                  <w:pPr>
                    <w:jc w:val="center"/>
                    <w:rPr>
                      <w:rFonts w:ascii="Times New Roman" w:hAnsi="Times New Roman" w:eastAsia="宋体" w:cs="Times New Roman"/>
                      <w:szCs w:val="21"/>
                    </w:rPr>
                  </w:pPr>
                  <w:r>
                    <w:rPr>
                      <w:rFonts w:ascii="Times New Roman" w:hAnsi="Times New Roman" w:eastAsia="宋体" w:cs="Times New Roman"/>
                      <w:szCs w:val="21"/>
                    </w:rPr>
                    <w:t>0.6395</w:t>
                  </w:r>
                </w:p>
              </w:tc>
            </w:tr>
            <w:tr w14:paraId="1A5E78A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4DB1654E">
                  <w:pPr>
                    <w:jc w:val="center"/>
                    <w:rPr>
                      <w:rFonts w:ascii="Times New Roman" w:hAnsi="Times New Roman" w:eastAsia="宋体" w:cs="Times New Roman"/>
                      <w:szCs w:val="21"/>
                    </w:rPr>
                  </w:pPr>
                  <w:r>
                    <w:rPr>
                      <w:rFonts w:ascii="Times New Roman" w:hAnsi="Times New Roman" w:eastAsia="宋体" w:cs="Times New Roman"/>
                      <w:szCs w:val="21"/>
                    </w:rPr>
                    <w:t>1000.0</w:t>
                  </w:r>
                </w:p>
              </w:tc>
              <w:tc>
                <w:tcPr>
                  <w:tcW w:w="1633" w:type="pct"/>
                  <w:vAlign w:val="center"/>
                </w:tcPr>
                <w:p w14:paraId="29884E0F">
                  <w:pPr>
                    <w:jc w:val="center"/>
                    <w:rPr>
                      <w:rFonts w:ascii="Times New Roman" w:hAnsi="Times New Roman" w:eastAsia="宋体" w:cs="Times New Roman"/>
                      <w:szCs w:val="21"/>
                    </w:rPr>
                  </w:pPr>
                  <w:r>
                    <w:rPr>
                      <w:rFonts w:ascii="Times New Roman" w:hAnsi="Times New Roman" w:eastAsia="宋体" w:cs="Times New Roman"/>
                      <w:szCs w:val="21"/>
                    </w:rPr>
                    <w:t>3.7837</w:t>
                  </w:r>
                </w:p>
              </w:tc>
              <w:tc>
                <w:tcPr>
                  <w:tcW w:w="1664" w:type="pct"/>
                  <w:vAlign w:val="center"/>
                </w:tcPr>
                <w:p w14:paraId="6D275E6D">
                  <w:pPr>
                    <w:jc w:val="center"/>
                    <w:rPr>
                      <w:rFonts w:ascii="Times New Roman" w:hAnsi="Times New Roman" w:eastAsia="宋体" w:cs="Times New Roman"/>
                      <w:szCs w:val="21"/>
                    </w:rPr>
                  </w:pPr>
                  <w:r>
                    <w:rPr>
                      <w:rFonts w:ascii="Times New Roman" w:hAnsi="Times New Roman" w:eastAsia="宋体" w:cs="Times New Roman"/>
                      <w:szCs w:val="21"/>
                    </w:rPr>
                    <w:t>0.4204</w:t>
                  </w:r>
                </w:p>
              </w:tc>
            </w:tr>
            <w:tr w14:paraId="304FD6C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5477EA7">
                  <w:pPr>
                    <w:jc w:val="center"/>
                    <w:rPr>
                      <w:rFonts w:ascii="Times New Roman" w:hAnsi="Times New Roman" w:eastAsia="宋体" w:cs="Times New Roman"/>
                      <w:szCs w:val="21"/>
                    </w:rPr>
                  </w:pPr>
                  <w:r>
                    <w:rPr>
                      <w:rFonts w:ascii="Times New Roman" w:hAnsi="Times New Roman" w:eastAsia="宋体" w:cs="Times New Roman"/>
                      <w:szCs w:val="21"/>
                    </w:rPr>
                    <w:t>2000.0</w:t>
                  </w:r>
                </w:p>
              </w:tc>
              <w:tc>
                <w:tcPr>
                  <w:tcW w:w="1633" w:type="pct"/>
                  <w:vAlign w:val="center"/>
                </w:tcPr>
                <w:p w14:paraId="12D29A4C">
                  <w:pPr>
                    <w:jc w:val="center"/>
                    <w:rPr>
                      <w:rFonts w:ascii="Times New Roman" w:hAnsi="Times New Roman" w:eastAsia="宋体" w:cs="Times New Roman"/>
                      <w:szCs w:val="21"/>
                    </w:rPr>
                  </w:pPr>
                  <w:r>
                    <w:rPr>
                      <w:rFonts w:ascii="Times New Roman" w:hAnsi="Times New Roman" w:eastAsia="宋体" w:cs="Times New Roman"/>
                      <w:szCs w:val="21"/>
                    </w:rPr>
                    <w:t>2.4256</w:t>
                  </w:r>
                </w:p>
              </w:tc>
              <w:tc>
                <w:tcPr>
                  <w:tcW w:w="1664" w:type="pct"/>
                  <w:vAlign w:val="center"/>
                </w:tcPr>
                <w:p w14:paraId="34760FFB">
                  <w:pPr>
                    <w:jc w:val="center"/>
                    <w:rPr>
                      <w:rFonts w:ascii="Times New Roman" w:hAnsi="Times New Roman" w:eastAsia="宋体" w:cs="Times New Roman"/>
                      <w:szCs w:val="21"/>
                    </w:rPr>
                  </w:pPr>
                  <w:r>
                    <w:rPr>
                      <w:rFonts w:ascii="Times New Roman" w:hAnsi="Times New Roman" w:eastAsia="宋体" w:cs="Times New Roman"/>
                      <w:szCs w:val="21"/>
                    </w:rPr>
                    <w:t>0.2695</w:t>
                  </w:r>
                </w:p>
              </w:tc>
            </w:tr>
            <w:tr w14:paraId="6502A8C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01EEFB18">
                  <w:pPr>
                    <w:jc w:val="center"/>
                    <w:rPr>
                      <w:rFonts w:ascii="Times New Roman" w:hAnsi="Times New Roman" w:eastAsia="宋体" w:cs="Times New Roman"/>
                      <w:szCs w:val="21"/>
                    </w:rPr>
                  </w:pPr>
                  <w:r>
                    <w:rPr>
                      <w:rFonts w:ascii="Times New Roman" w:hAnsi="Times New Roman" w:eastAsia="宋体" w:cs="Times New Roman"/>
                      <w:szCs w:val="21"/>
                    </w:rPr>
                    <w:t>3000.0</w:t>
                  </w:r>
                </w:p>
              </w:tc>
              <w:tc>
                <w:tcPr>
                  <w:tcW w:w="1633" w:type="pct"/>
                  <w:vAlign w:val="center"/>
                </w:tcPr>
                <w:p w14:paraId="48236BAF">
                  <w:pPr>
                    <w:jc w:val="center"/>
                    <w:rPr>
                      <w:rFonts w:ascii="Times New Roman" w:hAnsi="Times New Roman" w:eastAsia="宋体" w:cs="Times New Roman"/>
                      <w:szCs w:val="21"/>
                    </w:rPr>
                  </w:pPr>
                  <w:r>
                    <w:rPr>
                      <w:rFonts w:ascii="Times New Roman" w:hAnsi="Times New Roman" w:eastAsia="宋体" w:cs="Times New Roman"/>
                      <w:szCs w:val="21"/>
                    </w:rPr>
                    <w:t>1.9452</w:t>
                  </w:r>
                </w:p>
              </w:tc>
              <w:tc>
                <w:tcPr>
                  <w:tcW w:w="1664" w:type="pct"/>
                  <w:vAlign w:val="center"/>
                </w:tcPr>
                <w:p w14:paraId="11E6F99D">
                  <w:pPr>
                    <w:jc w:val="center"/>
                    <w:rPr>
                      <w:rFonts w:ascii="Times New Roman" w:hAnsi="Times New Roman" w:eastAsia="宋体" w:cs="Times New Roman"/>
                      <w:szCs w:val="21"/>
                    </w:rPr>
                  </w:pPr>
                  <w:r>
                    <w:rPr>
                      <w:rFonts w:ascii="Times New Roman" w:hAnsi="Times New Roman" w:eastAsia="宋体" w:cs="Times New Roman"/>
                      <w:szCs w:val="21"/>
                    </w:rPr>
                    <w:t>0.2161</w:t>
                  </w:r>
                </w:p>
              </w:tc>
            </w:tr>
            <w:tr w14:paraId="5177967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21151E7">
                  <w:pPr>
                    <w:jc w:val="center"/>
                    <w:rPr>
                      <w:rFonts w:ascii="Times New Roman" w:hAnsi="Times New Roman" w:eastAsia="宋体" w:cs="Times New Roman"/>
                      <w:szCs w:val="21"/>
                    </w:rPr>
                  </w:pPr>
                  <w:r>
                    <w:rPr>
                      <w:rFonts w:ascii="Times New Roman" w:hAnsi="Times New Roman" w:eastAsia="宋体" w:cs="Times New Roman"/>
                      <w:szCs w:val="21"/>
                    </w:rPr>
                    <w:t>4000.0</w:t>
                  </w:r>
                </w:p>
              </w:tc>
              <w:tc>
                <w:tcPr>
                  <w:tcW w:w="1633" w:type="pct"/>
                  <w:vAlign w:val="center"/>
                </w:tcPr>
                <w:p w14:paraId="5D7FD791">
                  <w:pPr>
                    <w:jc w:val="center"/>
                    <w:rPr>
                      <w:rFonts w:ascii="Times New Roman" w:hAnsi="Times New Roman" w:eastAsia="宋体" w:cs="Times New Roman"/>
                      <w:szCs w:val="21"/>
                    </w:rPr>
                  </w:pPr>
                  <w:r>
                    <w:rPr>
                      <w:rFonts w:ascii="Times New Roman" w:hAnsi="Times New Roman" w:eastAsia="宋体" w:cs="Times New Roman"/>
                      <w:szCs w:val="21"/>
                    </w:rPr>
                    <w:t>1.6371</w:t>
                  </w:r>
                </w:p>
              </w:tc>
              <w:tc>
                <w:tcPr>
                  <w:tcW w:w="1664" w:type="pct"/>
                  <w:vAlign w:val="center"/>
                </w:tcPr>
                <w:p w14:paraId="0C7DCEEA">
                  <w:pPr>
                    <w:jc w:val="center"/>
                    <w:rPr>
                      <w:rFonts w:ascii="Times New Roman" w:hAnsi="Times New Roman" w:eastAsia="宋体" w:cs="Times New Roman"/>
                      <w:szCs w:val="21"/>
                    </w:rPr>
                  </w:pPr>
                  <w:r>
                    <w:rPr>
                      <w:rFonts w:ascii="Times New Roman" w:hAnsi="Times New Roman" w:eastAsia="宋体" w:cs="Times New Roman"/>
                      <w:szCs w:val="21"/>
                    </w:rPr>
                    <w:t>0.1819</w:t>
                  </w:r>
                </w:p>
              </w:tc>
            </w:tr>
            <w:tr w14:paraId="09B6C3E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73D31FB3">
                  <w:pPr>
                    <w:jc w:val="center"/>
                    <w:rPr>
                      <w:rFonts w:ascii="Times New Roman" w:hAnsi="Times New Roman" w:eastAsia="宋体" w:cs="Times New Roman"/>
                      <w:szCs w:val="21"/>
                    </w:rPr>
                  </w:pPr>
                  <w:r>
                    <w:rPr>
                      <w:rFonts w:ascii="Times New Roman" w:hAnsi="Times New Roman" w:eastAsia="宋体" w:cs="Times New Roman"/>
                      <w:szCs w:val="21"/>
                    </w:rPr>
                    <w:t>5000.0</w:t>
                  </w:r>
                </w:p>
              </w:tc>
              <w:tc>
                <w:tcPr>
                  <w:tcW w:w="1633" w:type="pct"/>
                  <w:vAlign w:val="center"/>
                </w:tcPr>
                <w:p w14:paraId="05740E24">
                  <w:pPr>
                    <w:jc w:val="center"/>
                    <w:rPr>
                      <w:rFonts w:ascii="Times New Roman" w:hAnsi="Times New Roman" w:eastAsia="宋体" w:cs="Times New Roman"/>
                      <w:szCs w:val="21"/>
                    </w:rPr>
                  </w:pPr>
                  <w:r>
                    <w:rPr>
                      <w:rFonts w:ascii="Times New Roman" w:hAnsi="Times New Roman" w:eastAsia="宋体" w:cs="Times New Roman"/>
                      <w:szCs w:val="21"/>
                    </w:rPr>
                    <w:t>1.4071</w:t>
                  </w:r>
                </w:p>
              </w:tc>
              <w:tc>
                <w:tcPr>
                  <w:tcW w:w="1664" w:type="pct"/>
                  <w:vAlign w:val="center"/>
                </w:tcPr>
                <w:p w14:paraId="504F3526">
                  <w:pPr>
                    <w:jc w:val="center"/>
                    <w:rPr>
                      <w:rFonts w:ascii="Times New Roman" w:hAnsi="Times New Roman" w:eastAsia="宋体" w:cs="Times New Roman"/>
                      <w:szCs w:val="21"/>
                    </w:rPr>
                  </w:pPr>
                  <w:r>
                    <w:rPr>
                      <w:rFonts w:ascii="Times New Roman" w:hAnsi="Times New Roman" w:eastAsia="宋体" w:cs="Times New Roman"/>
                      <w:szCs w:val="21"/>
                    </w:rPr>
                    <w:t>0.1563</w:t>
                  </w:r>
                </w:p>
              </w:tc>
            </w:tr>
            <w:tr w14:paraId="7285564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438556BF">
                  <w:pPr>
                    <w:jc w:val="center"/>
                    <w:rPr>
                      <w:rFonts w:ascii="Times New Roman" w:hAnsi="Times New Roman" w:eastAsia="宋体" w:cs="Times New Roman"/>
                      <w:szCs w:val="21"/>
                    </w:rPr>
                  </w:pPr>
                  <w:r>
                    <w:rPr>
                      <w:rFonts w:ascii="Times New Roman" w:hAnsi="Times New Roman" w:eastAsia="宋体" w:cs="Times New Roman"/>
                      <w:szCs w:val="21"/>
                    </w:rPr>
                    <w:t>10000.0</w:t>
                  </w:r>
                </w:p>
              </w:tc>
              <w:tc>
                <w:tcPr>
                  <w:tcW w:w="1633" w:type="pct"/>
                  <w:vAlign w:val="center"/>
                </w:tcPr>
                <w:p w14:paraId="6D5DA637">
                  <w:pPr>
                    <w:jc w:val="center"/>
                    <w:rPr>
                      <w:rFonts w:ascii="Times New Roman" w:hAnsi="Times New Roman" w:eastAsia="宋体" w:cs="Times New Roman"/>
                      <w:szCs w:val="21"/>
                    </w:rPr>
                  </w:pPr>
                  <w:r>
                    <w:rPr>
                      <w:rFonts w:ascii="Times New Roman" w:hAnsi="Times New Roman" w:eastAsia="宋体" w:cs="Times New Roman"/>
                      <w:szCs w:val="21"/>
                    </w:rPr>
                    <w:t>0.8683</w:t>
                  </w:r>
                </w:p>
              </w:tc>
              <w:tc>
                <w:tcPr>
                  <w:tcW w:w="1664" w:type="pct"/>
                  <w:vAlign w:val="center"/>
                </w:tcPr>
                <w:p w14:paraId="3CBE7B1A">
                  <w:pPr>
                    <w:jc w:val="center"/>
                    <w:rPr>
                      <w:rFonts w:ascii="Times New Roman" w:hAnsi="Times New Roman" w:eastAsia="宋体" w:cs="Times New Roman"/>
                      <w:szCs w:val="21"/>
                    </w:rPr>
                  </w:pPr>
                  <w:r>
                    <w:rPr>
                      <w:rFonts w:ascii="Times New Roman" w:hAnsi="Times New Roman" w:eastAsia="宋体" w:cs="Times New Roman"/>
                      <w:szCs w:val="21"/>
                    </w:rPr>
                    <w:t>0.0965</w:t>
                  </w:r>
                </w:p>
              </w:tc>
            </w:tr>
            <w:tr w14:paraId="27C2636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004CE194">
                  <w:pPr>
                    <w:jc w:val="center"/>
                    <w:rPr>
                      <w:rFonts w:ascii="Times New Roman" w:hAnsi="Times New Roman" w:eastAsia="宋体" w:cs="Times New Roman"/>
                      <w:szCs w:val="21"/>
                    </w:rPr>
                  </w:pPr>
                  <w:r>
                    <w:rPr>
                      <w:rFonts w:ascii="Times New Roman" w:hAnsi="Times New Roman" w:eastAsia="宋体" w:cs="Times New Roman"/>
                      <w:szCs w:val="21"/>
                    </w:rPr>
                    <w:t>20000.0</w:t>
                  </w:r>
                </w:p>
              </w:tc>
              <w:tc>
                <w:tcPr>
                  <w:tcW w:w="1633" w:type="pct"/>
                  <w:vAlign w:val="center"/>
                </w:tcPr>
                <w:p w14:paraId="2076AC55">
                  <w:pPr>
                    <w:jc w:val="center"/>
                    <w:rPr>
                      <w:rFonts w:ascii="Times New Roman" w:hAnsi="Times New Roman" w:eastAsia="宋体" w:cs="Times New Roman"/>
                      <w:szCs w:val="21"/>
                    </w:rPr>
                  </w:pPr>
                  <w:r>
                    <w:rPr>
                      <w:rFonts w:ascii="Times New Roman" w:hAnsi="Times New Roman" w:eastAsia="宋体" w:cs="Times New Roman"/>
                      <w:szCs w:val="21"/>
                    </w:rPr>
                    <w:t>0.5341</w:t>
                  </w:r>
                </w:p>
              </w:tc>
              <w:tc>
                <w:tcPr>
                  <w:tcW w:w="1664" w:type="pct"/>
                  <w:vAlign w:val="center"/>
                </w:tcPr>
                <w:p w14:paraId="03BDE9E3">
                  <w:pPr>
                    <w:jc w:val="center"/>
                    <w:rPr>
                      <w:rFonts w:ascii="Times New Roman" w:hAnsi="Times New Roman" w:eastAsia="宋体" w:cs="Times New Roman"/>
                      <w:szCs w:val="21"/>
                    </w:rPr>
                  </w:pPr>
                  <w:r>
                    <w:rPr>
                      <w:rFonts w:ascii="Times New Roman" w:hAnsi="Times New Roman" w:eastAsia="宋体" w:cs="Times New Roman"/>
                      <w:szCs w:val="21"/>
                    </w:rPr>
                    <w:t>0.0593</w:t>
                  </w:r>
                </w:p>
              </w:tc>
            </w:tr>
            <w:tr w14:paraId="320F803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676B9019">
                  <w:pPr>
                    <w:jc w:val="center"/>
                    <w:rPr>
                      <w:rFonts w:ascii="Times New Roman" w:hAnsi="Times New Roman" w:eastAsia="宋体" w:cs="Times New Roman"/>
                      <w:szCs w:val="21"/>
                    </w:rPr>
                  </w:pPr>
                  <w:r>
                    <w:rPr>
                      <w:rFonts w:ascii="Times New Roman" w:hAnsi="Times New Roman" w:eastAsia="宋体" w:cs="Times New Roman"/>
                      <w:szCs w:val="21"/>
                    </w:rPr>
                    <w:t>25000.0</w:t>
                  </w:r>
                </w:p>
              </w:tc>
              <w:tc>
                <w:tcPr>
                  <w:tcW w:w="1633" w:type="pct"/>
                  <w:vAlign w:val="center"/>
                </w:tcPr>
                <w:p w14:paraId="248405B2">
                  <w:pPr>
                    <w:jc w:val="center"/>
                    <w:rPr>
                      <w:rFonts w:ascii="Times New Roman" w:hAnsi="Times New Roman" w:eastAsia="宋体" w:cs="Times New Roman"/>
                      <w:szCs w:val="21"/>
                    </w:rPr>
                  </w:pPr>
                  <w:r>
                    <w:rPr>
                      <w:rFonts w:ascii="Times New Roman" w:hAnsi="Times New Roman" w:eastAsia="宋体" w:cs="Times New Roman"/>
                      <w:szCs w:val="21"/>
                    </w:rPr>
                    <w:t>0.4484</w:t>
                  </w:r>
                </w:p>
              </w:tc>
              <w:tc>
                <w:tcPr>
                  <w:tcW w:w="1664" w:type="pct"/>
                  <w:vAlign w:val="center"/>
                </w:tcPr>
                <w:p w14:paraId="77DB45BE">
                  <w:pPr>
                    <w:jc w:val="center"/>
                    <w:rPr>
                      <w:rFonts w:ascii="Times New Roman" w:hAnsi="Times New Roman" w:eastAsia="宋体" w:cs="Times New Roman"/>
                      <w:szCs w:val="21"/>
                    </w:rPr>
                  </w:pPr>
                  <w:r>
                    <w:rPr>
                      <w:rFonts w:ascii="Times New Roman" w:hAnsi="Times New Roman" w:eastAsia="宋体" w:cs="Times New Roman"/>
                      <w:szCs w:val="21"/>
                    </w:rPr>
                    <w:t>0.0498</w:t>
                  </w:r>
                </w:p>
              </w:tc>
            </w:tr>
            <w:tr w14:paraId="1EFD12C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17B57626">
                  <w:pPr>
                    <w:jc w:val="center"/>
                    <w:rPr>
                      <w:rFonts w:ascii="Times New Roman" w:hAnsi="Times New Roman" w:eastAsia="宋体" w:cs="Times New Roman"/>
                      <w:szCs w:val="21"/>
                    </w:rPr>
                  </w:pPr>
                  <w:r>
                    <w:rPr>
                      <w:rFonts w:ascii="Times New Roman" w:hAnsi="Times New Roman" w:eastAsia="宋体" w:cs="Times New Roman"/>
                      <w:szCs w:val="21"/>
                    </w:rPr>
                    <w:t>下风向最大浓度</w:t>
                  </w:r>
                </w:p>
              </w:tc>
              <w:tc>
                <w:tcPr>
                  <w:tcW w:w="1633" w:type="pct"/>
                  <w:vAlign w:val="center"/>
                </w:tcPr>
                <w:p w14:paraId="278258F0">
                  <w:pPr>
                    <w:jc w:val="center"/>
                    <w:rPr>
                      <w:rFonts w:ascii="Times New Roman" w:hAnsi="Times New Roman" w:eastAsia="宋体" w:cs="Times New Roman"/>
                      <w:szCs w:val="21"/>
                    </w:rPr>
                  </w:pPr>
                  <w:r>
                    <w:rPr>
                      <w:rFonts w:ascii="Times New Roman" w:hAnsi="Times New Roman" w:eastAsia="宋体" w:cs="Times New Roman"/>
                      <w:szCs w:val="21"/>
                    </w:rPr>
                    <w:t>40.0280</w:t>
                  </w:r>
                </w:p>
              </w:tc>
              <w:tc>
                <w:tcPr>
                  <w:tcW w:w="1664" w:type="pct"/>
                  <w:vAlign w:val="center"/>
                </w:tcPr>
                <w:p w14:paraId="4E9AAD74">
                  <w:pPr>
                    <w:jc w:val="center"/>
                    <w:rPr>
                      <w:rFonts w:ascii="Times New Roman" w:hAnsi="Times New Roman" w:eastAsia="宋体" w:cs="Times New Roman"/>
                      <w:szCs w:val="21"/>
                    </w:rPr>
                  </w:pPr>
                  <w:r>
                    <w:rPr>
                      <w:rFonts w:ascii="Times New Roman" w:hAnsi="Times New Roman" w:eastAsia="宋体" w:cs="Times New Roman"/>
                      <w:szCs w:val="21"/>
                    </w:rPr>
                    <w:t>4.4476</w:t>
                  </w:r>
                </w:p>
              </w:tc>
            </w:tr>
            <w:tr w14:paraId="250B06E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6DC7569A">
                  <w:pPr>
                    <w:jc w:val="center"/>
                    <w:rPr>
                      <w:rFonts w:ascii="Times New Roman" w:hAnsi="Times New Roman" w:eastAsia="宋体" w:cs="Times New Roman"/>
                      <w:szCs w:val="21"/>
                    </w:rPr>
                  </w:pPr>
                  <w:r>
                    <w:rPr>
                      <w:rFonts w:ascii="Times New Roman" w:hAnsi="Times New Roman" w:eastAsia="宋体" w:cs="Times New Roman"/>
                      <w:szCs w:val="21"/>
                    </w:rPr>
                    <w:t>下风向最大浓度出现距离</w:t>
                  </w:r>
                </w:p>
              </w:tc>
              <w:tc>
                <w:tcPr>
                  <w:tcW w:w="1633" w:type="pct"/>
                  <w:vAlign w:val="center"/>
                </w:tcPr>
                <w:p w14:paraId="1352561F">
                  <w:pPr>
                    <w:jc w:val="center"/>
                    <w:rPr>
                      <w:rFonts w:ascii="Times New Roman" w:hAnsi="Times New Roman" w:eastAsia="宋体" w:cs="Times New Roman"/>
                      <w:szCs w:val="21"/>
                    </w:rPr>
                  </w:pPr>
                  <w:r>
                    <w:rPr>
                      <w:rFonts w:ascii="Times New Roman" w:hAnsi="Times New Roman" w:eastAsia="宋体" w:cs="Times New Roman"/>
                      <w:szCs w:val="21"/>
                    </w:rPr>
                    <w:t>14.0</w:t>
                  </w:r>
                </w:p>
              </w:tc>
              <w:tc>
                <w:tcPr>
                  <w:tcW w:w="1664" w:type="pct"/>
                  <w:vAlign w:val="center"/>
                </w:tcPr>
                <w:p w14:paraId="58BEA69F">
                  <w:pPr>
                    <w:jc w:val="center"/>
                    <w:rPr>
                      <w:rFonts w:ascii="Times New Roman" w:hAnsi="Times New Roman" w:eastAsia="宋体" w:cs="Times New Roman"/>
                      <w:szCs w:val="21"/>
                    </w:rPr>
                  </w:pPr>
                  <w:r>
                    <w:rPr>
                      <w:rFonts w:ascii="Times New Roman" w:hAnsi="Times New Roman" w:eastAsia="宋体" w:cs="Times New Roman"/>
                      <w:szCs w:val="21"/>
                    </w:rPr>
                    <w:t>14.0</w:t>
                  </w:r>
                </w:p>
              </w:tc>
            </w:tr>
            <w:tr w14:paraId="62A5B62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3152117">
                  <w:pPr>
                    <w:jc w:val="center"/>
                    <w:rPr>
                      <w:rFonts w:ascii="Times New Roman" w:hAnsi="Times New Roman" w:eastAsia="宋体" w:cs="Times New Roman"/>
                      <w:szCs w:val="21"/>
                    </w:rPr>
                  </w:pPr>
                  <w:r>
                    <w:rPr>
                      <w:rFonts w:ascii="Times New Roman" w:hAnsi="Times New Roman" w:eastAsia="宋体" w:cs="Times New Roman"/>
                      <w:szCs w:val="21"/>
                    </w:rPr>
                    <w:t>D10%最远距离</w:t>
                  </w:r>
                </w:p>
              </w:tc>
              <w:tc>
                <w:tcPr>
                  <w:tcW w:w="1633" w:type="pct"/>
                  <w:vAlign w:val="center"/>
                </w:tcPr>
                <w:p w14:paraId="4CA34047">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664" w:type="pct"/>
                  <w:vAlign w:val="center"/>
                </w:tcPr>
                <w:p w14:paraId="2DE5C43A">
                  <w:pPr>
                    <w:jc w:val="center"/>
                    <w:rPr>
                      <w:rFonts w:ascii="Times New Roman" w:hAnsi="Times New Roman" w:eastAsia="宋体" w:cs="Times New Roman"/>
                      <w:szCs w:val="21"/>
                    </w:rPr>
                  </w:pPr>
                  <w:r>
                    <w:rPr>
                      <w:rFonts w:ascii="Times New Roman" w:hAnsi="Times New Roman" w:eastAsia="宋体" w:cs="Times New Roman"/>
                      <w:szCs w:val="21"/>
                    </w:rPr>
                    <w:t>/</w:t>
                  </w:r>
                </w:p>
              </w:tc>
            </w:tr>
          </w:tbl>
          <w:p w14:paraId="0A497173">
            <w:pPr>
              <w:spacing w:line="480" w:lineRule="exact"/>
              <w:ind w:firstLine="480" w:firstLineChars="200"/>
              <w:jc w:val="center"/>
              <w:rPr>
                <w:rFonts w:ascii="Times New Roman" w:hAnsi="Times New Roman" w:eastAsia="宋体" w:cs="Times New Roman"/>
                <w:sz w:val="24"/>
              </w:rPr>
            </w:pPr>
            <w:r>
              <w:rPr>
                <w:rFonts w:ascii="Times New Roman" w:hAnsi="Times New Roman" w:eastAsia="宋体" w:cs="Times New Roman"/>
                <w:bCs/>
                <w:sz w:val="24"/>
              </w:rPr>
              <w:t>表7-12  污染源结果（</w:t>
            </w:r>
            <w:r>
              <w:rPr>
                <w:rFonts w:hint="eastAsia" w:ascii="宋体" w:hAnsi="宋体" w:eastAsia="宋体"/>
                <w:sz w:val="23"/>
                <w:szCs w:val="23"/>
              </w:rPr>
              <w:t>装卸粉尘</w:t>
            </w:r>
            <w:r>
              <w:rPr>
                <w:rFonts w:ascii="Times New Roman" w:hAnsi="Times New Roman" w:eastAsia="宋体" w:cs="Times New Roman"/>
                <w:bCs/>
                <w:sz w:val="24"/>
              </w:rPr>
              <w:t>）</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821"/>
              <w:gridCol w:w="2705"/>
              <w:gridCol w:w="2756"/>
            </w:tblGrid>
            <w:tr w14:paraId="7B927BB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Merge w:val="restart"/>
                  <w:vAlign w:val="center"/>
                </w:tcPr>
                <w:p w14:paraId="3E92119C">
                  <w:pPr>
                    <w:jc w:val="center"/>
                    <w:rPr>
                      <w:rFonts w:ascii="Times New Roman" w:hAnsi="Times New Roman" w:eastAsia="宋体" w:cs="Times New Roman"/>
                      <w:szCs w:val="21"/>
                    </w:rPr>
                  </w:pPr>
                  <w:r>
                    <w:rPr>
                      <w:rFonts w:ascii="Times New Roman" w:hAnsi="Times New Roman" w:eastAsia="宋体" w:cs="Times New Roman"/>
                      <w:szCs w:val="21"/>
                    </w:rPr>
                    <w:t>下风向距离</w:t>
                  </w:r>
                </w:p>
              </w:tc>
              <w:tc>
                <w:tcPr>
                  <w:tcW w:w="3297" w:type="pct"/>
                  <w:gridSpan w:val="2"/>
                  <w:vAlign w:val="center"/>
                </w:tcPr>
                <w:p w14:paraId="04BA566E">
                  <w:pPr>
                    <w:jc w:val="center"/>
                    <w:rPr>
                      <w:rFonts w:ascii="Times New Roman" w:hAnsi="Times New Roman" w:eastAsia="宋体" w:cs="Times New Roman"/>
                      <w:szCs w:val="21"/>
                    </w:rPr>
                  </w:pPr>
                  <w:r>
                    <w:rPr>
                      <w:rFonts w:ascii="Times New Roman" w:hAnsi="Times New Roman" w:eastAsia="宋体" w:cs="Times New Roman"/>
                      <w:szCs w:val="21"/>
                    </w:rPr>
                    <w:t>装卸粉尘</w:t>
                  </w:r>
                </w:p>
              </w:tc>
            </w:tr>
            <w:tr w14:paraId="332ED08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Merge w:val="continue"/>
                  <w:vAlign w:val="center"/>
                </w:tcPr>
                <w:p w14:paraId="3DA23AA9">
                  <w:pPr>
                    <w:jc w:val="center"/>
                    <w:rPr>
                      <w:rFonts w:ascii="Times New Roman" w:hAnsi="Times New Roman" w:eastAsia="宋体" w:cs="Times New Roman"/>
                      <w:szCs w:val="21"/>
                    </w:rPr>
                  </w:pPr>
                </w:p>
              </w:tc>
              <w:tc>
                <w:tcPr>
                  <w:tcW w:w="1633" w:type="pct"/>
                  <w:vAlign w:val="center"/>
                </w:tcPr>
                <w:p w14:paraId="13B12B02">
                  <w:pPr>
                    <w:jc w:val="center"/>
                    <w:rPr>
                      <w:rFonts w:ascii="Times New Roman" w:hAnsi="Times New Roman" w:eastAsia="宋体" w:cs="Times New Roman"/>
                      <w:szCs w:val="21"/>
                    </w:rPr>
                  </w:pPr>
                  <w:r>
                    <w:rPr>
                      <w:rFonts w:ascii="Times New Roman" w:hAnsi="Times New Roman" w:eastAsia="宋体" w:cs="Times New Roman"/>
                      <w:szCs w:val="21"/>
                    </w:rPr>
                    <w:t>TSP浓度</w:t>
                  </w:r>
                  <w:r>
                    <w:rPr>
                      <w:rFonts w:hint="eastAsia" w:ascii="Times New Roman" w:hAnsi="Times New Roman" w:eastAsia="宋体" w:cs="Times New Roman"/>
                      <w:szCs w:val="21"/>
                      <w:lang w:eastAsia="zh-CN"/>
                    </w:rPr>
                    <w:t>（</w:t>
                  </w:r>
                  <w:r>
                    <w:rPr>
                      <w:rFonts w:ascii="Times New Roman" w:hAnsi="Times New Roman" w:eastAsia="宋体" w:cs="Times New Roman"/>
                      <w:szCs w:val="21"/>
                    </w:rPr>
                    <w:t>μg/m³</w:t>
                  </w:r>
                  <w:r>
                    <w:rPr>
                      <w:rFonts w:hint="eastAsia" w:ascii="Times New Roman" w:hAnsi="Times New Roman" w:eastAsia="宋体" w:cs="Times New Roman"/>
                      <w:szCs w:val="21"/>
                      <w:lang w:eastAsia="zh-CN"/>
                    </w:rPr>
                    <w:t>）</w:t>
                  </w:r>
                </w:p>
              </w:tc>
              <w:tc>
                <w:tcPr>
                  <w:tcW w:w="1664" w:type="pct"/>
                  <w:vAlign w:val="center"/>
                </w:tcPr>
                <w:p w14:paraId="0ECB9564">
                  <w:pPr>
                    <w:jc w:val="center"/>
                    <w:rPr>
                      <w:rFonts w:ascii="Times New Roman" w:hAnsi="Times New Roman" w:eastAsia="宋体" w:cs="Times New Roman"/>
                      <w:szCs w:val="21"/>
                    </w:rPr>
                  </w:pPr>
                  <w:r>
                    <w:rPr>
                      <w:rFonts w:ascii="Times New Roman" w:hAnsi="Times New Roman" w:eastAsia="宋体" w:cs="Times New Roman"/>
                      <w:szCs w:val="21"/>
                    </w:rPr>
                    <w:t>TSP占标率</w:t>
                  </w:r>
                  <w:r>
                    <w:rPr>
                      <w:rFonts w:hint="eastAsia" w:ascii="Times New Roman" w:hAnsi="Times New Roman" w:eastAsia="宋体" w:cs="Times New Roman"/>
                      <w:szCs w:val="21"/>
                      <w:lang w:eastAsia="zh-CN"/>
                    </w:rPr>
                    <w:t>（</w:t>
                  </w:r>
                  <w:r>
                    <w:rPr>
                      <w:rFonts w:ascii="Times New Roman" w:hAnsi="Times New Roman" w:eastAsia="宋体" w:cs="Times New Roman"/>
                      <w:szCs w:val="21"/>
                    </w:rPr>
                    <w:t>%</w:t>
                  </w:r>
                  <w:r>
                    <w:rPr>
                      <w:rFonts w:hint="eastAsia" w:ascii="Times New Roman" w:hAnsi="Times New Roman" w:eastAsia="宋体" w:cs="Times New Roman"/>
                      <w:szCs w:val="21"/>
                      <w:lang w:eastAsia="zh-CN"/>
                    </w:rPr>
                    <w:t>）</w:t>
                  </w:r>
                </w:p>
              </w:tc>
            </w:tr>
            <w:tr w14:paraId="75CC4B6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2601C107">
                  <w:pPr>
                    <w:jc w:val="center"/>
                    <w:rPr>
                      <w:rFonts w:ascii="Times New Roman" w:hAnsi="Times New Roman" w:eastAsia="宋体" w:cs="Times New Roman"/>
                      <w:szCs w:val="21"/>
                    </w:rPr>
                  </w:pPr>
                  <w:r>
                    <w:rPr>
                      <w:rFonts w:ascii="Times New Roman" w:hAnsi="Times New Roman" w:eastAsia="宋体" w:cs="Times New Roman"/>
                      <w:szCs w:val="21"/>
                    </w:rPr>
                    <w:t>50.0</w:t>
                  </w:r>
                </w:p>
              </w:tc>
              <w:tc>
                <w:tcPr>
                  <w:tcW w:w="1633" w:type="pct"/>
                  <w:vAlign w:val="center"/>
                </w:tcPr>
                <w:p w14:paraId="2C56ED0E">
                  <w:pPr>
                    <w:jc w:val="center"/>
                    <w:rPr>
                      <w:rFonts w:ascii="Times New Roman" w:hAnsi="Times New Roman" w:eastAsia="宋体" w:cs="Times New Roman"/>
                      <w:szCs w:val="21"/>
                    </w:rPr>
                  </w:pPr>
                  <w:r>
                    <w:rPr>
                      <w:rFonts w:ascii="Times New Roman" w:hAnsi="Times New Roman" w:eastAsia="宋体" w:cs="Times New Roman"/>
                      <w:szCs w:val="21"/>
                    </w:rPr>
                    <w:t>31.8660</w:t>
                  </w:r>
                </w:p>
              </w:tc>
              <w:tc>
                <w:tcPr>
                  <w:tcW w:w="1664" w:type="pct"/>
                  <w:vAlign w:val="center"/>
                </w:tcPr>
                <w:p w14:paraId="1DD0FED1">
                  <w:pPr>
                    <w:jc w:val="center"/>
                    <w:rPr>
                      <w:rFonts w:ascii="Times New Roman" w:hAnsi="Times New Roman" w:eastAsia="宋体" w:cs="Times New Roman"/>
                      <w:szCs w:val="21"/>
                    </w:rPr>
                  </w:pPr>
                  <w:r>
                    <w:rPr>
                      <w:rFonts w:ascii="Times New Roman" w:hAnsi="Times New Roman" w:eastAsia="宋体" w:cs="Times New Roman"/>
                      <w:szCs w:val="21"/>
                    </w:rPr>
                    <w:t>3.5407</w:t>
                  </w:r>
                </w:p>
              </w:tc>
            </w:tr>
            <w:tr w14:paraId="236122B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9758017">
                  <w:pPr>
                    <w:jc w:val="center"/>
                    <w:rPr>
                      <w:rFonts w:ascii="Times New Roman" w:hAnsi="Times New Roman" w:eastAsia="宋体" w:cs="Times New Roman"/>
                      <w:szCs w:val="21"/>
                    </w:rPr>
                  </w:pPr>
                  <w:r>
                    <w:rPr>
                      <w:rFonts w:ascii="Times New Roman" w:hAnsi="Times New Roman" w:eastAsia="宋体" w:cs="Times New Roman"/>
                      <w:szCs w:val="21"/>
                    </w:rPr>
                    <w:t>100.0</w:t>
                  </w:r>
                </w:p>
              </w:tc>
              <w:tc>
                <w:tcPr>
                  <w:tcW w:w="1633" w:type="pct"/>
                  <w:vAlign w:val="center"/>
                </w:tcPr>
                <w:p w14:paraId="6BBFCBE4">
                  <w:pPr>
                    <w:jc w:val="center"/>
                    <w:rPr>
                      <w:rFonts w:ascii="Times New Roman" w:hAnsi="Times New Roman" w:eastAsia="宋体" w:cs="Times New Roman"/>
                      <w:szCs w:val="21"/>
                    </w:rPr>
                  </w:pPr>
                  <w:r>
                    <w:rPr>
                      <w:rFonts w:ascii="Times New Roman" w:hAnsi="Times New Roman" w:eastAsia="宋体" w:cs="Times New Roman"/>
                      <w:szCs w:val="21"/>
                    </w:rPr>
                    <w:t>18.9390</w:t>
                  </w:r>
                </w:p>
              </w:tc>
              <w:tc>
                <w:tcPr>
                  <w:tcW w:w="1664" w:type="pct"/>
                  <w:vAlign w:val="center"/>
                </w:tcPr>
                <w:p w14:paraId="37FDEC5B">
                  <w:pPr>
                    <w:jc w:val="center"/>
                    <w:rPr>
                      <w:rFonts w:ascii="Times New Roman" w:hAnsi="Times New Roman" w:eastAsia="宋体" w:cs="Times New Roman"/>
                      <w:szCs w:val="21"/>
                    </w:rPr>
                  </w:pPr>
                  <w:r>
                    <w:rPr>
                      <w:rFonts w:ascii="Times New Roman" w:hAnsi="Times New Roman" w:eastAsia="宋体" w:cs="Times New Roman"/>
                      <w:szCs w:val="21"/>
                    </w:rPr>
                    <w:t>2.1043</w:t>
                  </w:r>
                </w:p>
              </w:tc>
            </w:tr>
            <w:tr w14:paraId="165F474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607DC781">
                  <w:pPr>
                    <w:jc w:val="center"/>
                    <w:rPr>
                      <w:rFonts w:ascii="Times New Roman" w:hAnsi="Times New Roman" w:eastAsia="宋体" w:cs="Times New Roman"/>
                      <w:szCs w:val="21"/>
                    </w:rPr>
                  </w:pPr>
                  <w:r>
                    <w:rPr>
                      <w:rFonts w:ascii="Times New Roman" w:hAnsi="Times New Roman" w:eastAsia="宋体" w:cs="Times New Roman"/>
                      <w:szCs w:val="21"/>
                    </w:rPr>
                    <w:t>200.0</w:t>
                  </w:r>
                </w:p>
              </w:tc>
              <w:tc>
                <w:tcPr>
                  <w:tcW w:w="1633" w:type="pct"/>
                  <w:vAlign w:val="center"/>
                </w:tcPr>
                <w:p w14:paraId="545B97D3">
                  <w:pPr>
                    <w:jc w:val="center"/>
                    <w:rPr>
                      <w:rFonts w:ascii="Times New Roman" w:hAnsi="Times New Roman" w:eastAsia="宋体" w:cs="Times New Roman"/>
                      <w:szCs w:val="21"/>
                    </w:rPr>
                  </w:pPr>
                  <w:r>
                    <w:rPr>
                      <w:rFonts w:ascii="Times New Roman" w:hAnsi="Times New Roman" w:eastAsia="宋体" w:cs="Times New Roman"/>
                      <w:szCs w:val="21"/>
                    </w:rPr>
                    <w:t>9.7609</w:t>
                  </w:r>
                </w:p>
              </w:tc>
              <w:tc>
                <w:tcPr>
                  <w:tcW w:w="1664" w:type="pct"/>
                  <w:vAlign w:val="center"/>
                </w:tcPr>
                <w:p w14:paraId="58DC4C13">
                  <w:pPr>
                    <w:jc w:val="center"/>
                    <w:rPr>
                      <w:rFonts w:ascii="Times New Roman" w:hAnsi="Times New Roman" w:eastAsia="宋体" w:cs="Times New Roman"/>
                      <w:szCs w:val="21"/>
                    </w:rPr>
                  </w:pPr>
                  <w:r>
                    <w:rPr>
                      <w:rFonts w:ascii="Times New Roman" w:hAnsi="Times New Roman" w:eastAsia="宋体" w:cs="Times New Roman"/>
                      <w:szCs w:val="21"/>
                    </w:rPr>
                    <w:t>1.0845</w:t>
                  </w:r>
                </w:p>
              </w:tc>
            </w:tr>
            <w:tr w14:paraId="2CBDE8E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603D2DA0">
                  <w:pPr>
                    <w:jc w:val="center"/>
                    <w:rPr>
                      <w:rFonts w:ascii="Times New Roman" w:hAnsi="Times New Roman" w:eastAsia="宋体" w:cs="Times New Roman"/>
                      <w:szCs w:val="21"/>
                    </w:rPr>
                  </w:pPr>
                  <w:r>
                    <w:rPr>
                      <w:rFonts w:ascii="Times New Roman" w:hAnsi="Times New Roman" w:eastAsia="宋体" w:cs="Times New Roman"/>
                      <w:szCs w:val="21"/>
                    </w:rPr>
                    <w:t>300.0</w:t>
                  </w:r>
                </w:p>
              </w:tc>
              <w:tc>
                <w:tcPr>
                  <w:tcW w:w="1633" w:type="pct"/>
                  <w:vAlign w:val="center"/>
                </w:tcPr>
                <w:p w14:paraId="260C48FD">
                  <w:pPr>
                    <w:jc w:val="center"/>
                    <w:rPr>
                      <w:rFonts w:ascii="Times New Roman" w:hAnsi="Times New Roman" w:eastAsia="宋体" w:cs="Times New Roman"/>
                      <w:szCs w:val="21"/>
                    </w:rPr>
                  </w:pPr>
                  <w:r>
                    <w:rPr>
                      <w:rFonts w:ascii="Times New Roman" w:hAnsi="Times New Roman" w:eastAsia="宋体" w:cs="Times New Roman"/>
                      <w:szCs w:val="21"/>
                    </w:rPr>
                    <w:t>8.2572</w:t>
                  </w:r>
                </w:p>
              </w:tc>
              <w:tc>
                <w:tcPr>
                  <w:tcW w:w="1664" w:type="pct"/>
                  <w:vAlign w:val="center"/>
                </w:tcPr>
                <w:p w14:paraId="4058E109">
                  <w:pPr>
                    <w:jc w:val="center"/>
                    <w:rPr>
                      <w:rFonts w:ascii="Times New Roman" w:hAnsi="Times New Roman" w:eastAsia="宋体" w:cs="Times New Roman"/>
                      <w:szCs w:val="21"/>
                    </w:rPr>
                  </w:pPr>
                  <w:r>
                    <w:rPr>
                      <w:rFonts w:ascii="Times New Roman" w:hAnsi="Times New Roman" w:eastAsia="宋体" w:cs="Times New Roman"/>
                      <w:szCs w:val="21"/>
                    </w:rPr>
                    <w:t>0.9175</w:t>
                  </w:r>
                </w:p>
              </w:tc>
            </w:tr>
            <w:tr w14:paraId="482FD62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0C9D4043">
                  <w:pPr>
                    <w:jc w:val="center"/>
                    <w:rPr>
                      <w:rFonts w:ascii="Times New Roman" w:hAnsi="Times New Roman" w:eastAsia="宋体" w:cs="Times New Roman"/>
                      <w:szCs w:val="21"/>
                    </w:rPr>
                  </w:pPr>
                  <w:r>
                    <w:rPr>
                      <w:rFonts w:ascii="Times New Roman" w:hAnsi="Times New Roman" w:eastAsia="宋体" w:cs="Times New Roman"/>
                      <w:szCs w:val="21"/>
                    </w:rPr>
                    <w:t>400.0</w:t>
                  </w:r>
                </w:p>
              </w:tc>
              <w:tc>
                <w:tcPr>
                  <w:tcW w:w="1633" w:type="pct"/>
                  <w:vAlign w:val="center"/>
                </w:tcPr>
                <w:p w14:paraId="07B7095C">
                  <w:pPr>
                    <w:jc w:val="center"/>
                    <w:rPr>
                      <w:rFonts w:ascii="Times New Roman" w:hAnsi="Times New Roman" w:eastAsia="宋体" w:cs="Times New Roman"/>
                      <w:szCs w:val="21"/>
                    </w:rPr>
                  </w:pPr>
                  <w:r>
                    <w:rPr>
                      <w:rFonts w:ascii="Times New Roman" w:hAnsi="Times New Roman" w:eastAsia="宋体" w:cs="Times New Roman"/>
                      <w:szCs w:val="21"/>
                    </w:rPr>
                    <w:t>5.8892</w:t>
                  </w:r>
                </w:p>
              </w:tc>
              <w:tc>
                <w:tcPr>
                  <w:tcW w:w="1664" w:type="pct"/>
                  <w:vAlign w:val="center"/>
                </w:tcPr>
                <w:p w14:paraId="13EEB8AF">
                  <w:pPr>
                    <w:jc w:val="center"/>
                    <w:rPr>
                      <w:rFonts w:ascii="Times New Roman" w:hAnsi="Times New Roman" w:eastAsia="宋体" w:cs="Times New Roman"/>
                      <w:szCs w:val="21"/>
                    </w:rPr>
                  </w:pPr>
                  <w:r>
                    <w:rPr>
                      <w:rFonts w:ascii="Times New Roman" w:hAnsi="Times New Roman" w:eastAsia="宋体" w:cs="Times New Roman"/>
                      <w:szCs w:val="21"/>
                    </w:rPr>
                    <w:t>0.6544</w:t>
                  </w:r>
                </w:p>
              </w:tc>
            </w:tr>
            <w:tr w14:paraId="0EFF195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6E36B7E8">
                  <w:pPr>
                    <w:jc w:val="center"/>
                    <w:rPr>
                      <w:rFonts w:ascii="Times New Roman" w:hAnsi="Times New Roman" w:eastAsia="宋体" w:cs="Times New Roman"/>
                      <w:szCs w:val="21"/>
                    </w:rPr>
                  </w:pPr>
                  <w:r>
                    <w:rPr>
                      <w:rFonts w:ascii="Times New Roman" w:hAnsi="Times New Roman" w:eastAsia="宋体" w:cs="Times New Roman"/>
                      <w:szCs w:val="21"/>
                    </w:rPr>
                    <w:t>500.0</w:t>
                  </w:r>
                </w:p>
              </w:tc>
              <w:tc>
                <w:tcPr>
                  <w:tcW w:w="1633" w:type="pct"/>
                  <w:vAlign w:val="center"/>
                </w:tcPr>
                <w:p w14:paraId="443A2C27">
                  <w:pPr>
                    <w:jc w:val="center"/>
                    <w:rPr>
                      <w:rFonts w:ascii="Times New Roman" w:hAnsi="Times New Roman" w:eastAsia="宋体" w:cs="Times New Roman"/>
                      <w:szCs w:val="21"/>
                    </w:rPr>
                  </w:pPr>
                  <w:r>
                    <w:rPr>
                      <w:rFonts w:ascii="Times New Roman" w:hAnsi="Times New Roman" w:eastAsia="宋体" w:cs="Times New Roman"/>
                      <w:szCs w:val="21"/>
                    </w:rPr>
                    <w:t>5.3714</w:t>
                  </w:r>
                </w:p>
              </w:tc>
              <w:tc>
                <w:tcPr>
                  <w:tcW w:w="1664" w:type="pct"/>
                  <w:vAlign w:val="center"/>
                </w:tcPr>
                <w:p w14:paraId="06BCAB2A">
                  <w:pPr>
                    <w:jc w:val="center"/>
                    <w:rPr>
                      <w:rFonts w:ascii="Times New Roman" w:hAnsi="Times New Roman" w:eastAsia="宋体" w:cs="Times New Roman"/>
                      <w:szCs w:val="21"/>
                    </w:rPr>
                  </w:pPr>
                  <w:r>
                    <w:rPr>
                      <w:rFonts w:ascii="Times New Roman" w:hAnsi="Times New Roman" w:eastAsia="宋体" w:cs="Times New Roman"/>
                      <w:szCs w:val="21"/>
                    </w:rPr>
                    <w:t>0.5968</w:t>
                  </w:r>
                </w:p>
              </w:tc>
            </w:tr>
            <w:tr w14:paraId="3206562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6B7AEE99">
                  <w:pPr>
                    <w:jc w:val="center"/>
                    <w:rPr>
                      <w:rFonts w:ascii="Times New Roman" w:hAnsi="Times New Roman" w:eastAsia="宋体" w:cs="Times New Roman"/>
                      <w:szCs w:val="21"/>
                    </w:rPr>
                  </w:pPr>
                  <w:r>
                    <w:rPr>
                      <w:rFonts w:ascii="Times New Roman" w:hAnsi="Times New Roman" w:eastAsia="宋体" w:cs="Times New Roman"/>
                      <w:szCs w:val="21"/>
                    </w:rPr>
                    <w:t>1000.0</w:t>
                  </w:r>
                </w:p>
              </w:tc>
              <w:tc>
                <w:tcPr>
                  <w:tcW w:w="1633" w:type="pct"/>
                  <w:vAlign w:val="center"/>
                </w:tcPr>
                <w:p w14:paraId="662049EF">
                  <w:pPr>
                    <w:jc w:val="center"/>
                    <w:rPr>
                      <w:rFonts w:ascii="Times New Roman" w:hAnsi="Times New Roman" w:eastAsia="宋体" w:cs="Times New Roman"/>
                      <w:szCs w:val="21"/>
                    </w:rPr>
                  </w:pPr>
                  <w:r>
                    <w:rPr>
                      <w:rFonts w:ascii="Times New Roman" w:hAnsi="Times New Roman" w:eastAsia="宋体" w:cs="Times New Roman"/>
                      <w:szCs w:val="21"/>
                    </w:rPr>
                    <w:t>2.9492</w:t>
                  </w:r>
                </w:p>
              </w:tc>
              <w:tc>
                <w:tcPr>
                  <w:tcW w:w="1664" w:type="pct"/>
                  <w:vAlign w:val="center"/>
                </w:tcPr>
                <w:p w14:paraId="7FC13475">
                  <w:pPr>
                    <w:jc w:val="center"/>
                    <w:rPr>
                      <w:rFonts w:ascii="Times New Roman" w:hAnsi="Times New Roman" w:eastAsia="宋体" w:cs="Times New Roman"/>
                      <w:szCs w:val="21"/>
                    </w:rPr>
                  </w:pPr>
                  <w:r>
                    <w:rPr>
                      <w:rFonts w:ascii="Times New Roman" w:hAnsi="Times New Roman" w:eastAsia="宋体" w:cs="Times New Roman"/>
                      <w:szCs w:val="21"/>
                    </w:rPr>
                    <w:t>0.3277</w:t>
                  </w:r>
                </w:p>
              </w:tc>
            </w:tr>
            <w:tr w14:paraId="31EB47C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823F481">
                  <w:pPr>
                    <w:jc w:val="center"/>
                    <w:rPr>
                      <w:rFonts w:ascii="Times New Roman" w:hAnsi="Times New Roman" w:eastAsia="宋体" w:cs="Times New Roman"/>
                      <w:szCs w:val="21"/>
                    </w:rPr>
                  </w:pPr>
                  <w:r>
                    <w:rPr>
                      <w:rFonts w:ascii="Times New Roman" w:hAnsi="Times New Roman" w:eastAsia="宋体" w:cs="Times New Roman"/>
                      <w:szCs w:val="21"/>
                    </w:rPr>
                    <w:t>2000.0</w:t>
                  </w:r>
                </w:p>
              </w:tc>
              <w:tc>
                <w:tcPr>
                  <w:tcW w:w="1633" w:type="pct"/>
                  <w:vAlign w:val="center"/>
                </w:tcPr>
                <w:p w14:paraId="5667C6A3">
                  <w:pPr>
                    <w:jc w:val="center"/>
                    <w:rPr>
                      <w:rFonts w:ascii="Times New Roman" w:hAnsi="Times New Roman" w:eastAsia="宋体" w:cs="Times New Roman"/>
                      <w:szCs w:val="21"/>
                    </w:rPr>
                  </w:pPr>
                  <w:r>
                    <w:rPr>
                      <w:rFonts w:ascii="Times New Roman" w:hAnsi="Times New Roman" w:eastAsia="宋体" w:cs="Times New Roman"/>
                      <w:szCs w:val="21"/>
                    </w:rPr>
                    <w:t>0.4125</w:t>
                  </w:r>
                </w:p>
              </w:tc>
              <w:tc>
                <w:tcPr>
                  <w:tcW w:w="1664" w:type="pct"/>
                  <w:vAlign w:val="center"/>
                </w:tcPr>
                <w:p w14:paraId="663C49E2">
                  <w:pPr>
                    <w:jc w:val="center"/>
                    <w:rPr>
                      <w:rFonts w:ascii="Times New Roman" w:hAnsi="Times New Roman" w:eastAsia="宋体" w:cs="Times New Roman"/>
                      <w:szCs w:val="21"/>
                    </w:rPr>
                  </w:pPr>
                  <w:r>
                    <w:rPr>
                      <w:rFonts w:ascii="Times New Roman" w:hAnsi="Times New Roman" w:eastAsia="宋体" w:cs="Times New Roman"/>
                      <w:szCs w:val="21"/>
                    </w:rPr>
                    <w:t>0.0458</w:t>
                  </w:r>
                </w:p>
              </w:tc>
            </w:tr>
            <w:tr w14:paraId="76A002F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2A2E8879">
                  <w:pPr>
                    <w:jc w:val="center"/>
                    <w:rPr>
                      <w:rFonts w:ascii="Times New Roman" w:hAnsi="Times New Roman" w:eastAsia="宋体" w:cs="Times New Roman"/>
                      <w:szCs w:val="21"/>
                    </w:rPr>
                  </w:pPr>
                  <w:r>
                    <w:rPr>
                      <w:rFonts w:ascii="Times New Roman" w:hAnsi="Times New Roman" w:eastAsia="宋体" w:cs="Times New Roman"/>
                      <w:szCs w:val="21"/>
                    </w:rPr>
                    <w:t>3000.0</w:t>
                  </w:r>
                </w:p>
              </w:tc>
              <w:tc>
                <w:tcPr>
                  <w:tcW w:w="1633" w:type="pct"/>
                  <w:vAlign w:val="center"/>
                </w:tcPr>
                <w:p w14:paraId="56364D3E">
                  <w:pPr>
                    <w:jc w:val="center"/>
                    <w:rPr>
                      <w:rFonts w:ascii="Times New Roman" w:hAnsi="Times New Roman" w:eastAsia="宋体" w:cs="Times New Roman"/>
                      <w:szCs w:val="21"/>
                    </w:rPr>
                  </w:pPr>
                  <w:r>
                    <w:rPr>
                      <w:rFonts w:ascii="Times New Roman" w:hAnsi="Times New Roman" w:eastAsia="宋体" w:cs="Times New Roman"/>
                      <w:szCs w:val="21"/>
                    </w:rPr>
                    <w:t>1.2174</w:t>
                  </w:r>
                </w:p>
              </w:tc>
              <w:tc>
                <w:tcPr>
                  <w:tcW w:w="1664" w:type="pct"/>
                  <w:vAlign w:val="center"/>
                </w:tcPr>
                <w:p w14:paraId="7C3E21B4">
                  <w:pPr>
                    <w:jc w:val="center"/>
                    <w:rPr>
                      <w:rFonts w:ascii="Times New Roman" w:hAnsi="Times New Roman" w:eastAsia="宋体" w:cs="Times New Roman"/>
                      <w:szCs w:val="21"/>
                    </w:rPr>
                  </w:pPr>
                  <w:r>
                    <w:rPr>
                      <w:rFonts w:ascii="Times New Roman" w:hAnsi="Times New Roman" w:eastAsia="宋体" w:cs="Times New Roman"/>
                      <w:szCs w:val="21"/>
                    </w:rPr>
                    <w:t>0.1353</w:t>
                  </w:r>
                </w:p>
              </w:tc>
            </w:tr>
            <w:tr w14:paraId="6817E26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739E418D">
                  <w:pPr>
                    <w:jc w:val="center"/>
                    <w:rPr>
                      <w:rFonts w:ascii="Times New Roman" w:hAnsi="Times New Roman" w:eastAsia="宋体" w:cs="Times New Roman"/>
                      <w:szCs w:val="21"/>
                    </w:rPr>
                  </w:pPr>
                  <w:r>
                    <w:rPr>
                      <w:rFonts w:ascii="Times New Roman" w:hAnsi="Times New Roman" w:eastAsia="宋体" w:cs="Times New Roman"/>
                      <w:szCs w:val="21"/>
                    </w:rPr>
                    <w:t>4000.0</w:t>
                  </w:r>
                </w:p>
              </w:tc>
              <w:tc>
                <w:tcPr>
                  <w:tcW w:w="1633" w:type="pct"/>
                  <w:vAlign w:val="center"/>
                </w:tcPr>
                <w:p w14:paraId="1945A241">
                  <w:pPr>
                    <w:jc w:val="center"/>
                    <w:rPr>
                      <w:rFonts w:ascii="Times New Roman" w:hAnsi="Times New Roman" w:eastAsia="宋体" w:cs="Times New Roman"/>
                      <w:szCs w:val="21"/>
                    </w:rPr>
                  </w:pPr>
                  <w:r>
                    <w:rPr>
                      <w:rFonts w:ascii="Times New Roman" w:hAnsi="Times New Roman" w:eastAsia="宋体" w:cs="Times New Roman"/>
                      <w:szCs w:val="21"/>
                    </w:rPr>
                    <w:t>0.8672</w:t>
                  </w:r>
                </w:p>
              </w:tc>
              <w:tc>
                <w:tcPr>
                  <w:tcW w:w="1664" w:type="pct"/>
                  <w:vAlign w:val="center"/>
                </w:tcPr>
                <w:p w14:paraId="1F6E5DF9">
                  <w:pPr>
                    <w:jc w:val="center"/>
                    <w:rPr>
                      <w:rFonts w:ascii="Times New Roman" w:hAnsi="Times New Roman" w:eastAsia="宋体" w:cs="Times New Roman"/>
                      <w:szCs w:val="21"/>
                    </w:rPr>
                  </w:pPr>
                  <w:r>
                    <w:rPr>
                      <w:rFonts w:ascii="Times New Roman" w:hAnsi="Times New Roman" w:eastAsia="宋体" w:cs="Times New Roman"/>
                      <w:szCs w:val="21"/>
                    </w:rPr>
                    <w:t>0.0964</w:t>
                  </w:r>
                </w:p>
              </w:tc>
            </w:tr>
            <w:tr w14:paraId="1AE839B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7756B960">
                  <w:pPr>
                    <w:jc w:val="center"/>
                    <w:rPr>
                      <w:rFonts w:ascii="Times New Roman" w:hAnsi="Times New Roman" w:eastAsia="宋体" w:cs="Times New Roman"/>
                      <w:szCs w:val="21"/>
                    </w:rPr>
                  </w:pPr>
                  <w:r>
                    <w:rPr>
                      <w:rFonts w:ascii="Times New Roman" w:hAnsi="Times New Roman" w:eastAsia="宋体" w:cs="Times New Roman"/>
                      <w:szCs w:val="21"/>
                    </w:rPr>
                    <w:t>5000.0</w:t>
                  </w:r>
                </w:p>
              </w:tc>
              <w:tc>
                <w:tcPr>
                  <w:tcW w:w="1633" w:type="pct"/>
                  <w:vAlign w:val="center"/>
                </w:tcPr>
                <w:p w14:paraId="55129E25">
                  <w:pPr>
                    <w:jc w:val="center"/>
                    <w:rPr>
                      <w:rFonts w:ascii="Times New Roman" w:hAnsi="Times New Roman" w:eastAsia="宋体" w:cs="Times New Roman"/>
                      <w:szCs w:val="21"/>
                    </w:rPr>
                  </w:pPr>
                  <w:r>
                    <w:rPr>
                      <w:rFonts w:ascii="Times New Roman" w:hAnsi="Times New Roman" w:eastAsia="宋体" w:cs="Times New Roman"/>
                      <w:szCs w:val="21"/>
                    </w:rPr>
                    <w:t>0.6856</w:t>
                  </w:r>
                </w:p>
              </w:tc>
              <w:tc>
                <w:tcPr>
                  <w:tcW w:w="1664" w:type="pct"/>
                  <w:vAlign w:val="center"/>
                </w:tcPr>
                <w:p w14:paraId="4649DE76">
                  <w:pPr>
                    <w:jc w:val="center"/>
                    <w:rPr>
                      <w:rFonts w:ascii="Times New Roman" w:hAnsi="Times New Roman" w:eastAsia="宋体" w:cs="Times New Roman"/>
                      <w:szCs w:val="21"/>
                    </w:rPr>
                  </w:pPr>
                  <w:r>
                    <w:rPr>
                      <w:rFonts w:ascii="Times New Roman" w:hAnsi="Times New Roman" w:eastAsia="宋体" w:cs="Times New Roman"/>
                      <w:szCs w:val="21"/>
                    </w:rPr>
                    <w:t>0.0762</w:t>
                  </w:r>
                </w:p>
              </w:tc>
            </w:tr>
            <w:tr w14:paraId="7A28EEB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59FB346A">
                  <w:pPr>
                    <w:jc w:val="center"/>
                    <w:rPr>
                      <w:rFonts w:ascii="Times New Roman" w:hAnsi="Times New Roman" w:eastAsia="宋体" w:cs="Times New Roman"/>
                      <w:szCs w:val="21"/>
                    </w:rPr>
                  </w:pPr>
                  <w:r>
                    <w:rPr>
                      <w:rFonts w:ascii="Times New Roman" w:hAnsi="Times New Roman" w:eastAsia="宋体" w:cs="Times New Roman"/>
                      <w:szCs w:val="21"/>
                    </w:rPr>
                    <w:t>10000.0</w:t>
                  </w:r>
                </w:p>
              </w:tc>
              <w:tc>
                <w:tcPr>
                  <w:tcW w:w="1633" w:type="pct"/>
                  <w:vAlign w:val="center"/>
                </w:tcPr>
                <w:p w14:paraId="1516A7EB">
                  <w:pPr>
                    <w:jc w:val="center"/>
                    <w:rPr>
                      <w:rFonts w:ascii="Times New Roman" w:hAnsi="Times New Roman" w:eastAsia="宋体" w:cs="Times New Roman"/>
                      <w:szCs w:val="21"/>
                    </w:rPr>
                  </w:pPr>
                  <w:r>
                    <w:rPr>
                      <w:rFonts w:ascii="Times New Roman" w:hAnsi="Times New Roman" w:eastAsia="宋体" w:cs="Times New Roman"/>
                      <w:szCs w:val="21"/>
                    </w:rPr>
                    <w:t>0.1890</w:t>
                  </w:r>
                </w:p>
              </w:tc>
              <w:tc>
                <w:tcPr>
                  <w:tcW w:w="1664" w:type="pct"/>
                  <w:vAlign w:val="center"/>
                </w:tcPr>
                <w:p w14:paraId="21349AF2">
                  <w:pPr>
                    <w:jc w:val="center"/>
                    <w:rPr>
                      <w:rFonts w:ascii="Times New Roman" w:hAnsi="Times New Roman" w:eastAsia="宋体" w:cs="Times New Roman"/>
                      <w:szCs w:val="21"/>
                    </w:rPr>
                  </w:pPr>
                  <w:r>
                    <w:rPr>
                      <w:rFonts w:ascii="Times New Roman" w:hAnsi="Times New Roman" w:eastAsia="宋体" w:cs="Times New Roman"/>
                      <w:szCs w:val="21"/>
                    </w:rPr>
                    <w:t>0.0210</w:t>
                  </w:r>
                </w:p>
              </w:tc>
            </w:tr>
            <w:tr w14:paraId="55043A6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0F5A89D2">
                  <w:pPr>
                    <w:jc w:val="center"/>
                    <w:rPr>
                      <w:rFonts w:ascii="Times New Roman" w:hAnsi="Times New Roman" w:eastAsia="宋体" w:cs="Times New Roman"/>
                      <w:szCs w:val="21"/>
                    </w:rPr>
                  </w:pPr>
                  <w:r>
                    <w:rPr>
                      <w:rFonts w:ascii="Times New Roman" w:hAnsi="Times New Roman" w:eastAsia="宋体" w:cs="Times New Roman"/>
                      <w:szCs w:val="21"/>
                    </w:rPr>
                    <w:t>20000.0</w:t>
                  </w:r>
                </w:p>
              </w:tc>
              <w:tc>
                <w:tcPr>
                  <w:tcW w:w="1633" w:type="pct"/>
                  <w:vAlign w:val="center"/>
                </w:tcPr>
                <w:p w14:paraId="1F65FEB4">
                  <w:pPr>
                    <w:jc w:val="center"/>
                    <w:rPr>
                      <w:rFonts w:ascii="Times New Roman" w:hAnsi="Times New Roman" w:eastAsia="宋体" w:cs="Times New Roman"/>
                      <w:szCs w:val="21"/>
                    </w:rPr>
                  </w:pPr>
                  <w:r>
                    <w:rPr>
                      <w:rFonts w:ascii="Times New Roman" w:hAnsi="Times New Roman" w:eastAsia="宋体" w:cs="Times New Roman"/>
                      <w:szCs w:val="21"/>
                    </w:rPr>
                    <w:t>0.0409</w:t>
                  </w:r>
                </w:p>
              </w:tc>
              <w:tc>
                <w:tcPr>
                  <w:tcW w:w="1664" w:type="pct"/>
                  <w:vAlign w:val="center"/>
                </w:tcPr>
                <w:p w14:paraId="26E908D2">
                  <w:pPr>
                    <w:jc w:val="center"/>
                    <w:rPr>
                      <w:rFonts w:ascii="Times New Roman" w:hAnsi="Times New Roman" w:eastAsia="宋体" w:cs="Times New Roman"/>
                      <w:szCs w:val="21"/>
                    </w:rPr>
                  </w:pPr>
                  <w:r>
                    <w:rPr>
                      <w:rFonts w:ascii="Times New Roman" w:hAnsi="Times New Roman" w:eastAsia="宋体" w:cs="Times New Roman"/>
                      <w:szCs w:val="21"/>
                    </w:rPr>
                    <w:t>0.0045</w:t>
                  </w:r>
                </w:p>
              </w:tc>
            </w:tr>
            <w:tr w14:paraId="434E681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1E425525">
                  <w:pPr>
                    <w:jc w:val="center"/>
                    <w:rPr>
                      <w:rFonts w:ascii="Times New Roman" w:hAnsi="Times New Roman" w:eastAsia="宋体" w:cs="Times New Roman"/>
                      <w:szCs w:val="21"/>
                    </w:rPr>
                  </w:pPr>
                  <w:r>
                    <w:rPr>
                      <w:rFonts w:ascii="Times New Roman" w:hAnsi="Times New Roman" w:eastAsia="宋体" w:cs="Times New Roman"/>
                      <w:szCs w:val="21"/>
                    </w:rPr>
                    <w:t>25000.0</w:t>
                  </w:r>
                </w:p>
              </w:tc>
              <w:tc>
                <w:tcPr>
                  <w:tcW w:w="1633" w:type="pct"/>
                  <w:vAlign w:val="center"/>
                </w:tcPr>
                <w:p w14:paraId="71C93558">
                  <w:pPr>
                    <w:jc w:val="center"/>
                    <w:rPr>
                      <w:rFonts w:ascii="Times New Roman" w:hAnsi="Times New Roman" w:eastAsia="宋体" w:cs="Times New Roman"/>
                      <w:szCs w:val="21"/>
                    </w:rPr>
                  </w:pPr>
                  <w:r>
                    <w:rPr>
                      <w:rFonts w:ascii="Times New Roman" w:hAnsi="Times New Roman" w:eastAsia="宋体" w:cs="Times New Roman"/>
                      <w:szCs w:val="21"/>
                    </w:rPr>
                    <w:t>0.0682</w:t>
                  </w:r>
                </w:p>
              </w:tc>
              <w:tc>
                <w:tcPr>
                  <w:tcW w:w="1664" w:type="pct"/>
                  <w:vAlign w:val="center"/>
                </w:tcPr>
                <w:p w14:paraId="4F10670E">
                  <w:pPr>
                    <w:jc w:val="center"/>
                    <w:rPr>
                      <w:rFonts w:ascii="Times New Roman" w:hAnsi="Times New Roman" w:eastAsia="宋体" w:cs="Times New Roman"/>
                      <w:szCs w:val="21"/>
                    </w:rPr>
                  </w:pPr>
                  <w:r>
                    <w:rPr>
                      <w:rFonts w:ascii="Times New Roman" w:hAnsi="Times New Roman" w:eastAsia="宋体" w:cs="Times New Roman"/>
                      <w:szCs w:val="21"/>
                    </w:rPr>
                    <w:t>0.0076</w:t>
                  </w:r>
                </w:p>
              </w:tc>
            </w:tr>
            <w:tr w14:paraId="0CABC25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1FD0D2F">
                  <w:pPr>
                    <w:jc w:val="center"/>
                    <w:rPr>
                      <w:rFonts w:ascii="Times New Roman" w:hAnsi="Times New Roman" w:eastAsia="宋体" w:cs="Times New Roman"/>
                      <w:szCs w:val="21"/>
                    </w:rPr>
                  </w:pPr>
                  <w:r>
                    <w:rPr>
                      <w:rFonts w:ascii="Times New Roman" w:hAnsi="Times New Roman" w:eastAsia="宋体" w:cs="Times New Roman"/>
                      <w:szCs w:val="21"/>
                    </w:rPr>
                    <w:t>下风向最大浓度</w:t>
                  </w:r>
                </w:p>
              </w:tc>
              <w:tc>
                <w:tcPr>
                  <w:tcW w:w="1633" w:type="pct"/>
                  <w:vAlign w:val="center"/>
                </w:tcPr>
                <w:p w14:paraId="53EF8616">
                  <w:pPr>
                    <w:jc w:val="center"/>
                    <w:rPr>
                      <w:rFonts w:ascii="Times New Roman" w:hAnsi="Times New Roman" w:eastAsia="宋体" w:cs="Times New Roman"/>
                      <w:szCs w:val="21"/>
                    </w:rPr>
                  </w:pPr>
                  <w:r>
                    <w:rPr>
                      <w:rFonts w:ascii="Times New Roman" w:hAnsi="Times New Roman" w:eastAsia="宋体" w:cs="Times New Roman"/>
                      <w:szCs w:val="21"/>
                    </w:rPr>
                    <w:t>53.4310</w:t>
                  </w:r>
                </w:p>
              </w:tc>
              <w:tc>
                <w:tcPr>
                  <w:tcW w:w="1664" w:type="pct"/>
                  <w:vAlign w:val="center"/>
                </w:tcPr>
                <w:p w14:paraId="26F7D4CF">
                  <w:pPr>
                    <w:jc w:val="center"/>
                    <w:rPr>
                      <w:rFonts w:ascii="Times New Roman" w:hAnsi="Times New Roman" w:eastAsia="宋体" w:cs="Times New Roman"/>
                      <w:szCs w:val="21"/>
                    </w:rPr>
                  </w:pPr>
                  <w:r>
                    <w:rPr>
                      <w:rFonts w:ascii="Times New Roman" w:hAnsi="Times New Roman" w:eastAsia="宋体" w:cs="Times New Roman"/>
                      <w:szCs w:val="21"/>
                    </w:rPr>
                    <w:t>5.9368</w:t>
                  </w:r>
                </w:p>
              </w:tc>
            </w:tr>
            <w:tr w14:paraId="2D52E2F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344C80B1">
                  <w:pPr>
                    <w:jc w:val="center"/>
                    <w:rPr>
                      <w:rFonts w:ascii="Times New Roman" w:hAnsi="Times New Roman" w:eastAsia="宋体" w:cs="Times New Roman"/>
                      <w:szCs w:val="21"/>
                    </w:rPr>
                  </w:pPr>
                  <w:r>
                    <w:rPr>
                      <w:rFonts w:ascii="Times New Roman" w:hAnsi="Times New Roman" w:eastAsia="宋体" w:cs="Times New Roman"/>
                      <w:szCs w:val="21"/>
                    </w:rPr>
                    <w:t>下风向最大浓度出现距离</w:t>
                  </w:r>
                </w:p>
              </w:tc>
              <w:tc>
                <w:tcPr>
                  <w:tcW w:w="1633" w:type="pct"/>
                  <w:vAlign w:val="center"/>
                </w:tcPr>
                <w:p w14:paraId="75F1D965">
                  <w:pPr>
                    <w:jc w:val="center"/>
                    <w:rPr>
                      <w:rFonts w:ascii="Times New Roman" w:hAnsi="Times New Roman" w:eastAsia="宋体" w:cs="Times New Roman"/>
                      <w:szCs w:val="21"/>
                    </w:rPr>
                  </w:pPr>
                  <w:r>
                    <w:rPr>
                      <w:rFonts w:ascii="Times New Roman" w:hAnsi="Times New Roman" w:eastAsia="宋体" w:cs="Times New Roman"/>
                      <w:szCs w:val="21"/>
                    </w:rPr>
                    <w:t>10.0</w:t>
                  </w:r>
                </w:p>
              </w:tc>
              <w:tc>
                <w:tcPr>
                  <w:tcW w:w="1664" w:type="pct"/>
                  <w:vAlign w:val="center"/>
                </w:tcPr>
                <w:p w14:paraId="5A2DE263">
                  <w:pPr>
                    <w:jc w:val="center"/>
                    <w:rPr>
                      <w:rFonts w:ascii="Times New Roman" w:hAnsi="Times New Roman" w:eastAsia="宋体" w:cs="Times New Roman"/>
                      <w:szCs w:val="21"/>
                    </w:rPr>
                  </w:pPr>
                  <w:r>
                    <w:rPr>
                      <w:rFonts w:ascii="Times New Roman" w:hAnsi="Times New Roman" w:eastAsia="宋体" w:cs="Times New Roman"/>
                      <w:szCs w:val="21"/>
                    </w:rPr>
                    <w:t>10.0</w:t>
                  </w:r>
                </w:p>
              </w:tc>
            </w:tr>
            <w:tr w14:paraId="13F79DD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703" w:type="pct"/>
                  <w:vAlign w:val="center"/>
                </w:tcPr>
                <w:p w14:paraId="5FDA8A0D">
                  <w:pPr>
                    <w:jc w:val="center"/>
                    <w:rPr>
                      <w:rFonts w:ascii="Times New Roman" w:hAnsi="Times New Roman" w:eastAsia="宋体" w:cs="Times New Roman"/>
                      <w:szCs w:val="21"/>
                    </w:rPr>
                  </w:pPr>
                  <w:r>
                    <w:rPr>
                      <w:rFonts w:ascii="Times New Roman" w:hAnsi="Times New Roman" w:eastAsia="宋体" w:cs="Times New Roman"/>
                      <w:szCs w:val="21"/>
                    </w:rPr>
                    <w:t>D10%最远距离</w:t>
                  </w:r>
                </w:p>
              </w:tc>
              <w:tc>
                <w:tcPr>
                  <w:tcW w:w="1633" w:type="pct"/>
                  <w:vAlign w:val="center"/>
                </w:tcPr>
                <w:p w14:paraId="5DEF10E1">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664" w:type="pct"/>
                  <w:vAlign w:val="center"/>
                </w:tcPr>
                <w:p w14:paraId="376760C1">
                  <w:pPr>
                    <w:jc w:val="center"/>
                    <w:rPr>
                      <w:rFonts w:ascii="Times New Roman" w:hAnsi="Times New Roman" w:eastAsia="宋体" w:cs="Times New Roman"/>
                      <w:szCs w:val="21"/>
                    </w:rPr>
                  </w:pPr>
                  <w:r>
                    <w:rPr>
                      <w:rFonts w:ascii="Times New Roman" w:hAnsi="Times New Roman" w:eastAsia="宋体" w:cs="Times New Roman"/>
                      <w:szCs w:val="21"/>
                    </w:rPr>
                    <w:t>/</w:t>
                  </w:r>
                </w:p>
              </w:tc>
            </w:tr>
          </w:tbl>
          <w:p w14:paraId="1D6FE148">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rPr>
              <w:t>结果显示，</w:t>
            </w:r>
            <w:r>
              <w:rPr>
                <w:rFonts w:hint="eastAsia" w:ascii="Times New Roman" w:hAnsi="Times New Roman" w:eastAsia="宋体" w:cs="Times New Roman"/>
                <w:sz w:val="24"/>
              </w:rPr>
              <w:t>在边长5km评价范围内，</w:t>
            </w:r>
            <w:r>
              <w:rPr>
                <w:rFonts w:ascii="Times New Roman" w:hAnsi="Times New Roman" w:eastAsia="宋体" w:cs="Times New Roman"/>
                <w:sz w:val="24"/>
              </w:rPr>
              <w:t>项目颗粒物废气</w:t>
            </w:r>
            <w:r>
              <w:rPr>
                <w:rFonts w:ascii="Times New Roman" w:hAnsi="Times New Roman" w:eastAsia="宋体" w:cs="Times New Roman"/>
                <w:sz w:val="24"/>
                <w:szCs w:val="24"/>
              </w:rPr>
              <w:t>预测值远小于标准值，满足《环境空气质量标准》（GB 3095-2012）二级标准，对区域敏感点影响轻微。</w:t>
            </w:r>
          </w:p>
          <w:p w14:paraId="68225142">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（8）污染物排放核算</w:t>
            </w:r>
          </w:p>
          <w:p w14:paraId="07944379">
            <w:pPr>
              <w:spacing w:line="480" w:lineRule="exact"/>
              <w:ind w:firstLine="480" w:firstLineChars="200"/>
              <w:jc w:val="center"/>
              <w:rPr>
                <w:rFonts w:ascii="Times New Roman" w:hAnsi="Times New Roman" w:eastAsia="宋体" w:cs="Times New Roman"/>
                <w:bCs/>
                <w:sz w:val="24"/>
              </w:rPr>
            </w:pPr>
            <w:r>
              <w:rPr>
                <w:rFonts w:ascii="Times New Roman" w:hAnsi="Times New Roman" w:eastAsia="宋体" w:cs="Times New Roman"/>
                <w:bCs/>
                <w:sz w:val="24"/>
              </w:rPr>
              <w:t>表7-13 大气污染物无组织排放量核算表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795"/>
              <w:gridCol w:w="798"/>
              <w:gridCol w:w="816"/>
              <w:gridCol w:w="1363"/>
              <w:gridCol w:w="1943"/>
              <w:gridCol w:w="1294"/>
              <w:gridCol w:w="847"/>
            </w:tblGrid>
            <w:tr w14:paraId="3E0734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57" w:type="pct"/>
                  <w:vMerge w:val="restart"/>
                  <w:shd w:val="clear" w:color="auto" w:fill="auto"/>
                  <w:vAlign w:val="center"/>
                </w:tcPr>
                <w:p w14:paraId="5DED1B0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481" w:type="pct"/>
                  <w:vMerge w:val="restart"/>
                  <w:shd w:val="clear" w:color="auto" w:fill="auto"/>
                  <w:vAlign w:val="center"/>
                </w:tcPr>
                <w:p w14:paraId="6C338DF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排放口编号</w:t>
                  </w:r>
                </w:p>
              </w:tc>
              <w:tc>
                <w:tcPr>
                  <w:tcW w:w="483" w:type="pct"/>
                  <w:vMerge w:val="restart"/>
                  <w:shd w:val="clear" w:color="auto" w:fill="auto"/>
                  <w:vAlign w:val="center"/>
                </w:tcPr>
                <w:p w14:paraId="10DB6C6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产污环节</w:t>
                  </w:r>
                </w:p>
              </w:tc>
              <w:tc>
                <w:tcPr>
                  <w:tcW w:w="494" w:type="pct"/>
                  <w:vMerge w:val="restart"/>
                  <w:shd w:val="clear" w:color="auto" w:fill="auto"/>
                  <w:vAlign w:val="center"/>
                </w:tcPr>
                <w:p w14:paraId="4CDA22C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824" w:type="pct"/>
                  <w:vMerge w:val="restart"/>
                  <w:shd w:val="clear" w:color="auto" w:fill="auto"/>
                  <w:vAlign w:val="center"/>
                </w:tcPr>
                <w:p w14:paraId="6775F09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主要污染防治措施</w:t>
                  </w:r>
                </w:p>
              </w:tc>
              <w:tc>
                <w:tcPr>
                  <w:tcW w:w="1952" w:type="pct"/>
                  <w:gridSpan w:val="2"/>
                  <w:shd w:val="clear" w:color="auto" w:fill="auto"/>
                  <w:vAlign w:val="center"/>
                </w:tcPr>
                <w:p w14:paraId="329B635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国家或地方污染物排放标准</w:t>
                  </w:r>
                </w:p>
              </w:tc>
              <w:tc>
                <w:tcPr>
                  <w:tcW w:w="510" w:type="pct"/>
                  <w:vMerge w:val="restart"/>
                  <w:shd w:val="clear" w:color="auto" w:fill="auto"/>
                  <w:vAlign w:val="center"/>
                </w:tcPr>
                <w:p w14:paraId="0E3FBB7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年排放量（t/a）</w:t>
                  </w:r>
                </w:p>
              </w:tc>
            </w:tr>
            <w:tr w14:paraId="66CA2F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57" w:type="pct"/>
                  <w:vMerge w:val="continue"/>
                  <w:shd w:val="clear" w:color="auto" w:fill="auto"/>
                  <w:vAlign w:val="center"/>
                </w:tcPr>
                <w:p w14:paraId="357E600B">
                  <w:pPr>
                    <w:adjustRightInd w:val="0"/>
                    <w:snapToGrid w:val="0"/>
                    <w:jc w:val="center"/>
                    <w:rPr>
                      <w:rFonts w:ascii="Times New Roman" w:hAnsi="Times New Roman" w:eastAsia="宋体" w:cs="Times New Roman"/>
                      <w:szCs w:val="21"/>
                    </w:rPr>
                  </w:pPr>
                </w:p>
              </w:tc>
              <w:tc>
                <w:tcPr>
                  <w:tcW w:w="481" w:type="pct"/>
                  <w:vMerge w:val="continue"/>
                  <w:shd w:val="clear" w:color="auto" w:fill="auto"/>
                  <w:vAlign w:val="center"/>
                </w:tcPr>
                <w:p w14:paraId="4C3760BC">
                  <w:pPr>
                    <w:adjustRightInd w:val="0"/>
                    <w:snapToGrid w:val="0"/>
                    <w:jc w:val="center"/>
                    <w:rPr>
                      <w:rFonts w:ascii="Times New Roman" w:hAnsi="Times New Roman" w:eastAsia="宋体" w:cs="Times New Roman"/>
                      <w:szCs w:val="21"/>
                    </w:rPr>
                  </w:pPr>
                </w:p>
              </w:tc>
              <w:tc>
                <w:tcPr>
                  <w:tcW w:w="483" w:type="pct"/>
                  <w:vMerge w:val="continue"/>
                  <w:shd w:val="clear" w:color="auto" w:fill="auto"/>
                  <w:vAlign w:val="center"/>
                </w:tcPr>
                <w:p w14:paraId="0386E4DE">
                  <w:pPr>
                    <w:adjustRightInd w:val="0"/>
                    <w:snapToGrid w:val="0"/>
                    <w:jc w:val="center"/>
                    <w:rPr>
                      <w:rFonts w:ascii="Times New Roman" w:hAnsi="Times New Roman" w:eastAsia="宋体" w:cs="Times New Roman"/>
                      <w:szCs w:val="21"/>
                    </w:rPr>
                  </w:pPr>
                </w:p>
              </w:tc>
              <w:tc>
                <w:tcPr>
                  <w:tcW w:w="494" w:type="pct"/>
                  <w:vMerge w:val="continue"/>
                  <w:shd w:val="clear" w:color="auto" w:fill="auto"/>
                  <w:vAlign w:val="center"/>
                </w:tcPr>
                <w:p w14:paraId="6906C095">
                  <w:pPr>
                    <w:adjustRightInd w:val="0"/>
                    <w:snapToGrid w:val="0"/>
                    <w:jc w:val="center"/>
                    <w:rPr>
                      <w:rFonts w:ascii="Times New Roman" w:hAnsi="Times New Roman" w:eastAsia="宋体" w:cs="Times New Roman"/>
                      <w:szCs w:val="21"/>
                    </w:rPr>
                  </w:pPr>
                </w:p>
              </w:tc>
              <w:tc>
                <w:tcPr>
                  <w:tcW w:w="824" w:type="pct"/>
                  <w:vMerge w:val="continue"/>
                  <w:shd w:val="clear" w:color="auto" w:fill="auto"/>
                  <w:vAlign w:val="center"/>
                </w:tcPr>
                <w:p w14:paraId="43170D37">
                  <w:pPr>
                    <w:adjustRightInd w:val="0"/>
                    <w:snapToGrid w:val="0"/>
                    <w:jc w:val="center"/>
                    <w:rPr>
                      <w:rFonts w:ascii="Times New Roman" w:hAnsi="Times New Roman" w:eastAsia="宋体" w:cs="Times New Roman"/>
                      <w:szCs w:val="21"/>
                    </w:rPr>
                  </w:pPr>
                </w:p>
              </w:tc>
              <w:tc>
                <w:tcPr>
                  <w:tcW w:w="1170" w:type="pct"/>
                  <w:shd w:val="clear" w:color="auto" w:fill="auto"/>
                  <w:vAlign w:val="center"/>
                </w:tcPr>
                <w:p w14:paraId="6662BED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标准名称</w:t>
                  </w:r>
                </w:p>
              </w:tc>
              <w:tc>
                <w:tcPr>
                  <w:tcW w:w="782" w:type="pct"/>
                  <w:shd w:val="clear" w:color="auto" w:fill="auto"/>
                  <w:vAlign w:val="center"/>
                </w:tcPr>
                <w:p w14:paraId="753FF8F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浓度限值/（μg/m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510" w:type="pct"/>
                  <w:vMerge w:val="continue"/>
                  <w:shd w:val="clear" w:color="auto" w:fill="auto"/>
                  <w:vAlign w:val="center"/>
                </w:tcPr>
                <w:p w14:paraId="32404600">
                  <w:pPr>
                    <w:adjustRightInd w:val="0"/>
                    <w:snapToGrid w:val="0"/>
                    <w:jc w:val="center"/>
                    <w:rPr>
                      <w:rFonts w:ascii="Times New Roman" w:hAnsi="Times New Roman" w:eastAsia="宋体" w:cs="Times New Roman"/>
                      <w:szCs w:val="21"/>
                    </w:rPr>
                  </w:pPr>
                </w:p>
              </w:tc>
            </w:tr>
            <w:tr w14:paraId="15138C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57" w:type="pct"/>
                  <w:shd w:val="clear" w:color="auto" w:fill="auto"/>
                  <w:vAlign w:val="center"/>
                </w:tcPr>
                <w:p w14:paraId="757E3F7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481" w:type="pct"/>
                  <w:shd w:val="clear" w:color="auto" w:fill="auto"/>
                  <w:vAlign w:val="center"/>
                </w:tcPr>
                <w:p w14:paraId="07552FC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483" w:type="pct"/>
                  <w:shd w:val="clear" w:color="auto" w:fill="auto"/>
                  <w:vAlign w:val="center"/>
                </w:tcPr>
                <w:p w14:paraId="6A1637F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工艺粉尘</w:t>
                  </w:r>
                </w:p>
              </w:tc>
              <w:tc>
                <w:tcPr>
                  <w:tcW w:w="494" w:type="pct"/>
                  <w:shd w:val="clear" w:color="auto" w:fill="auto"/>
                  <w:vAlign w:val="center"/>
                </w:tcPr>
                <w:p w14:paraId="716DB65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824" w:type="pct"/>
                  <w:shd w:val="clear" w:color="auto" w:fill="auto"/>
                  <w:vAlign w:val="center"/>
                </w:tcPr>
                <w:p w14:paraId="18F885D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车间密闭、湿法作业、喷雾降尘</w:t>
                  </w:r>
                </w:p>
              </w:tc>
              <w:tc>
                <w:tcPr>
                  <w:tcW w:w="1170" w:type="pct"/>
                  <w:vMerge w:val="restart"/>
                  <w:shd w:val="clear" w:color="auto" w:fill="auto"/>
                  <w:vAlign w:val="center"/>
                </w:tcPr>
                <w:p w14:paraId="1132598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《大气污染物综合排放标准》（GB16297-1996）</w:t>
                  </w:r>
                </w:p>
              </w:tc>
              <w:tc>
                <w:tcPr>
                  <w:tcW w:w="782" w:type="pct"/>
                  <w:vMerge w:val="restart"/>
                  <w:shd w:val="clear" w:color="auto" w:fill="auto"/>
                  <w:vAlign w:val="center"/>
                </w:tcPr>
                <w:p w14:paraId="53A239A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1.0</w:t>
                  </w:r>
                </w:p>
              </w:tc>
              <w:tc>
                <w:tcPr>
                  <w:tcW w:w="510" w:type="pct"/>
                  <w:shd w:val="clear" w:color="auto" w:fill="auto"/>
                  <w:vAlign w:val="center"/>
                </w:tcPr>
                <w:p w14:paraId="118ACE2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0.2</w:t>
                  </w:r>
                </w:p>
              </w:tc>
            </w:tr>
            <w:tr w14:paraId="041A22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57" w:type="pct"/>
                  <w:shd w:val="clear" w:color="auto" w:fill="auto"/>
                  <w:vAlign w:val="center"/>
                </w:tcPr>
                <w:p w14:paraId="29F39F4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p>
              </w:tc>
              <w:tc>
                <w:tcPr>
                  <w:tcW w:w="481" w:type="pct"/>
                  <w:shd w:val="clear" w:color="auto" w:fill="auto"/>
                  <w:vAlign w:val="center"/>
                </w:tcPr>
                <w:p w14:paraId="0232906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483" w:type="pct"/>
                  <w:shd w:val="clear" w:color="auto" w:fill="auto"/>
                  <w:vAlign w:val="center"/>
                </w:tcPr>
                <w:p w14:paraId="68DBAEC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装卸粉尘</w:t>
                  </w:r>
                </w:p>
              </w:tc>
              <w:tc>
                <w:tcPr>
                  <w:tcW w:w="494" w:type="pct"/>
                  <w:shd w:val="clear" w:color="auto" w:fill="auto"/>
                  <w:vAlign w:val="center"/>
                </w:tcPr>
                <w:p w14:paraId="4ECD6BA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颗粒物</w:t>
                  </w:r>
                </w:p>
              </w:tc>
              <w:tc>
                <w:tcPr>
                  <w:tcW w:w="824" w:type="pct"/>
                  <w:shd w:val="clear" w:color="auto" w:fill="auto"/>
                  <w:vAlign w:val="center"/>
                </w:tcPr>
                <w:p w14:paraId="39A6CDB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围挡、喷雾降尘</w:t>
                  </w:r>
                </w:p>
              </w:tc>
              <w:tc>
                <w:tcPr>
                  <w:tcW w:w="1170" w:type="pct"/>
                  <w:vMerge w:val="continue"/>
                  <w:shd w:val="clear" w:color="auto" w:fill="auto"/>
                  <w:vAlign w:val="center"/>
                </w:tcPr>
                <w:p w14:paraId="4F2EB13B">
                  <w:pPr>
                    <w:adjustRightInd w:val="0"/>
                    <w:snapToGrid w:val="0"/>
                    <w:jc w:val="center"/>
                    <w:rPr>
                      <w:rFonts w:ascii="Times New Roman" w:hAnsi="Times New Roman" w:eastAsia="宋体" w:cs="Times New Roman"/>
                      <w:szCs w:val="21"/>
                    </w:rPr>
                  </w:pPr>
                </w:p>
              </w:tc>
              <w:tc>
                <w:tcPr>
                  <w:tcW w:w="782" w:type="pct"/>
                  <w:vMerge w:val="continue"/>
                  <w:shd w:val="clear" w:color="auto" w:fill="auto"/>
                  <w:vAlign w:val="center"/>
                </w:tcPr>
                <w:p w14:paraId="4D5216C6">
                  <w:pPr>
                    <w:adjustRightInd w:val="0"/>
                    <w:snapToGrid w:val="0"/>
                    <w:jc w:val="center"/>
                    <w:rPr>
                      <w:rFonts w:ascii="Times New Roman" w:hAnsi="Times New Roman" w:eastAsia="宋体" w:cs="Times New Roman"/>
                      <w:szCs w:val="21"/>
                    </w:rPr>
                  </w:pPr>
                </w:p>
              </w:tc>
              <w:tc>
                <w:tcPr>
                  <w:tcW w:w="510" w:type="pct"/>
                  <w:shd w:val="clear" w:color="auto" w:fill="auto"/>
                  <w:vAlign w:val="center"/>
                </w:tcPr>
                <w:p w14:paraId="61408AC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0</w:t>
                  </w:r>
                  <w:r>
                    <w:rPr>
                      <w:rFonts w:ascii="Times New Roman" w:hAnsi="Times New Roman" w:eastAsia="宋体" w:cs="Times New Roman"/>
                      <w:szCs w:val="21"/>
                    </w:rPr>
                    <w:t>.06</w:t>
                  </w:r>
                </w:p>
              </w:tc>
            </w:tr>
            <w:tr w14:paraId="30C629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8"/>
                  <w:shd w:val="clear" w:color="auto" w:fill="auto"/>
                  <w:vAlign w:val="center"/>
                </w:tcPr>
                <w:p w14:paraId="799A554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无组织排放总计</w:t>
                  </w:r>
                </w:p>
              </w:tc>
            </w:tr>
            <w:tr w14:paraId="42BEE6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715" w:type="pct"/>
                  <w:gridSpan w:val="4"/>
                  <w:shd w:val="clear" w:color="auto" w:fill="auto"/>
                  <w:vAlign w:val="center"/>
                </w:tcPr>
                <w:p w14:paraId="3D333A5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无组织排放总计</w:t>
                  </w:r>
                </w:p>
              </w:tc>
              <w:tc>
                <w:tcPr>
                  <w:tcW w:w="1994" w:type="pct"/>
                  <w:gridSpan w:val="2"/>
                  <w:shd w:val="clear" w:color="auto" w:fill="auto"/>
                  <w:vAlign w:val="center"/>
                </w:tcPr>
                <w:p w14:paraId="7152EF5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1291" w:type="pct"/>
                  <w:gridSpan w:val="2"/>
                  <w:shd w:val="clear" w:color="auto" w:fill="auto"/>
                  <w:vAlign w:val="center"/>
                </w:tcPr>
                <w:p w14:paraId="15B458C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0.26</w:t>
                  </w:r>
                </w:p>
              </w:tc>
            </w:tr>
          </w:tbl>
          <w:p w14:paraId="30A9CAED">
            <w:pPr>
              <w:spacing w:line="480" w:lineRule="exact"/>
              <w:ind w:firstLine="480" w:firstLineChars="200"/>
              <w:jc w:val="center"/>
              <w:rPr>
                <w:rFonts w:ascii="Times New Roman" w:hAnsi="Times New Roman" w:eastAsia="宋体" w:cs="Times New Roman"/>
                <w:bCs/>
                <w:sz w:val="24"/>
              </w:rPr>
            </w:pPr>
            <w:r>
              <w:rPr>
                <w:rFonts w:ascii="Times New Roman" w:hAnsi="Times New Roman" w:eastAsia="宋体" w:cs="Times New Roman"/>
                <w:bCs/>
                <w:sz w:val="24"/>
              </w:rPr>
              <w:t>表7-14 大气污染物年排放量核算表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753"/>
              <w:gridCol w:w="2762"/>
              <w:gridCol w:w="2767"/>
            </w:tblGrid>
            <w:tr w14:paraId="0D093B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760" w:type="dxa"/>
                  <w:shd w:val="clear" w:color="auto" w:fill="auto"/>
                </w:tcPr>
                <w:p w14:paraId="7CDAA84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2769" w:type="dxa"/>
                  <w:shd w:val="clear" w:color="auto" w:fill="auto"/>
                </w:tcPr>
                <w:p w14:paraId="6B75D4B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2773" w:type="dxa"/>
                  <w:shd w:val="clear" w:color="auto" w:fill="auto"/>
                </w:tcPr>
                <w:p w14:paraId="226EBB0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年排放量/（t/a）</w:t>
                  </w:r>
                </w:p>
              </w:tc>
            </w:tr>
            <w:tr w14:paraId="7130E5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760" w:type="dxa"/>
                  <w:shd w:val="clear" w:color="auto" w:fill="auto"/>
                </w:tcPr>
                <w:p w14:paraId="362A6CB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2769" w:type="dxa"/>
                  <w:shd w:val="clear" w:color="auto" w:fill="auto"/>
                  <w:vAlign w:val="center"/>
                </w:tcPr>
                <w:p w14:paraId="14985A0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2773" w:type="dxa"/>
                  <w:shd w:val="clear" w:color="auto" w:fill="auto"/>
                </w:tcPr>
                <w:p w14:paraId="33C394D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0.26</w:t>
                  </w:r>
                </w:p>
              </w:tc>
            </w:tr>
          </w:tbl>
          <w:p w14:paraId="7BE41576">
            <w:pPr>
              <w:spacing w:line="480" w:lineRule="exact"/>
              <w:ind w:firstLine="480" w:firstLineChars="200"/>
              <w:jc w:val="center"/>
              <w:rPr>
                <w:rFonts w:ascii="Times New Roman" w:hAnsi="Times New Roman" w:eastAsia="宋体" w:cs="Times New Roman"/>
                <w:bCs/>
                <w:sz w:val="24"/>
              </w:rPr>
            </w:pPr>
            <w:r>
              <w:rPr>
                <w:rFonts w:ascii="Times New Roman" w:hAnsi="Times New Roman" w:eastAsia="宋体" w:cs="Times New Roman"/>
                <w:bCs/>
                <w:sz w:val="24"/>
              </w:rPr>
              <w:t>表7-15 污染源非正常排放量核算表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69"/>
              <w:gridCol w:w="881"/>
              <w:gridCol w:w="866"/>
              <w:gridCol w:w="888"/>
              <w:gridCol w:w="1146"/>
              <w:gridCol w:w="1010"/>
              <w:gridCol w:w="889"/>
              <w:gridCol w:w="866"/>
              <w:gridCol w:w="867"/>
            </w:tblGrid>
            <w:tr w14:paraId="1213BF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auto"/>
                  <w:vAlign w:val="center"/>
                </w:tcPr>
                <w:p w14:paraId="781840C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884" w:type="dxa"/>
                  <w:shd w:val="clear" w:color="auto" w:fill="auto"/>
                  <w:vAlign w:val="center"/>
                </w:tcPr>
                <w:p w14:paraId="557A2EA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污染源</w:t>
                  </w:r>
                </w:p>
              </w:tc>
              <w:tc>
                <w:tcPr>
                  <w:tcW w:w="869" w:type="dxa"/>
                  <w:shd w:val="clear" w:color="auto" w:fill="auto"/>
                  <w:vAlign w:val="center"/>
                </w:tcPr>
                <w:p w14:paraId="4B5D334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非正常排放原因</w:t>
                  </w:r>
                </w:p>
              </w:tc>
              <w:tc>
                <w:tcPr>
                  <w:tcW w:w="891" w:type="dxa"/>
                  <w:shd w:val="clear" w:color="auto" w:fill="auto"/>
                  <w:vAlign w:val="center"/>
                </w:tcPr>
                <w:p w14:paraId="51843C5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1146" w:type="dxa"/>
                  <w:shd w:val="clear" w:color="auto" w:fill="auto"/>
                  <w:vAlign w:val="center"/>
                </w:tcPr>
                <w:p w14:paraId="590C063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非正常排放浓度/（μg/m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1010" w:type="dxa"/>
                  <w:shd w:val="clear" w:color="auto" w:fill="auto"/>
                  <w:vAlign w:val="center"/>
                </w:tcPr>
                <w:p w14:paraId="3D57245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非正常排放速率/（kg/h）</w:t>
                  </w:r>
                </w:p>
              </w:tc>
              <w:tc>
                <w:tcPr>
                  <w:tcW w:w="891" w:type="dxa"/>
                  <w:shd w:val="clear" w:color="auto" w:fill="auto"/>
                  <w:vAlign w:val="center"/>
                </w:tcPr>
                <w:p w14:paraId="531974C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单次持续时间/h</w:t>
                  </w:r>
                </w:p>
              </w:tc>
              <w:tc>
                <w:tcPr>
                  <w:tcW w:w="869" w:type="dxa"/>
                  <w:shd w:val="clear" w:color="auto" w:fill="auto"/>
                  <w:vAlign w:val="center"/>
                </w:tcPr>
                <w:p w14:paraId="12A183A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年发生频次/次</w:t>
                  </w:r>
                </w:p>
              </w:tc>
              <w:tc>
                <w:tcPr>
                  <w:tcW w:w="870" w:type="dxa"/>
                  <w:shd w:val="clear" w:color="auto" w:fill="auto"/>
                  <w:vAlign w:val="center"/>
                </w:tcPr>
                <w:p w14:paraId="59439E1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应对措施</w:t>
                  </w:r>
                </w:p>
              </w:tc>
            </w:tr>
            <w:tr w14:paraId="555F3A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auto"/>
                  <w:vAlign w:val="center"/>
                </w:tcPr>
                <w:p w14:paraId="1A9AFD3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884" w:type="dxa"/>
                  <w:shd w:val="clear" w:color="auto" w:fill="auto"/>
                  <w:vAlign w:val="center"/>
                </w:tcPr>
                <w:p w14:paraId="46F1F4B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生产车间</w:t>
                  </w:r>
                </w:p>
              </w:tc>
              <w:tc>
                <w:tcPr>
                  <w:tcW w:w="869" w:type="dxa"/>
                  <w:shd w:val="clear" w:color="auto" w:fill="auto"/>
                  <w:vAlign w:val="center"/>
                </w:tcPr>
                <w:p w14:paraId="4B45C50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环保设施故障</w:t>
                  </w:r>
                </w:p>
              </w:tc>
              <w:tc>
                <w:tcPr>
                  <w:tcW w:w="891" w:type="dxa"/>
                  <w:shd w:val="clear" w:color="auto" w:fill="auto"/>
                  <w:vAlign w:val="center"/>
                </w:tcPr>
                <w:p w14:paraId="4EA39DD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1146" w:type="dxa"/>
                  <w:shd w:val="clear" w:color="auto" w:fill="auto"/>
                  <w:vAlign w:val="center"/>
                </w:tcPr>
                <w:p w14:paraId="75EC13B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010" w:type="dxa"/>
                  <w:shd w:val="clear" w:color="auto" w:fill="auto"/>
                  <w:vAlign w:val="center"/>
                </w:tcPr>
                <w:p w14:paraId="7CBCDA3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4.095</w:t>
                  </w:r>
                </w:p>
              </w:tc>
              <w:tc>
                <w:tcPr>
                  <w:tcW w:w="891" w:type="dxa"/>
                  <w:shd w:val="clear" w:color="auto" w:fill="auto"/>
                  <w:vAlign w:val="center"/>
                </w:tcPr>
                <w:p w14:paraId="740CA40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0.17</w:t>
                  </w:r>
                </w:p>
              </w:tc>
              <w:tc>
                <w:tcPr>
                  <w:tcW w:w="869" w:type="dxa"/>
                  <w:shd w:val="clear" w:color="auto" w:fill="auto"/>
                  <w:vAlign w:val="center"/>
                </w:tcPr>
                <w:p w14:paraId="23FDB35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870" w:type="dxa"/>
                  <w:shd w:val="clear" w:color="auto" w:fill="auto"/>
                  <w:vAlign w:val="center"/>
                </w:tcPr>
                <w:p w14:paraId="56D5710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停止生产</w:t>
                  </w:r>
                </w:p>
              </w:tc>
            </w:tr>
            <w:tr w14:paraId="59EE4D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72" w:type="dxa"/>
                  <w:shd w:val="clear" w:color="auto" w:fill="auto"/>
                  <w:vAlign w:val="center"/>
                </w:tcPr>
                <w:p w14:paraId="4157B38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w:t>
                  </w:r>
                </w:p>
              </w:tc>
              <w:tc>
                <w:tcPr>
                  <w:tcW w:w="884" w:type="dxa"/>
                  <w:shd w:val="clear" w:color="auto" w:fill="auto"/>
                  <w:vAlign w:val="center"/>
                </w:tcPr>
                <w:p w14:paraId="5C8E575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装卸粉尘</w:t>
                  </w:r>
                </w:p>
              </w:tc>
              <w:tc>
                <w:tcPr>
                  <w:tcW w:w="869" w:type="dxa"/>
                  <w:shd w:val="clear" w:color="auto" w:fill="auto"/>
                  <w:vAlign w:val="center"/>
                </w:tcPr>
                <w:p w14:paraId="5BB9B1F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环保设施故障</w:t>
                  </w:r>
                </w:p>
              </w:tc>
              <w:tc>
                <w:tcPr>
                  <w:tcW w:w="891" w:type="dxa"/>
                  <w:shd w:val="clear" w:color="auto" w:fill="auto"/>
                  <w:vAlign w:val="center"/>
                </w:tcPr>
                <w:p w14:paraId="7DEE541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1146" w:type="dxa"/>
                  <w:shd w:val="clear" w:color="auto" w:fill="auto"/>
                  <w:vAlign w:val="center"/>
                </w:tcPr>
                <w:p w14:paraId="3B1D932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010" w:type="dxa"/>
                  <w:shd w:val="clear" w:color="auto" w:fill="auto"/>
                  <w:vAlign w:val="center"/>
                </w:tcPr>
                <w:p w14:paraId="78A34F6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1.03</w:t>
                  </w:r>
                </w:p>
              </w:tc>
              <w:tc>
                <w:tcPr>
                  <w:tcW w:w="891" w:type="dxa"/>
                  <w:shd w:val="clear" w:color="auto" w:fill="auto"/>
                  <w:vAlign w:val="center"/>
                </w:tcPr>
                <w:p w14:paraId="2C2A158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0.17</w:t>
                  </w:r>
                </w:p>
              </w:tc>
              <w:tc>
                <w:tcPr>
                  <w:tcW w:w="869" w:type="dxa"/>
                  <w:shd w:val="clear" w:color="auto" w:fill="auto"/>
                  <w:vAlign w:val="center"/>
                </w:tcPr>
                <w:p w14:paraId="6587F61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870" w:type="dxa"/>
                  <w:shd w:val="clear" w:color="auto" w:fill="auto"/>
                  <w:vAlign w:val="center"/>
                </w:tcPr>
                <w:p w14:paraId="2BF7BBD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停止生产</w:t>
                  </w:r>
                </w:p>
              </w:tc>
            </w:tr>
          </w:tbl>
          <w:p w14:paraId="261551EF">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（9）项目环境防护距离</w:t>
            </w:r>
          </w:p>
          <w:p w14:paraId="1AF50994">
            <w:pPr>
              <w:adjustRightInd w:val="0"/>
              <w:snapToGrid w:val="0"/>
              <w:spacing w:line="480" w:lineRule="exact"/>
              <w:ind w:firstLine="480" w:firstLineChars="200"/>
              <w:rPr>
                <w:rFonts w:ascii="Times New Roman" w:hAnsi="Times New Roman" w:eastAsia="宋体" w:cs="Times New Roman"/>
                <w:sz w:val="24"/>
              </w:rPr>
            </w:pPr>
            <w:r>
              <w:rPr>
                <w:rFonts w:hint="eastAsia" w:ascii="宋体" w:hAnsi="宋体" w:eastAsia="宋体" w:cs="宋体"/>
                <w:sz w:val="24"/>
              </w:rPr>
              <w:t>①</w:t>
            </w:r>
            <w:r>
              <w:rPr>
                <w:rFonts w:ascii="Times New Roman" w:hAnsi="Times New Roman" w:eastAsia="宋体" w:cs="Times New Roman"/>
                <w:sz w:val="24"/>
              </w:rPr>
              <w:t>大气环境防护距离的计算</w:t>
            </w:r>
          </w:p>
          <w:p w14:paraId="457D3EBE">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根据《环境影响评价技术导则 大气环境》（HJ2.2-2018）对于项目厂界浓度满足大气污染物厂界浓度限值的，但厂界外大气污染物短期贡献浓度超过环境质量限值的，可以自厂界向外设置一定范围的大气环境防护区域，以确保大气环境防护区域外的污染物贡献浓度满足环境质量标准。</w:t>
            </w:r>
          </w:p>
          <w:p w14:paraId="70DCDFE7">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大气环境防护距离的计算方法采用《环境影响评价技术导则—大气环境》（HJ2.2-2008）中SCREEN3模式中的大气环境防护距离进行计算。计算结果：非甲烷总烃、TSP场界监控点最大占标率低于10%，无超标点，无需设置大气环境防护距离。</w:t>
            </w:r>
          </w:p>
          <w:p w14:paraId="64869BCC">
            <w:pPr>
              <w:adjustRightInd w:val="0"/>
              <w:snapToGrid w:val="0"/>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②卫生防护距离</w:t>
            </w:r>
          </w:p>
          <w:p w14:paraId="1B13DD1E">
            <w:pPr>
              <w:adjustRightInd w:val="0"/>
              <w:snapToGrid w:val="0"/>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卫生防护距离是指产生有害因素的部门（车间或工段）的边界至居住区边界的最小距离。以下就本项目无组织排放的颗粒物作为预测因子，计算卫生防护距离。</w:t>
            </w:r>
          </w:p>
          <w:p w14:paraId="641692FA">
            <w:pPr>
              <w:spacing w:line="360" w:lineRule="auto"/>
              <w:ind w:firstLine="480" w:firstLineChars="200"/>
              <w:contextualSpacing/>
              <w:rPr>
                <w:rFonts w:ascii="Times New Roman" w:hAnsi="Times New Roman" w:eastAsia="宋体" w:cs="Times New Roman"/>
                <w:sz w:val="24"/>
                <w:szCs w:val="21"/>
              </w:rPr>
            </w:pPr>
            <w:r>
              <w:rPr>
                <w:rFonts w:ascii="Times New Roman" w:hAnsi="Times New Roman" w:eastAsia="宋体" w:cs="Times New Roman"/>
                <w:position w:val="-16"/>
                <w:sz w:val="24"/>
                <w:szCs w:val="21"/>
              </w:rPr>
              <w:pict>
                <v:shape id="对象 352" o:spid="_x0000_s1216" o:spt="75" type="#_x0000_t75" style="position:absolute;left:0pt;margin-left:126.4pt;margin-top:46.95pt;height:32.2pt;width:200.4pt;mso-wrap-distance-bottom:0pt;mso-wrap-distance-top:0pt;z-index:251664384;mso-width-relative:page;mso-height-relative:page;" filled="f" o:preferrelative="t" stroked="f" coordsize="21600,21600">
                  <v:path/>
                  <v:fill on="f" focussize="0,0"/>
                  <v:stroke on="f" joinstyle="miter"/>
                  <v:imagedata r:id="rId23" o:title=""/>
                  <o:lock v:ext="edit" aspectratio="t"/>
                  <w10:wrap type="topAndBottom"/>
                </v:shape>
              </w:pict>
            </w:r>
            <w:r>
              <w:rPr>
                <w:rFonts w:ascii="Times New Roman" w:hAnsi="Times New Roman" w:eastAsia="宋体" w:cs="Times New Roman"/>
                <w:sz w:val="24"/>
                <w:szCs w:val="21"/>
              </w:rPr>
              <w:t>按《制定地方大气污染物排放标准的技术原则和方法》（GB/T13201-91）中的推荐，计算卫生防护距离。计算公式如下：</w:t>
            </w:r>
          </w:p>
          <w:p w14:paraId="51115ACF">
            <w:pPr>
              <w:spacing w:line="360" w:lineRule="auto"/>
              <w:ind w:firstLine="480" w:firstLineChars="200"/>
              <w:contextualSpacing/>
              <w:rPr>
                <w:rFonts w:ascii="Times New Roman" w:hAnsi="Times New Roman" w:eastAsia="宋体" w:cs="Times New Roman"/>
                <w:sz w:val="24"/>
                <w:szCs w:val="21"/>
              </w:rPr>
            </w:pPr>
            <w:r>
              <w:rPr>
                <w:rFonts w:ascii="Times New Roman" w:hAnsi="Times New Roman" w:eastAsia="宋体" w:cs="Times New Roman"/>
                <w:sz w:val="24"/>
                <w:szCs w:val="21"/>
              </w:rPr>
              <w:t>式中：</w:t>
            </w:r>
            <w:r>
              <w:rPr>
                <w:rFonts w:ascii="Times New Roman" w:hAnsi="Times New Roman" w:eastAsia="宋体" w:cs="Times New Roman"/>
                <w:i/>
                <w:iCs/>
                <w:sz w:val="24"/>
                <w:szCs w:val="21"/>
              </w:rPr>
              <w:t>Cm</w:t>
            </w:r>
            <w:r>
              <w:rPr>
                <w:rFonts w:ascii="Times New Roman" w:hAnsi="Times New Roman" w:eastAsia="宋体" w:cs="Times New Roman"/>
                <w:sz w:val="24"/>
                <w:szCs w:val="21"/>
              </w:rPr>
              <w:t>—标准浓度限值，mg/m</w:t>
            </w:r>
            <w:r>
              <w:rPr>
                <w:rFonts w:ascii="Times New Roman" w:hAnsi="Times New Roman" w:eastAsia="宋体" w:cs="Times New Roman"/>
                <w:sz w:val="24"/>
                <w:szCs w:val="21"/>
                <w:vertAlign w:val="superscript"/>
              </w:rPr>
              <w:t>3</w:t>
            </w:r>
            <w:r>
              <w:rPr>
                <w:rFonts w:ascii="Times New Roman" w:hAnsi="Times New Roman" w:eastAsia="宋体" w:cs="Times New Roman"/>
                <w:sz w:val="24"/>
                <w:szCs w:val="21"/>
              </w:rPr>
              <w:t>；</w:t>
            </w:r>
          </w:p>
          <w:p w14:paraId="21D596CF">
            <w:pPr>
              <w:spacing w:line="360" w:lineRule="auto"/>
              <w:ind w:firstLine="480" w:firstLineChars="200"/>
              <w:contextualSpacing/>
              <w:rPr>
                <w:rFonts w:ascii="Times New Roman" w:hAnsi="Times New Roman" w:eastAsia="宋体" w:cs="Times New Roman"/>
                <w:sz w:val="24"/>
                <w:szCs w:val="21"/>
              </w:rPr>
            </w:pPr>
            <w:r>
              <w:rPr>
                <w:rFonts w:ascii="Times New Roman" w:hAnsi="Times New Roman" w:eastAsia="宋体" w:cs="Times New Roman"/>
                <w:sz w:val="24"/>
                <w:szCs w:val="21"/>
              </w:rPr>
              <w:t xml:space="preserve">      </w:t>
            </w:r>
            <w:r>
              <w:rPr>
                <w:rFonts w:ascii="Times New Roman" w:hAnsi="Times New Roman" w:eastAsia="宋体" w:cs="Times New Roman"/>
                <w:i/>
                <w:iCs/>
                <w:sz w:val="24"/>
                <w:szCs w:val="21"/>
              </w:rPr>
              <w:t>L</w:t>
            </w:r>
            <w:r>
              <w:rPr>
                <w:rFonts w:ascii="Times New Roman" w:hAnsi="Times New Roman" w:eastAsia="宋体" w:cs="Times New Roman"/>
                <w:sz w:val="24"/>
                <w:szCs w:val="21"/>
              </w:rPr>
              <w:t>—工业企业所需卫生防护距离，m；</w:t>
            </w:r>
          </w:p>
          <w:p w14:paraId="1A075459">
            <w:pPr>
              <w:spacing w:line="360" w:lineRule="auto"/>
              <w:ind w:firstLine="480" w:firstLineChars="200"/>
              <w:contextualSpacing/>
              <w:rPr>
                <w:rFonts w:ascii="Times New Roman" w:hAnsi="Times New Roman" w:eastAsia="宋体" w:cs="Times New Roman"/>
                <w:sz w:val="24"/>
                <w:szCs w:val="21"/>
              </w:rPr>
            </w:pPr>
            <w:r>
              <w:rPr>
                <w:rFonts w:ascii="Times New Roman" w:hAnsi="Times New Roman" w:eastAsia="宋体" w:cs="Times New Roman"/>
                <w:sz w:val="24"/>
                <w:szCs w:val="21"/>
              </w:rPr>
              <w:t xml:space="preserve">      </w:t>
            </w:r>
            <w:r>
              <w:rPr>
                <w:rFonts w:ascii="Times New Roman" w:hAnsi="Times New Roman" w:eastAsia="宋体" w:cs="Times New Roman"/>
                <w:i/>
                <w:iCs/>
                <w:sz w:val="24"/>
                <w:szCs w:val="21"/>
              </w:rPr>
              <w:t>r</w:t>
            </w:r>
            <w:r>
              <w:rPr>
                <w:rFonts w:ascii="Times New Roman" w:hAnsi="Times New Roman" w:eastAsia="宋体" w:cs="Times New Roman"/>
                <w:sz w:val="24"/>
                <w:szCs w:val="21"/>
              </w:rPr>
              <w:t>—有害气体无组织排放源所在生产单元的等效半径，m。根据该生产单位占地面积计算；</w:t>
            </w:r>
          </w:p>
          <w:p w14:paraId="263BA94F">
            <w:pPr>
              <w:spacing w:line="360" w:lineRule="auto"/>
              <w:ind w:firstLine="480" w:firstLineChars="200"/>
              <w:contextualSpacing/>
              <w:rPr>
                <w:rFonts w:ascii="Times New Roman" w:hAnsi="Times New Roman" w:eastAsia="宋体" w:cs="Times New Roman"/>
                <w:sz w:val="24"/>
                <w:szCs w:val="21"/>
              </w:rPr>
            </w:pPr>
            <w:r>
              <w:rPr>
                <w:rFonts w:ascii="Times New Roman" w:hAnsi="Times New Roman" w:eastAsia="宋体" w:cs="Times New Roman"/>
                <w:sz w:val="24"/>
                <w:szCs w:val="21"/>
              </w:rPr>
              <w:t xml:space="preserve">      </w:t>
            </w:r>
            <w:r>
              <w:rPr>
                <w:rFonts w:ascii="Times New Roman" w:hAnsi="Times New Roman" w:eastAsia="宋体" w:cs="Times New Roman"/>
                <w:i/>
                <w:iCs/>
                <w:sz w:val="24"/>
                <w:szCs w:val="21"/>
              </w:rPr>
              <w:t>Qc</w:t>
            </w:r>
            <w:r>
              <w:rPr>
                <w:rFonts w:ascii="Times New Roman" w:hAnsi="Times New Roman" w:eastAsia="宋体" w:cs="Times New Roman"/>
                <w:sz w:val="24"/>
                <w:szCs w:val="21"/>
              </w:rPr>
              <w:t>—工业企业有害气体无组织排放量可达到的控制水平，kg/h；</w:t>
            </w:r>
          </w:p>
          <w:p w14:paraId="59DB0068">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A</w:t>
            </w:r>
            <w:r>
              <w:rPr>
                <w:rFonts w:hint="eastAsia" w:ascii="Times New Roman" w:hAnsi="Times New Roman" w:eastAsia="宋体" w:cs="Times New Roman"/>
                <w:bCs/>
                <w:sz w:val="24"/>
                <w:lang w:eastAsia="zh-CN"/>
              </w:rPr>
              <w:t>.</w:t>
            </w:r>
            <w:r>
              <w:rPr>
                <w:rFonts w:ascii="Times New Roman" w:hAnsi="Times New Roman" w:eastAsia="宋体" w:cs="Times New Roman"/>
                <w:bCs/>
                <w:sz w:val="24"/>
              </w:rPr>
              <w:t>B、C、D—卫生防护距离计算系数，无因次，根据工业企业所在地区近五年来平均风速及工业企业大气污染源构成类别从表7-14中查取。其中A取400，B取0.01，C取1.85，D取0.78。</w:t>
            </w:r>
          </w:p>
          <w:p w14:paraId="41AB8546">
            <w:pPr>
              <w:spacing w:line="360" w:lineRule="auto"/>
              <w:contextualSpacing/>
              <w:jc w:val="center"/>
              <w:rPr>
                <w:rFonts w:ascii="Times New Roman" w:hAnsi="Times New Roman" w:eastAsia="宋体" w:cs="Times New Roman"/>
                <w:bCs/>
                <w:kern w:val="0"/>
                <w:sz w:val="24"/>
                <w:szCs w:val="24"/>
              </w:rPr>
            </w:pPr>
            <w:r>
              <w:rPr>
                <w:rFonts w:ascii="Times New Roman" w:hAnsi="Times New Roman" w:eastAsia="宋体" w:cs="Times New Roman"/>
                <w:bCs/>
                <w:kern w:val="0"/>
                <w:sz w:val="24"/>
                <w:szCs w:val="24"/>
              </w:rPr>
              <w:t>表7-16  卫生防护距离计算系数查取表</w:t>
            </w:r>
          </w:p>
          <w:tbl>
            <w:tblPr>
              <w:tblStyle w:val="26"/>
              <w:tblW w:w="0" w:type="auto"/>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autofit"/>
              <w:tblCellMar>
                <w:top w:w="0" w:type="dxa"/>
                <w:left w:w="108" w:type="dxa"/>
                <w:bottom w:w="0" w:type="dxa"/>
                <w:right w:w="108" w:type="dxa"/>
              </w:tblCellMar>
            </w:tblPr>
            <w:tblGrid>
              <w:gridCol w:w="694"/>
              <w:gridCol w:w="1695"/>
              <w:gridCol w:w="654"/>
              <w:gridCol w:w="656"/>
              <w:gridCol w:w="657"/>
              <w:gridCol w:w="654"/>
              <w:gridCol w:w="656"/>
              <w:gridCol w:w="656"/>
              <w:gridCol w:w="654"/>
              <w:gridCol w:w="657"/>
              <w:gridCol w:w="649"/>
            </w:tblGrid>
            <w:tr w14:paraId="641B6AF2">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cantSplit/>
                <w:trHeight w:val="183" w:hRule="atLeast"/>
                <w:jc w:val="center"/>
              </w:trPr>
              <w:tc>
                <w:tcPr>
                  <w:tcW w:w="807" w:type="dxa"/>
                  <w:vMerge w:val="restart"/>
                  <w:vAlign w:val="center"/>
                </w:tcPr>
                <w:p w14:paraId="6C24B30E">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计算系数</w:t>
                  </w:r>
                </w:p>
              </w:tc>
              <w:tc>
                <w:tcPr>
                  <w:tcW w:w="2123" w:type="dxa"/>
                  <w:vMerge w:val="restart"/>
                  <w:vAlign w:val="center"/>
                </w:tcPr>
                <w:p w14:paraId="56F61E1D">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工业企业所在地区近五年来平均风速</w:t>
                  </w:r>
                </w:p>
                <w:p w14:paraId="3AEE2C75">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(m/s)</w:t>
                  </w:r>
                </w:p>
              </w:tc>
              <w:tc>
                <w:tcPr>
                  <w:tcW w:w="6358" w:type="dxa"/>
                  <w:gridSpan w:val="9"/>
                  <w:vAlign w:val="center"/>
                </w:tcPr>
                <w:p w14:paraId="5E2C49E3">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卫生防护距离（m）</w:t>
                  </w:r>
                </w:p>
              </w:tc>
            </w:tr>
            <w:tr w14:paraId="7CF9C19E">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cantSplit/>
                <w:trHeight w:val="183" w:hRule="atLeast"/>
                <w:jc w:val="center"/>
              </w:trPr>
              <w:tc>
                <w:tcPr>
                  <w:tcW w:w="807" w:type="dxa"/>
                  <w:vMerge w:val="continue"/>
                  <w:vAlign w:val="center"/>
                </w:tcPr>
                <w:p w14:paraId="0AE2ABD2">
                  <w:pPr>
                    <w:adjustRightInd w:val="0"/>
                    <w:snapToGrid w:val="0"/>
                    <w:jc w:val="center"/>
                    <w:rPr>
                      <w:rFonts w:ascii="Times New Roman" w:hAnsi="Times New Roman" w:eastAsia="宋体" w:cs="Times New Roman"/>
                      <w:b/>
                      <w:bCs/>
                      <w:snapToGrid w:val="0"/>
                      <w:szCs w:val="24"/>
                    </w:rPr>
                  </w:pPr>
                </w:p>
              </w:tc>
              <w:tc>
                <w:tcPr>
                  <w:tcW w:w="2123" w:type="dxa"/>
                  <w:vMerge w:val="continue"/>
                  <w:vAlign w:val="center"/>
                </w:tcPr>
                <w:p w14:paraId="34E64BF7">
                  <w:pPr>
                    <w:adjustRightInd w:val="0"/>
                    <w:snapToGrid w:val="0"/>
                    <w:jc w:val="center"/>
                    <w:rPr>
                      <w:rFonts w:ascii="Times New Roman" w:hAnsi="Times New Roman" w:eastAsia="宋体" w:cs="Times New Roman"/>
                      <w:b/>
                      <w:bCs/>
                      <w:snapToGrid w:val="0"/>
                      <w:szCs w:val="24"/>
                    </w:rPr>
                  </w:pPr>
                </w:p>
              </w:tc>
              <w:tc>
                <w:tcPr>
                  <w:tcW w:w="2123" w:type="dxa"/>
                  <w:gridSpan w:val="3"/>
                  <w:vAlign w:val="center"/>
                </w:tcPr>
                <w:p w14:paraId="01FD10CF">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L≤1000</w:t>
                  </w:r>
                </w:p>
              </w:tc>
              <w:tc>
                <w:tcPr>
                  <w:tcW w:w="2122" w:type="dxa"/>
                  <w:gridSpan w:val="3"/>
                  <w:vAlign w:val="center"/>
                </w:tcPr>
                <w:p w14:paraId="647A9303">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1000＜L≤2000</w:t>
                  </w:r>
                </w:p>
              </w:tc>
              <w:tc>
                <w:tcPr>
                  <w:tcW w:w="2113" w:type="dxa"/>
                  <w:gridSpan w:val="3"/>
                  <w:vAlign w:val="center"/>
                </w:tcPr>
                <w:p w14:paraId="4D66D4AD">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L</w:t>
                  </w:r>
                  <w:r>
                    <w:rPr>
                      <w:rFonts w:hint="eastAsia" w:ascii="宋体" w:hAnsi="宋体" w:eastAsia="宋体" w:cs="宋体"/>
                      <w:b/>
                      <w:bCs/>
                      <w:snapToGrid w:val="0"/>
                      <w:szCs w:val="24"/>
                    </w:rPr>
                    <w:t>≧</w:t>
                  </w:r>
                  <w:r>
                    <w:rPr>
                      <w:rFonts w:ascii="Times New Roman" w:hAnsi="Times New Roman" w:eastAsia="宋体" w:cs="Times New Roman"/>
                      <w:b/>
                      <w:bCs/>
                      <w:snapToGrid w:val="0"/>
                      <w:szCs w:val="24"/>
                    </w:rPr>
                    <w:t>2000</w:t>
                  </w:r>
                </w:p>
              </w:tc>
            </w:tr>
            <w:tr w14:paraId="231036A1">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cantSplit/>
                <w:trHeight w:val="183" w:hRule="atLeast"/>
                <w:jc w:val="center"/>
              </w:trPr>
              <w:tc>
                <w:tcPr>
                  <w:tcW w:w="807" w:type="dxa"/>
                  <w:vMerge w:val="continue"/>
                  <w:vAlign w:val="center"/>
                </w:tcPr>
                <w:p w14:paraId="1485C343">
                  <w:pPr>
                    <w:adjustRightInd w:val="0"/>
                    <w:snapToGrid w:val="0"/>
                    <w:jc w:val="center"/>
                    <w:rPr>
                      <w:rFonts w:ascii="Times New Roman" w:hAnsi="Times New Roman" w:eastAsia="宋体" w:cs="Times New Roman"/>
                      <w:b/>
                      <w:bCs/>
                      <w:snapToGrid w:val="0"/>
                      <w:szCs w:val="24"/>
                    </w:rPr>
                  </w:pPr>
                </w:p>
              </w:tc>
              <w:tc>
                <w:tcPr>
                  <w:tcW w:w="2123" w:type="dxa"/>
                  <w:vMerge w:val="continue"/>
                  <w:vAlign w:val="center"/>
                </w:tcPr>
                <w:p w14:paraId="6AA0945D">
                  <w:pPr>
                    <w:adjustRightInd w:val="0"/>
                    <w:snapToGrid w:val="0"/>
                    <w:jc w:val="center"/>
                    <w:rPr>
                      <w:rFonts w:ascii="Times New Roman" w:hAnsi="Times New Roman" w:eastAsia="宋体" w:cs="Times New Roman"/>
                      <w:b/>
                      <w:bCs/>
                      <w:snapToGrid w:val="0"/>
                      <w:szCs w:val="24"/>
                    </w:rPr>
                  </w:pPr>
                </w:p>
              </w:tc>
              <w:tc>
                <w:tcPr>
                  <w:tcW w:w="6358" w:type="dxa"/>
                  <w:gridSpan w:val="9"/>
                  <w:vAlign w:val="center"/>
                </w:tcPr>
                <w:p w14:paraId="2D68A860">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工业企业大气污染源构成类别</w:t>
                  </w:r>
                </w:p>
              </w:tc>
            </w:tr>
            <w:tr w14:paraId="2D5FCFCC">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cantSplit/>
                <w:trHeight w:val="162" w:hRule="atLeast"/>
                <w:jc w:val="center"/>
              </w:trPr>
              <w:tc>
                <w:tcPr>
                  <w:tcW w:w="807" w:type="dxa"/>
                  <w:vMerge w:val="continue"/>
                  <w:vAlign w:val="center"/>
                </w:tcPr>
                <w:p w14:paraId="400C8A77">
                  <w:pPr>
                    <w:adjustRightInd w:val="0"/>
                    <w:snapToGrid w:val="0"/>
                    <w:jc w:val="center"/>
                    <w:rPr>
                      <w:rFonts w:ascii="Times New Roman" w:hAnsi="Times New Roman" w:eastAsia="宋体" w:cs="Times New Roman"/>
                      <w:b/>
                      <w:bCs/>
                      <w:snapToGrid w:val="0"/>
                      <w:szCs w:val="24"/>
                    </w:rPr>
                  </w:pPr>
                </w:p>
              </w:tc>
              <w:tc>
                <w:tcPr>
                  <w:tcW w:w="2123" w:type="dxa"/>
                  <w:vMerge w:val="continue"/>
                  <w:vAlign w:val="center"/>
                </w:tcPr>
                <w:p w14:paraId="3C28D81D">
                  <w:pPr>
                    <w:adjustRightInd w:val="0"/>
                    <w:snapToGrid w:val="0"/>
                    <w:jc w:val="center"/>
                    <w:rPr>
                      <w:rFonts w:ascii="Times New Roman" w:hAnsi="Times New Roman" w:eastAsia="宋体" w:cs="Times New Roman"/>
                      <w:b/>
                      <w:bCs/>
                      <w:snapToGrid w:val="0"/>
                      <w:szCs w:val="24"/>
                    </w:rPr>
                  </w:pPr>
                </w:p>
              </w:tc>
              <w:tc>
                <w:tcPr>
                  <w:tcW w:w="706" w:type="dxa"/>
                  <w:vAlign w:val="center"/>
                </w:tcPr>
                <w:p w14:paraId="05F7A50F">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fldChar w:fldCharType="begin"/>
                  </w:r>
                  <w:r>
                    <w:rPr>
                      <w:rFonts w:ascii="Times New Roman" w:hAnsi="Times New Roman" w:eastAsia="宋体" w:cs="Times New Roman"/>
                      <w:b/>
                      <w:bCs/>
                      <w:snapToGrid w:val="0"/>
                      <w:szCs w:val="24"/>
                    </w:rPr>
                    <w:instrText xml:space="preserve"> = 1 \* ROMAN </w:instrText>
                  </w:r>
                  <w:r>
                    <w:rPr>
                      <w:rFonts w:ascii="Times New Roman" w:hAnsi="Times New Roman" w:eastAsia="宋体" w:cs="Times New Roman"/>
                      <w:b/>
                      <w:bCs/>
                      <w:snapToGrid w:val="0"/>
                      <w:szCs w:val="24"/>
                    </w:rPr>
                    <w:fldChar w:fldCharType="separate"/>
                  </w:r>
                  <w:r>
                    <w:rPr>
                      <w:rFonts w:ascii="Times New Roman" w:hAnsi="Times New Roman" w:eastAsia="宋体" w:cs="Times New Roman"/>
                      <w:b/>
                      <w:bCs/>
                      <w:snapToGrid w:val="0"/>
                      <w:szCs w:val="24"/>
                    </w:rPr>
                    <w:t>I</w:t>
                  </w:r>
                  <w:r>
                    <w:rPr>
                      <w:rFonts w:ascii="Times New Roman" w:hAnsi="Times New Roman" w:eastAsia="宋体" w:cs="Times New Roman"/>
                      <w:b/>
                      <w:bCs/>
                      <w:snapToGrid w:val="0"/>
                      <w:szCs w:val="24"/>
                    </w:rPr>
                    <w:fldChar w:fldCharType="end"/>
                  </w:r>
                </w:p>
              </w:tc>
              <w:tc>
                <w:tcPr>
                  <w:tcW w:w="708" w:type="dxa"/>
                  <w:vAlign w:val="center"/>
                </w:tcPr>
                <w:p w14:paraId="0883DFBC">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fldChar w:fldCharType="begin"/>
                  </w:r>
                  <w:r>
                    <w:rPr>
                      <w:rFonts w:ascii="Times New Roman" w:hAnsi="Times New Roman" w:eastAsia="宋体" w:cs="Times New Roman"/>
                      <w:b/>
                      <w:bCs/>
                      <w:snapToGrid w:val="0"/>
                      <w:szCs w:val="24"/>
                    </w:rPr>
                    <w:instrText xml:space="preserve"> = 1 \* ROMAN </w:instrText>
                  </w:r>
                  <w:r>
                    <w:rPr>
                      <w:rFonts w:ascii="Times New Roman" w:hAnsi="Times New Roman" w:eastAsia="宋体" w:cs="Times New Roman"/>
                      <w:b/>
                      <w:bCs/>
                      <w:snapToGrid w:val="0"/>
                      <w:szCs w:val="24"/>
                    </w:rPr>
                    <w:fldChar w:fldCharType="separate"/>
                  </w:r>
                  <w:r>
                    <w:rPr>
                      <w:rFonts w:ascii="Times New Roman" w:hAnsi="Times New Roman" w:eastAsia="宋体" w:cs="Times New Roman"/>
                      <w:b/>
                      <w:bCs/>
                      <w:snapToGrid w:val="0"/>
                      <w:szCs w:val="24"/>
                    </w:rPr>
                    <w:t>I</w:t>
                  </w:r>
                  <w:r>
                    <w:rPr>
                      <w:rFonts w:ascii="Times New Roman" w:hAnsi="Times New Roman" w:eastAsia="宋体" w:cs="Times New Roman"/>
                      <w:b/>
                      <w:bCs/>
                      <w:snapToGrid w:val="0"/>
                      <w:szCs w:val="24"/>
                    </w:rPr>
                    <w:fldChar w:fldCharType="end"/>
                  </w:r>
                  <w:r>
                    <w:rPr>
                      <w:rFonts w:ascii="Times New Roman" w:hAnsi="Times New Roman" w:eastAsia="宋体" w:cs="Times New Roman"/>
                      <w:b/>
                      <w:bCs/>
                      <w:snapToGrid w:val="0"/>
                      <w:szCs w:val="24"/>
                    </w:rPr>
                    <w:fldChar w:fldCharType="begin"/>
                  </w:r>
                  <w:r>
                    <w:rPr>
                      <w:rFonts w:ascii="Times New Roman" w:hAnsi="Times New Roman" w:eastAsia="宋体" w:cs="Times New Roman"/>
                      <w:b/>
                      <w:bCs/>
                      <w:snapToGrid w:val="0"/>
                      <w:szCs w:val="24"/>
                    </w:rPr>
                    <w:instrText xml:space="preserve"> = 1 \* ROMAN </w:instrText>
                  </w:r>
                  <w:r>
                    <w:rPr>
                      <w:rFonts w:ascii="Times New Roman" w:hAnsi="Times New Roman" w:eastAsia="宋体" w:cs="Times New Roman"/>
                      <w:b/>
                      <w:bCs/>
                      <w:snapToGrid w:val="0"/>
                      <w:szCs w:val="24"/>
                    </w:rPr>
                    <w:fldChar w:fldCharType="separate"/>
                  </w:r>
                  <w:r>
                    <w:rPr>
                      <w:rFonts w:ascii="Times New Roman" w:hAnsi="Times New Roman" w:eastAsia="宋体" w:cs="Times New Roman"/>
                      <w:b/>
                      <w:bCs/>
                      <w:snapToGrid w:val="0"/>
                      <w:szCs w:val="24"/>
                    </w:rPr>
                    <w:t>I</w:t>
                  </w:r>
                  <w:r>
                    <w:rPr>
                      <w:rFonts w:ascii="Times New Roman" w:hAnsi="Times New Roman" w:eastAsia="宋体" w:cs="Times New Roman"/>
                      <w:b/>
                      <w:bCs/>
                      <w:snapToGrid w:val="0"/>
                      <w:szCs w:val="24"/>
                    </w:rPr>
                    <w:fldChar w:fldCharType="end"/>
                  </w:r>
                </w:p>
              </w:tc>
              <w:tc>
                <w:tcPr>
                  <w:tcW w:w="709" w:type="dxa"/>
                  <w:vAlign w:val="center"/>
                </w:tcPr>
                <w:p w14:paraId="462AD403">
                  <w:pPr>
                    <w:adjustRightInd w:val="0"/>
                    <w:snapToGrid w:val="0"/>
                    <w:jc w:val="center"/>
                    <w:rPr>
                      <w:rFonts w:ascii="Times New Roman" w:hAnsi="Times New Roman" w:eastAsia="宋体" w:cs="Times New Roman"/>
                      <w:b/>
                      <w:bCs/>
                      <w:snapToGrid w:val="0"/>
                      <w:szCs w:val="24"/>
                    </w:rPr>
                  </w:pPr>
                </w:p>
              </w:tc>
              <w:tc>
                <w:tcPr>
                  <w:tcW w:w="706" w:type="dxa"/>
                  <w:vAlign w:val="center"/>
                </w:tcPr>
                <w:p w14:paraId="74145113">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fldChar w:fldCharType="begin"/>
                  </w:r>
                  <w:r>
                    <w:rPr>
                      <w:rFonts w:ascii="Times New Roman" w:hAnsi="Times New Roman" w:eastAsia="宋体" w:cs="Times New Roman"/>
                      <w:b/>
                      <w:bCs/>
                      <w:snapToGrid w:val="0"/>
                      <w:szCs w:val="24"/>
                    </w:rPr>
                    <w:instrText xml:space="preserve"> = 1 \* ROMAN </w:instrText>
                  </w:r>
                  <w:r>
                    <w:rPr>
                      <w:rFonts w:ascii="Times New Roman" w:hAnsi="Times New Roman" w:eastAsia="宋体" w:cs="Times New Roman"/>
                      <w:b/>
                      <w:bCs/>
                      <w:snapToGrid w:val="0"/>
                      <w:szCs w:val="24"/>
                    </w:rPr>
                    <w:fldChar w:fldCharType="separate"/>
                  </w:r>
                  <w:r>
                    <w:rPr>
                      <w:rFonts w:ascii="Times New Roman" w:hAnsi="Times New Roman" w:eastAsia="宋体" w:cs="Times New Roman"/>
                      <w:b/>
                      <w:bCs/>
                      <w:snapToGrid w:val="0"/>
                      <w:szCs w:val="24"/>
                    </w:rPr>
                    <w:t>I</w:t>
                  </w:r>
                  <w:r>
                    <w:rPr>
                      <w:rFonts w:ascii="Times New Roman" w:hAnsi="Times New Roman" w:eastAsia="宋体" w:cs="Times New Roman"/>
                      <w:b/>
                      <w:bCs/>
                      <w:snapToGrid w:val="0"/>
                      <w:szCs w:val="24"/>
                    </w:rPr>
                    <w:fldChar w:fldCharType="end"/>
                  </w:r>
                </w:p>
              </w:tc>
              <w:tc>
                <w:tcPr>
                  <w:tcW w:w="708" w:type="dxa"/>
                  <w:vAlign w:val="center"/>
                </w:tcPr>
                <w:p w14:paraId="4A774BE0">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fldChar w:fldCharType="begin"/>
                  </w:r>
                  <w:r>
                    <w:rPr>
                      <w:rFonts w:ascii="Times New Roman" w:hAnsi="Times New Roman" w:eastAsia="宋体" w:cs="Times New Roman"/>
                      <w:b/>
                      <w:bCs/>
                      <w:snapToGrid w:val="0"/>
                      <w:szCs w:val="24"/>
                    </w:rPr>
                    <w:instrText xml:space="preserve"> = 1 \* ROMAN </w:instrText>
                  </w:r>
                  <w:r>
                    <w:rPr>
                      <w:rFonts w:ascii="Times New Roman" w:hAnsi="Times New Roman" w:eastAsia="宋体" w:cs="Times New Roman"/>
                      <w:b/>
                      <w:bCs/>
                      <w:snapToGrid w:val="0"/>
                      <w:szCs w:val="24"/>
                    </w:rPr>
                    <w:fldChar w:fldCharType="separate"/>
                  </w:r>
                  <w:r>
                    <w:rPr>
                      <w:rFonts w:ascii="Times New Roman" w:hAnsi="Times New Roman" w:eastAsia="宋体" w:cs="Times New Roman"/>
                      <w:b/>
                      <w:bCs/>
                      <w:snapToGrid w:val="0"/>
                      <w:szCs w:val="24"/>
                    </w:rPr>
                    <w:t>I</w:t>
                  </w:r>
                  <w:r>
                    <w:rPr>
                      <w:rFonts w:ascii="Times New Roman" w:hAnsi="Times New Roman" w:eastAsia="宋体" w:cs="Times New Roman"/>
                      <w:b/>
                      <w:bCs/>
                      <w:snapToGrid w:val="0"/>
                      <w:szCs w:val="24"/>
                    </w:rPr>
                    <w:fldChar w:fldCharType="end"/>
                  </w:r>
                  <w:r>
                    <w:rPr>
                      <w:rFonts w:ascii="Times New Roman" w:hAnsi="Times New Roman" w:eastAsia="宋体" w:cs="Times New Roman"/>
                      <w:b/>
                      <w:bCs/>
                      <w:snapToGrid w:val="0"/>
                      <w:szCs w:val="24"/>
                    </w:rPr>
                    <w:fldChar w:fldCharType="begin"/>
                  </w:r>
                  <w:r>
                    <w:rPr>
                      <w:rFonts w:ascii="Times New Roman" w:hAnsi="Times New Roman" w:eastAsia="宋体" w:cs="Times New Roman"/>
                      <w:b/>
                      <w:bCs/>
                      <w:snapToGrid w:val="0"/>
                      <w:szCs w:val="24"/>
                    </w:rPr>
                    <w:instrText xml:space="preserve"> = 1 \* ROMAN </w:instrText>
                  </w:r>
                  <w:r>
                    <w:rPr>
                      <w:rFonts w:ascii="Times New Roman" w:hAnsi="Times New Roman" w:eastAsia="宋体" w:cs="Times New Roman"/>
                      <w:b/>
                      <w:bCs/>
                      <w:snapToGrid w:val="0"/>
                      <w:szCs w:val="24"/>
                    </w:rPr>
                    <w:fldChar w:fldCharType="separate"/>
                  </w:r>
                  <w:r>
                    <w:rPr>
                      <w:rFonts w:ascii="Times New Roman" w:hAnsi="Times New Roman" w:eastAsia="宋体" w:cs="Times New Roman"/>
                      <w:b/>
                      <w:bCs/>
                      <w:snapToGrid w:val="0"/>
                      <w:szCs w:val="24"/>
                    </w:rPr>
                    <w:t>I</w:t>
                  </w:r>
                  <w:r>
                    <w:rPr>
                      <w:rFonts w:ascii="Times New Roman" w:hAnsi="Times New Roman" w:eastAsia="宋体" w:cs="Times New Roman"/>
                      <w:b/>
                      <w:bCs/>
                      <w:snapToGrid w:val="0"/>
                      <w:szCs w:val="24"/>
                    </w:rPr>
                    <w:fldChar w:fldCharType="end"/>
                  </w:r>
                </w:p>
              </w:tc>
              <w:tc>
                <w:tcPr>
                  <w:tcW w:w="708" w:type="dxa"/>
                  <w:vAlign w:val="center"/>
                </w:tcPr>
                <w:p w14:paraId="5DA6A185">
                  <w:pPr>
                    <w:adjustRightInd w:val="0"/>
                    <w:snapToGrid w:val="0"/>
                    <w:jc w:val="center"/>
                    <w:rPr>
                      <w:rFonts w:ascii="Times New Roman" w:hAnsi="Times New Roman" w:eastAsia="宋体" w:cs="Times New Roman"/>
                      <w:b/>
                      <w:bCs/>
                      <w:snapToGrid w:val="0"/>
                      <w:szCs w:val="24"/>
                    </w:rPr>
                  </w:pPr>
                </w:p>
              </w:tc>
              <w:tc>
                <w:tcPr>
                  <w:tcW w:w="706" w:type="dxa"/>
                  <w:vAlign w:val="center"/>
                </w:tcPr>
                <w:p w14:paraId="5C8F60A7">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fldChar w:fldCharType="begin"/>
                  </w:r>
                  <w:r>
                    <w:rPr>
                      <w:rFonts w:ascii="Times New Roman" w:hAnsi="Times New Roman" w:eastAsia="宋体" w:cs="Times New Roman"/>
                      <w:b/>
                      <w:bCs/>
                      <w:snapToGrid w:val="0"/>
                      <w:szCs w:val="24"/>
                    </w:rPr>
                    <w:instrText xml:space="preserve"> = 1 \* ROMAN </w:instrText>
                  </w:r>
                  <w:r>
                    <w:rPr>
                      <w:rFonts w:ascii="Times New Roman" w:hAnsi="Times New Roman" w:eastAsia="宋体" w:cs="Times New Roman"/>
                      <w:b/>
                      <w:bCs/>
                      <w:snapToGrid w:val="0"/>
                      <w:szCs w:val="24"/>
                    </w:rPr>
                    <w:fldChar w:fldCharType="separate"/>
                  </w:r>
                  <w:r>
                    <w:rPr>
                      <w:rFonts w:ascii="Times New Roman" w:hAnsi="Times New Roman" w:eastAsia="宋体" w:cs="Times New Roman"/>
                      <w:b/>
                      <w:bCs/>
                      <w:snapToGrid w:val="0"/>
                      <w:szCs w:val="24"/>
                    </w:rPr>
                    <w:t>I</w:t>
                  </w:r>
                  <w:r>
                    <w:rPr>
                      <w:rFonts w:ascii="Times New Roman" w:hAnsi="Times New Roman" w:eastAsia="宋体" w:cs="Times New Roman"/>
                      <w:b/>
                      <w:bCs/>
                      <w:snapToGrid w:val="0"/>
                      <w:szCs w:val="24"/>
                    </w:rPr>
                    <w:fldChar w:fldCharType="end"/>
                  </w:r>
                </w:p>
              </w:tc>
              <w:tc>
                <w:tcPr>
                  <w:tcW w:w="709" w:type="dxa"/>
                  <w:vAlign w:val="center"/>
                </w:tcPr>
                <w:p w14:paraId="037BD1BF">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fldChar w:fldCharType="begin"/>
                  </w:r>
                  <w:r>
                    <w:rPr>
                      <w:rFonts w:ascii="Times New Roman" w:hAnsi="Times New Roman" w:eastAsia="宋体" w:cs="Times New Roman"/>
                      <w:b/>
                      <w:bCs/>
                      <w:snapToGrid w:val="0"/>
                      <w:szCs w:val="24"/>
                    </w:rPr>
                    <w:instrText xml:space="preserve"> = 1 \* ROMAN </w:instrText>
                  </w:r>
                  <w:r>
                    <w:rPr>
                      <w:rFonts w:ascii="Times New Roman" w:hAnsi="Times New Roman" w:eastAsia="宋体" w:cs="Times New Roman"/>
                      <w:b/>
                      <w:bCs/>
                      <w:snapToGrid w:val="0"/>
                      <w:szCs w:val="24"/>
                    </w:rPr>
                    <w:fldChar w:fldCharType="separate"/>
                  </w:r>
                  <w:r>
                    <w:rPr>
                      <w:rFonts w:ascii="Times New Roman" w:hAnsi="Times New Roman" w:eastAsia="宋体" w:cs="Times New Roman"/>
                      <w:b/>
                      <w:bCs/>
                      <w:snapToGrid w:val="0"/>
                      <w:szCs w:val="24"/>
                    </w:rPr>
                    <w:t>I</w:t>
                  </w:r>
                  <w:r>
                    <w:rPr>
                      <w:rFonts w:ascii="Times New Roman" w:hAnsi="Times New Roman" w:eastAsia="宋体" w:cs="Times New Roman"/>
                      <w:b/>
                      <w:bCs/>
                      <w:snapToGrid w:val="0"/>
                      <w:szCs w:val="24"/>
                    </w:rPr>
                    <w:fldChar w:fldCharType="end"/>
                  </w:r>
                  <w:r>
                    <w:rPr>
                      <w:rFonts w:ascii="Times New Roman" w:hAnsi="Times New Roman" w:eastAsia="宋体" w:cs="Times New Roman"/>
                      <w:b/>
                      <w:bCs/>
                      <w:snapToGrid w:val="0"/>
                      <w:szCs w:val="24"/>
                    </w:rPr>
                    <w:fldChar w:fldCharType="begin"/>
                  </w:r>
                  <w:r>
                    <w:rPr>
                      <w:rFonts w:ascii="Times New Roman" w:hAnsi="Times New Roman" w:eastAsia="宋体" w:cs="Times New Roman"/>
                      <w:b/>
                      <w:bCs/>
                      <w:snapToGrid w:val="0"/>
                      <w:szCs w:val="24"/>
                    </w:rPr>
                    <w:instrText xml:space="preserve"> = 1 \* ROMAN </w:instrText>
                  </w:r>
                  <w:r>
                    <w:rPr>
                      <w:rFonts w:ascii="Times New Roman" w:hAnsi="Times New Roman" w:eastAsia="宋体" w:cs="Times New Roman"/>
                      <w:b/>
                      <w:bCs/>
                      <w:snapToGrid w:val="0"/>
                      <w:szCs w:val="24"/>
                    </w:rPr>
                    <w:fldChar w:fldCharType="separate"/>
                  </w:r>
                  <w:r>
                    <w:rPr>
                      <w:rFonts w:ascii="Times New Roman" w:hAnsi="Times New Roman" w:eastAsia="宋体" w:cs="Times New Roman"/>
                      <w:b/>
                      <w:bCs/>
                      <w:snapToGrid w:val="0"/>
                      <w:szCs w:val="24"/>
                    </w:rPr>
                    <w:t>I</w:t>
                  </w:r>
                  <w:r>
                    <w:rPr>
                      <w:rFonts w:ascii="Times New Roman" w:hAnsi="Times New Roman" w:eastAsia="宋体" w:cs="Times New Roman"/>
                      <w:b/>
                      <w:bCs/>
                      <w:snapToGrid w:val="0"/>
                      <w:szCs w:val="24"/>
                    </w:rPr>
                    <w:fldChar w:fldCharType="end"/>
                  </w:r>
                </w:p>
              </w:tc>
              <w:tc>
                <w:tcPr>
                  <w:tcW w:w="698" w:type="dxa"/>
                  <w:vAlign w:val="center"/>
                </w:tcPr>
                <w:p w14:paraId="402A2F27">
                  <w:pPr>
                    <w:adjustRightInd w:val="0"/>
                    <w:snapToGrid w:val="0"/>
                    <w:jc w:val="center"/>
                    <w:rPr>
                      <w:rFonts w:ascii="Times New Roman" w:hAnsi="Times New Roman" w:eastAsia="宋体" w:cs="Times New Roman"/>
                      <w:b/>
                      <w:bCs/>
                      <w:snapToGrid w:val="0"/>
                      <w:szCs w:val="24"/>
                    </w:rPr>
                  </w:pPr>
                </w:p>
              </w:tc>
            </w:tr>
            <w:tr w14:paraId="712A2F45">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cantSplit/>
                <w:trHeight w:val="183" w:hRule="atLeast"/>
                <w:jc w:val="center"/>
              </w:trPr>
              <w:tc>
                <w:tcPr>
                  <w:tcW w:w="807" w:type="dxa"/>
                  <w:vMerge w:val="restart"/>
                  <w:vAlign w:val="center"/>
                </w:tcPr>
                <w:p w14:paraId="4FB39CC6">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A</w:t>
                  </w:r>
                </w:p>
              </w:tc>
              <w:tc>
                <w:tcPr>
                  <w:tcW w:w="2123" w:type="dxa"/>
                  <w:vAlign w:val="center"/>
                </w:tcPr>
                <w:p w14:paraId="389245B3">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＜2</w:t>
                  </w:r>
                </w:p>
              </w:tc>
              <w:tc>
                <w:tcPr>
                  <w:tcW w:w="706" w:type="dxa"/>
                  <w:vAlign w:val="center"/>
                </w:tcPr>
                <w:p w14:paraId="5E88C1D6">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400</w:t>
                  </w:r>
                </w:p>
              </w:tc>
              <w:tc>
                <w:tcPr>
                  <w:tcW w:w="708" w:type="dxa"/>
                  <w:vAlign w:val="center"/>
                </w:tcPr>
                <w:p w14:paraId="3F811877">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400</w:t>
                  </w:r>
                </w:p>
              </w:tc>
              <w:tc>
                <w:tcPr>
                  <w:tcW w:w="709" w:type="dxa"/>
                  <w:vAlign w:val="center"/>
                </w:tcPr>
                <w:p w14:paraId="56947262">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400</w:t>
                  </w:r>
                </w:p>
              </w:tc>
              <w:tc>
                <w:tcPr>
                  <w:tcW w:w="706" w:type="dxa"/>
                  <w:vAlign w:val="center"/>
                </w:tcPr>
                <w:p w14:paraId="17F4FBAF">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400</w:t>
                  </w:r>
                </w:p>
              </w:tc>
              <w:tc>
                <w:tcPr>
                  <w:tcW w:w="708" w:type="dxa"/>
                  <w:vAlign w:val="center"/>
                </w:tcPr>
                <w:p w14:paraId="2C683980">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400</w:t>
                  </w:r>
                </w:p>
              </w:tc>
              <w:tc>
                <w:tcPr>
                  <w:tcW w:w="708" w:type="dxa"/>
                  <w:vAlign w:val="center"/>
                </w:tcPr>
                <w:p w14:paraId="35729D92">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400</w:t>
                  </w:r>
                </w:p>
              </w:tc>
              <w:tc>
                <w:tcPr>
                  <w:tcW w:w="706" w:type="dxa"/>
                  <w:vAlign w:val="center"/>
                </w:tcPr>
                <w:p w14:paraId="0913BB1D">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80</w:t>
                  </w:r>
                </w:p>
              </w:tc>
              <w:tc>
                <w:tcPr>
                  <w:tcW w:w="709" w:type="dxa"/>
                  <w:vAlign w:val="center"/>
                </w:tcPr>
                <w:p w14:paraId="54FE0F8A">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80</w:t>
                  </w:r>
                </w:p>
              </w:tc>
              <w:tc>
                <w:tcPr>
                  <w:tcW w:w="698" w:type="dxa"/>
                  <w:vAlign w:val="center"/>
                </w:tcPr>
                <w:p w14:paraId="31A71054">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80</w:t>
                  </w:r>
                </w:p>
              </w:tc>
            </w:tr>
            <w:tr w14:paraId="33DF5E81">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cantSplit/>
                <w:trHeight w:val="183" w:hRule="atLeast"/>
                <w:jc w:val="center"/>
              </w:trPr>
              <w:tc>
                <w:tcPr>
                  <w:tcW w:w="807" w:type="dxa"/>
                  <w:vMerge w:val="continue"/>
                  <w:vAlign w:val="center"/>
                </w:tcPr>
                <w:p w14:paraId="7A645237">
                  <w:pPr>
                    <w:adjustRightInd w:val="0"/>
                    <w:snapToGrid w:val="0"/>
                    <w:jc w:val="center"/>
                    <w:rPr>
                      <w:rFonts w:ascii="Times New Roman" w:hAnsi="Times New Roman" w:eastAsia="宋体" w:cs="Times New Roman"/>
                      <w:snapToGrid w:val="0"/>
                      <w:szCs w:val="24"/>
                    </w:rPr>
                  </w:pPr>
                </w:p>
              </w:tc>
              <w:tc>
                <w:tcPr>
                  <w:tcW w:w="2123" w:type="dxa"/>
                  <w:vAlign w:val="center"/>
                </w:tcPr>
                <w:p w14:paraId="75B2F466">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2-4</w:t>
                  </w:r>
                </w:p>
              </w:tc>
              <w:tc>
                <w:tcPr>
                  <w:tcW w:w="706" w:type="dxa"/>
                  <w:vAlign w:val="center"/>
                </w:tcPr>
                <w:p w14:paraId="6D56E6F6">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700</w:t>
                  </w:r>
                </w:p>
              </w:tc>
              <w:tc>
                <w:tcPr>
                  <w:tcW w:w="708" w:type="dxa"/>
                  <w:vAlign w:val="center"/>
                </w:tcPr>
                <w:p w14:paraId="39E75996">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470</w:t>
                  </w:r>
                </w:p>
              </w:tc>
              <w:tc>
                <w:tcPr>
                  <w:tcW w:w="709" w:type="dxa"/>
                  <w:vAlign w:val="center"/>
                </w:tcPr>
                <w:p w14:paraId="7B64B0D2">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350</w:t>
                  </w:r>
                </w:p>
              </w:tc>
              <w:tc>
                <w:tcPr>
                  <w:tcW w:w="706" w:type="dxa"/>
                  <w:vAlign w:val="center"/>
                </w:tcPr>
                <w:p w14:paraId="60E0669E">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700</w:t>
                  </w:r>
                </w:p>
              </w:tc>
              <w:tc>
                <w:tcPr>
                  <w:tcW w:w="708" w:type="dxa"/>
                  <w:vAlign w:val="center"/>
                </w:tcPr>
                <w:p w14:paraId="1BCD9ED5">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470</w:t>
                  </w:r>
                </w:p>
              </w:tc>
              <w:tc>
                <w:tcPr>
                  <w:tcW w:w="708" w:type="dxa"/>
                  <w:vAlign w:val="center"/>
                </w:tcPr>
                <w:p w14:paraId="3A530647">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350</w:t>
                  </w:r>
                </w:p>
              </w:tc>
              <w:tc>
                <w:tcPr>
                  <w:tcW w:w="706" w:type="dxa"/>
                  <w:vAlign w:val="center"/>
                </w:tcPr>
                <w:p w14:paraId="1E24B4C7">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380</w:t>
                  </w:r>
                </w:p>
              </w:tc>
              <w:tc>
                <w:tcPr>
                  <w:tcW w:w="709" w:type="dxa"/>
                  <w:vAlign w:val="center"/>
                </w:tcPr>
                <w:p w14:paraId="0137E7C0">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250</w:t>
                  </w:r>
                </w:p>
              </w:tc>
              <w:tc>
                <w:tcPr>
                  <w:tcW w:w="698" w:type="dxa"/>
                  <w:vAlign w:val="center"/>
                </w:tcPr>
                <w:p w14:paraId="58C25FBB">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190</w:t>
                  </w:r>
                </w:p>
              </w:tc>
            </w:tr>
            <w:tr w14:paraId="08A3B91B">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cantSplit/>
                <w:trHeight w:val="183" w:hRule="atLeast"/>
                <w:jc w:val="center"/>
              </w:trPr>
              <w:tc>
                <w:tcPr>
                  <w:tcW w:w="807" w:type="dxa"/>
                  <w:vMerge w:val="continue"/>
                  <w:vAlign w:val="center"/>
                </w:tcPr>
                <w:p w14:paraId="1B394A71">
                  <w:pPr>
                    <w:adjustRightInd w:val="0"/>
                    <w:snapToGrid w:val="0"/>
                    <w:jc w:val="center"/>
                    <w:rPr>
                      <w:rFonts w:ascii="Times New Roman" w:hAnsi="Times New Roman" w:eastAsia="宋体" w:cs="Times New Roman"/>
                      <w:snapToGrid w:val="0"/>
                      <w:szCs w:val="24"/>
                    </w:rPr>
                  </w:pPr>
                </w:p>
              </w:tc>
              <w:tc>
                <w:tcPr>
                  <w:tcW w:w="2123" w:type="dxa"/>
                  <w:vAlign w:val="center"/>
                </w:tcPr>
                <w:p w14:paraId="7FE980C7">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＞4</w:t>
                  </w:r>
                </w:p>
              </w:tc>
              <w:tc>
                <w:tcPr>
                  <w:tcW w:w="706" w:type="dxa"/>
                  <w:vAlign w:val="center"/>
                </w:tcPr>
                <w:p w14:paraId="3BFE472F">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530</w:t>
                  </w:r>
                </w:p>
              </w:tc>
              <w:tc>
                <w:tcPr>
                  <w:tcW w:w="708" w:type="dxa"/>
                  <w:vAlign w:val="center"/>
                </w:tcPr>
                <w:p w14:paraId="24FD9757">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350</w:t>
                  </w:r>
                </w:p>
              </w:tc>
              <w:tc>
                <w:tcPr>
                  <w:tcW w:w="709" w:type="dxa"/>
                  <w:vAlign w:val="center"/>
                </w:tcPr>
                <w:p w14:paraId="2FA3A01A">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260</w:t>
                  </w:r>
                </w:p>
              </w:tc>
              <w:tc>
                <w:tcPr>
                  <w:tcW w:w="706" w:type="dxa"/>
                  <w:vAlign w:val="center"/>
                </w:tcPr>
                <w:p w14:paraId="3341C177">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530</w:t>
                  </w:r>
                </w:p>
              </w:tc>
              <w:tc>
                <w:tcPr>
                  <w:tcW w:w="708" w:type="dxa"/>
                  <w:vAlign w:val="center"/>
                </w:tcPr>
                <w:p w14:paraId="7CA7B8A9">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350</w:t>
                  </w:r>
                </w:p>
              </w:tc>
              <w:tc>
                <w:tcPr>
                  <w:tcW w:w="708" w:type="dxa"/>
                  <w:vAlign w:val="center"/>
                </w:tcPr>
                <w:p w14:paraId="496421B5">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260</w:t>
                  </w:r>
                </w:p>
              </w:tc>
              <w:tc>
                <w:tcPr>
                  <w:tcW w:w="706" w:type="dxa"/>
                  <w:vAlign w:val="center"/>
                </w:tcPr>
                <w:p w14:paraId="216DEF67">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290</w:t>
                  </w:r>
                </w:p>
              </w:tc>
              <w:tc>
                <w:tcPr>
                  <w:tcW w:w="709" w:type="dxa"/>
                  <w:vAlign w:val="center"/>
                </w:tcPr>
                <w:p w14:paraId="1186034F">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190</w:t>
                  </w:r>
                </w:p>
              </w:tc>
              <w:tc>
                <w:tcPr>
                  <w:tcW w:w="698" w:type="dxa"/>
                  <w:vAlign w:val="center"/>
                </w:tcPr>
                <w:p w14:paraId="5D39ACB6">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140</w:t>
                  </w:r>
                </w:p>
              </w:tc>
            </w:tr>
            <w:tr w14:paraId="3B554F41">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cantSplit/>
                <w:trHeight w:val="183" w:hRule="atLeast"/>
                <w:jc w:val="center"/>
              </w:trPr>
              <w:tc>
                <w:tcPr>
                  <w:tcW w:w="807" w:type="dxa"/>
                  <w:vMerge w:val="restart"/>
                  <w:vAlign w:val="center"/>
                </w:tcPr>
                <w:p w14:paraId="0C01055F">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B</w:t>
                  </w:r>
                </w:p>
              </w:tc>
              <w:tc>
                <w:tcPr>
                  <w:tcW w:w="2123" w:type="dxa"/>
                  <w:vAlign w:val="center"/>
                </w:tcPr>
                <w:p w14:paraId="1E37C8B5">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＜2</w:t>
                  </w:r>
                </w:p>
              </w:tc>
              <w:tc>
                <w:tcPr>
                  <w:tcW w:w="2123" w:type="dxa"/>
                  <w:gridSpan w:val="3"/>
                  <w:vAlign w:val="center"/>
                </w:tcPr>
                <w:p w14:paraId="5D1B8E43">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0.01</w:t>
                  </w:r>
                </w:p>
              </w:tc>
              <w:tc>
                <w:tcPr>
                  <w:tcW w:w="2122" w:type="dxa"/>
                  <w:gridSpan w:val="3"/>
                  <w:vAlign w:val="center"/>
                </w:tcPr>
                <w:p w14:paraId="052D7743">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0.015</w:t>
                  </w:r>
                </w:p>
              </w:tc>
              <w:tc>
                <w:tcPr>
                  <w:tcW w:w="2113" w:type="dxa"/>
                  <w:gridSpan w:val="3"/>
                  <w:vAlign w:val="center"/>
                </w:tcPr>
                <w:p w14:paraId="3C44ED6D">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0.015</w:t>
                  </w:r>
                </w:p>
              </w:tc>
            </w:tr>
            <w:tr w14:paraId="6492693D">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cantSplit/>
                <w:trHeight w:val="183" w:hRule="atLeast"/>
                <w:jc w:val="center"/>
              </w:trPr>
              <w:tc>
                <w:tcPr>
                  <w:tcW w:w="807" w:type="dxa"/>
                  <w:vMerge w:val="continue"/>
                  <w:vAlign w:val="center"/>
                </w:tcPr>
                <w:p w14:paraId="52CE5697">
                  <w:pPr>
                    <w:adjustRightInd w:val="0"/>
                    <w:snapToGrid w:val="0"/>
                    <w:jc w:val="center"/>
                    <w:rPr>
                      <w:rFonts w:ascii="Times New Roman" w:hAnsi="Times New Roman" w:eastAsia="宋体" w:cs="Times New Roman"/>
                      <w:snapToGrid w:val="0"/>
                      <w:szCs w:val="24"/>
                    </w:rPr>
                  </w:pPr>
                </w:p>
              </w:tc>
              <w:tc>
                <w:tcPr>
                  <w:tcW w:w="2123" w:type="dxa"/>
                  <w:vAlign w:val="center"/>
                </w:tcPr>
                <w:p w14:paraId="50DCC0DC">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＞2</w:t>
                  </w:r>
                </w:p>
              </w:tc>
              <w:tc>
                <w:tcPr>
                  <w:tcW w:w="2123" w:type="dxa"/>
                  <w:gridSpan w:val="3"/>
                  <w:vAlign w:val="center"/>
                </w:tcPr>
                <w:p w14:paraId="3FDFA83D">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0.021</w:t>
                  </w:r>
                </w:p>
              </w:tc>
              <w:tc>
                <w:tcPr>
                  <w:tcW w:w="2122" w:type="dxa"/>
                  <w:gridSpan w:val="3"/>
                  <w:vAlign w:val="center"/>
                </w:tcPr>
                <w:p w14:paraId="024610B8">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0.036</w:t>
                  </w:r>
                </w:p>
              </w:tc>
              <w:tc>
                <w:tcPr>
                  <w:tcW w:w="2113" w:type="dxa"/>
                  <w:gridSpan w:val="3"/>
                  <w:vAlign w:val="center"/>
                </w:tcPr>
                <w:p w14:paraId="54FC0D2D">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0.036</w:t>
                  </w:r>
                </w:p>
              </w:tc>
            </w:tr>
            <w:tr w14:paraId="75AB23CA">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cantSplit/>
                <w:trHeight w:val="183" w:hRule="atLeast"/>
                <w:jc w:val="center"/>
              </w:trPr>
              <w:tc>
                <w:tcPr>
                  <w:tcW w:w="807" w:type="dxa"/>
                  <w:vMerge w:val="restart"/>
                  <w:vAlign w:val="center"/>
                </w:tcPr>
                <w:p w14:paraId="5FDC3D99">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C</w:t>
                  </w:r>
                </w:p>
              </w:tc>
              <w:tc>
                <w:tcPr>
                  <w:tcW w:w="2123" w:type="dxa"/>
                  <w:vAlign w:val="center"/>
                </w:tcPr>
                <w:p w14:paraId="1F33FAC3">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＜2</w:t>
                  </w:r>
                </w:p>
              </w:tc>
              <w:tc>
                <w:tcPr>
                  <w:tcW w:w="2123" w:type="dxa"/>
                  <w:gridSpan w:val="3"/>
                  <w:vAlign w:val="center"/>
                </w:tcPr>
                <w:p w14:paraId="2827DF10">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1.85</w:t>
                  </w:r>
                </w:p>
              </w:tc>
              <w:tc>
                <w:tcPr>
                  <w:tcW w:w="2122" w:type="dxa"/>
                  <w:gridSpan w:val="3"/>
                  <w:vAlign w:val="center"/>
                </w:tcPr>
                <w:p w14:paraId="1CA52296">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1.74</w:t>
                  </w:r>
                </w:p>
              </w:tc>
              <w:tc>
                <w:tcPr>
                  <w:tcW w:w="2113" w:type="dxa"/>
                  <w:gridSpan w:val="3"/>
                  <w:vAlign w:val="center"/>
                </w:tcPr>
                <w:p w14:paraId="062C89B2">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1.79</w:t>
                  </w:r>
                </w:p>
              </w:tc>
            </w:tr>
            <w:tr w14:paraId="0BF565FC">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cantSplit/>
                <w:trHeight w:val="183" w:hRule="atLeast"/>
                <w:jc w:val="center"/>
              </w:trPr>
              <w:tc>
                <w:tcPr>
                  <w:tcW w:w="807" w:type="dxa"/>
                  <w:vMerge w:val="continue"/>
                  <w:vAlign w:val="center"/>
                </w:tcPr>
                <w:p w14:paraId="4188EA14">
                  <w:pPr>
                    <w:adjustRightInd w:val="0"/>
                    <w:snapToGrid w:val="0"/>
                    <w:jc w:val="center"/>
                    <w:rPr>
                      <w:rFonts w:ascii="Times New Roman" w:hAnsi="Times New Roman" w:eastAsia="宋体" w:cs="Times New Roman"/>
                      <w:snapToGrid w:val="0"/>
                      <w:szCs w:val="24"/>
                    </w:rPr>
                  </w:pPr>
                </w:p>
              </w:tc>
              <w:tc>
                <w:tcPr>
                  <w:tcW w:w="2123" w:type="dxa"/>
                  <w:vAlign w:val="center"/>
                </w:tcPr>
                <w:p w14:paraId="3C88D81C">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＞2</w:t>
                  </w:r>
                </w:p>
              </w:tc>
              <w:tc>
                <w:tcPr>
                  <w:tcW w:w="2123" w:type="dxa"/>
                  <w:gridSpan w:val="3"/>
                  <w:vAlign w:val="center"/>
                </w:tcPr>
                <w:p w14:paraId="68D771A7">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1.85</w:t>
                  </w:r>
                </w:p>
              </w:tc>
              <w:tc>
                <w:tcPr>
                  <w:tcW w:w="2122" w:type="dxa"/>
                  <w:gridSpan w:val="3"/>
                  <w:vAlign w:val="center"/>
                </w:tcPr>
                <w:p w14:paraId="2C2FF873">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1.77</w:t>
                  </w:r>
                </w:p>
              </w:tc>
              <w:tc>
                <w:tcPr>
                  <w:tcW w:w="2113" w:type="dxa"/>
                  <w:gridSpan w:val="3"/>
                  <w:vAlign w:val="center"/>
                </w:tcPr>
                <w:p w14:paraId="475B1304">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1.79</w:t>
                  </w:r>
                </w:p>
              </w:tc>
            </w:tr>
            <w:tr w14:paraId="5DC1E1AA">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cantSplit/>
                <w:trHeight w:val="183" w:hRule="atLeast"/>
                <w:jc w:val="center"/>
              </w:trPr>
              <w:tc>
                <w:tcPr>
                  <w:tcW w:w="807" w:type="dxa"/>
                  <w:vMerge w:val="restart"/>
                  <w:vAlign w:val="center"/>
                </w:tcPr>
                <w:p w14:paraId="60562CBE">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D</w:t>
                  </w:r>
                </w:p>
              </w:tc>
              <w:tc>
                <w:tcPr>
                  <w:tcW w:w="2123" w:type="dxa"/>
                  <w:vAlign w:val="center"/>
                </w:tcPr>
                <w:p w14:paraId="64FF57B4">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＜2</w:t>
                  </w:r>
                </w:p>
              </w:tc>
              <w:tc>
                <w:tcPr>
                  <w:tcW w:w="2123" w:type="dxa"/>
                  <w:gridSpan w:val="3"/>
                  <w:vAlign w:val="center"/>
                </w:tcPr>
                <w:p w14:paraId="32D476B3">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0.78</w:t>
                  </w:r>
                </w:p>
              </w:tc>
              <w:tc>
                <w:tcPr>
                  <w:tcW w:w="2122" w:type="dxa"/>
                  <w:gridSpan w:val="3"/>
                  <w:vAlign w:val="center"/>
                </w:tcPr>
                <w:p w14:paraId="1BDA707F">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0.78</w:t>
                  </w:r>
                </w:p>
              </w:tc>
              <w:tc>
                <w:tcPr>
                  <w:tcW w:w="2113" w:type="dxa"/>
                  <w:gridSpan w:val="3"/>
                  <w:vAlign w:val="center"/>
                </w:tcPr>
                <w:p w14:paraId="261A65D8">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0.57</w:t>
                  </w:r>
                </w:p>
              </w:tc>
            </w:tr>
            <w:tr w14:paraId="0465C16A">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cantSplit/>
                <w:trHeight w:val="158" w:hRule="atLeast"/>
                <w:jc w:val="center"/>
              </w:trPr>
              <w:tc>
                <w:tcPr>
                  <w:tcW w:w="807" w:type="dxa"/>
                  <w:vMerge w:val="continue"/>
                  <w:vAlign w:val="center"/>
                </w:tcPr>
                <w:p w14:paraId="71FB1A8F">
                  <w:pPr>
                    <w:adjustRightInd w:val="0"/>
                    <w:snapToGrid w:val="0"/>
                    <w:jc w:val="center"/>
                    <w:rPr>
                      <w:rFonts w:ascii="Times New Roman" w:hAnsi="Times New Roman" w:eastAsia="宋体" w:cs="Times New Roman"/>
                      <w:snapToGrid w:val="0"/>
                      <w:szCs w:val="24"/>
                    </w:rPr>
                  </w:pPr>
                </w:p>
              </w:tc>
              <w:tc>
                <w:tcPr>
                  <w:tcW w:w="2123" w:type="dxa"/>
                  <w:vAlign w:val="center"/>
                </w:tcPr>
                <w:p w14:paraId="4936DE0E">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＞2</w:t>
                  </w:r>
                </w:p>
              </w:tc>
              <w:tc>
                <w:tcPr>
                  <w:tcW w:w="2123" w:type="dxa"/>
                  <w:gridSpan w:val="3"/>
                  <w:vAlign w:val="center"/>
                </w:tcPr>
                <w:p w14:paraId="58F18D89">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0.84</w:t>
                  </w:r>
                </w:p>
              </w:tc>
              <w:tc>
                <w:tcPr>
                  <w:tcW w:w="2122" w:type="dxa"/>
                  <w:gridSpan w:val="3"/>
                  <w:vAlign w:val="center"/>
                </w:tcPr>
                <w:p w14:paraId="45CFA16D">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0.84</w:t>
                  </w:r>
                </w:p>
              </w:tc>
              <w:tc>
                <w:tcPr>
                  <w:tcW w:w="2113" w:type="dxa"/>
                  <w:gridSpan w:val="3"/>
                  <w:vAlign w:val="center"/>
                </w:tcPr>
                <w:p w14:paraId="4970B893">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0.76</w:t>
                  </w:r>
                </w:p>
              </w:tc>
            </w:tr>
          </w:tbl>
          <w:p w14:paraId="4EB9A319">
            <w:pPr>
              <w:spacing w:line="300" w:lineRule="auto"/>
              <w:ind w:firstLine="420" w:firstLineChars="200"/>
              <w:contextualSpacing/>
              <w:rPr>
                <w:rFonts w:ascii="Times New Roman" w:hAnsi="Times New Roman" w:eastAsia="宋体" w:cs="Times New Roman"/>
                <w:szCs w:val="21"/>
              </w:rPr>
            </w:pPr>
            <w:r>
              <w:rPr>
                <w:rFonts w:ascii="Times New Roman" w:hAnsi="Times New Roman" w:eastAsia="宋体" w:cs="Times New Roman"/>
                <w:szCs w:val="21"/>
              </w:rPr>
              <w:t>注：</w:t>
            </w:r>
            <w:r>
              <w:rPr>
                <w:rFonts w:hint="eastAsia" w:ascii="宋体" w:hAnsi="宋体" w:eastAsia="宋体" w:cs="宋体"/>
                <w:szCs w:val="21"/>
              </w:rPr>
              <w:t>①</w:t>
            </w:r>
            <w:r>
              <w:rPr>
                <w:rFonts w:ascii="Times New Roman" w:hAnsi="Times New Roman" w:eastAsia="宋体" w:cs="Times New Roman"/>
                <w:szCs w:val="21"/>
              </w:rPr>
              <w:t>工业企业大气污染源分三大类</w:t>
            </w:r>
          </w:p>
          <w:p w14:paraId="42B2DAA3">
            <w:pPr>
              <w:spacing w:line="300" w:lineRule="auto"/>
              <w:ind w:firstLine="420" w:firstLineChars="200"/>
              <w:contextualSpacing/>
              <w:rPr>
                <w:rFonts w:ascii="Times New Roman" w:hAnsi="Times New Roman" w:eastAsia="宋体" w:cs="Times New Roman"/>
                <w:szCs w:val="21"/>
              </w:rPr>
            </w:pPr>
            <w:r>
              <w:rPr>
                <w:rFonts w:hint="eastAsia" w:ascii="宋体" w:hAnsi="宋体" w:eastAsia="宋体" w:cs="宋体"/>
                <w:szCs w:val="21"/>
              </w:rPr>
              <w:t>Ⅰ</w:t>
            </w:r>
            <w:r>
              <w:rPr>
                <w:rFonts w:ascii="Times New Roman" w:hAnsi="Times New Roman" w:eastAsia="宋体" w:cs="Times New Roman"/>
                <w:szCs w:val="21"/>
              </w:rPr>
              <w:t>类：与无组织排放源共存的排放同种有害气体的排气筒的排放量大于标准规定的允许排放量的三分之一者；</w:t>
            </w:r>
          </w:p>
          <w:p w14:paraId="627A6FE9">
            <w:pPr>
              <w:spacing w:line="300" w:lineRule="auto"/>
              <w:ind w:firstLine="420" w:firstLineChars="200"/>
              <w:contextualSpacing/>
              <w:rPr>
                <w:rFonts w:ascii="Times New Roman" w:hAnsi="Times New Roman" w:eastAsia="宋体" w:cs="Times New Roman"/>
                <w:szCs w:val="21"/>
              </w:rPr>
            </w:pPr>
            <w:r>
              <w:rPr>
                <w:rFonts w:hint="eastAsia" w:ascii="宋体" w:hAnsi="宋体" w:eastAsia="宋体" w:cs="宋体"/>
                <w:szCs w:val="21"/>
              </w:rPr>
              <w:t>Ⅱ</w:t>
            </w:r>
            <w:r>
              <w:rPr>
                <w:rFonts w:ascii="Times New Roman" w:hAnsi="Times New Roman" w:eastAsia="宋体" w:cs="Times New Roman"/>
                <w:szCs w:val="21"/>
              </w:rPr>
              <w:t>类：与无组织排放源共存的排放同种有害气体的排气筒的排放量小于标准规定的允许排放量的三分之一；或虽与排放同种大气污染物之排气筒共存，但无组织排放的有害物质的容许浓度指标是按急性反应指标确定者；</w:t>
            </w:r>
          </w:p>
          <w:p w14:paraId="0E242F8A">
            <w:pPr>
              <w:spacing w:line="300" w:lineRule="auto"/>
              <w:ind w:firstLine="420" w:firstLineChars="200"/>
              <w:contextualSpacing/>
              <w:rPr>
                <w:rFonts w:ascii="Times New Roman" w:hAnsi="Times New Roman" w:eastAsia="宋体" w:cs="Times New Roman"/>
                <w:szCs w:val="21"/>
              </w:rPr>
            </w:pPr>
            <w:r>
              <w:rPr>
                <w:rFonts w:hint="eastAsia" w:ascii="宋体" w:hAnsi="宋体" w:eastAsia="宋体" w:cs="宋体"/>
                <w:szCs w:val="21"/>
              </w:rPr>
              <w:t>Ⅲ</w:t>
            </w:r>
            <w:r>
              <w:rPr>
                <w:rFonts w:ascii="Times New Roman" w:hAnsi="Times New Roman" w:eastAsia="宋体" w:cs="Times New Roman"/>
                <w:szCs w:val="21"/>
              </w:rPr>
              <w:t>类：无排放同种有害物质的排气筒无组织排放源共存，但无组织排放的有害物质的容许浓度指标是按慢性反应指标确定者。</w:t>
            </w:r>
          </w:p>
          <w:p w14:paraId="1D407835">
            <w:pPr>
              <w:spacing w:line="300" w:lineRule="auto"/>
              <w:ind w:firstLine="420" w:firstLineChars="200"/>
              <w:contextualSpacing/>
              <w:rPr>
                <w:rFonts w:ascii="Times New Roman" w:hAnsi="Times New Roman" w:eastAsia="宋体" w:cs="Times New Roman"/>
                <w:szCs w:val="21"/>
              </w:rPr>
            </w:pPr>
            <w:r>
              <w:rPr>
                <w:rFonts w:ascii="Times New Roman" w:hAnsi="Times New Roman" w:eastAsia="宋体" w:cs="Times New Roman"/>
                <w:szCs w:val="21"/>
              </w:rPr>
              <w:t>Q</w:t>
            </w:r>
            <w:r>
              <w:rPr>
                <w:rFonts w:ascii="Times New Roman" w:hAnsi="Times New Roman" w:eastAsia="宋体" w:cs="Times New Roman"/>
                <w:szCs w:val="21"/>
                <w:vertAlign w:val="subscript"/>
              </w:rPr>
              <w:t>c</w:t>
            </w:r>
            <w:r>
              <w:rPr>
                <w:rFonts w:ascii="Times New Roman" w:hAnsi="Times New Roman" w:eastAsia="宋体" w:cs="Times New Roman"/>
                <w:szCs w:val="21"/>
              </w:rPr>
              <w:t>取同类企业中生产工艺流程合理，生产管理与设备维护处于先进水平的工业企业，在正常运行时的无组织排放量，当按上式计算的L值在两级之间时，取偏宽的一级。</w:t>
            </w:r>
          </w:p>
          <w:p w14:paraId="4D505023">
            <w:pPr>
              <w:spacing w:line="300" w:lineRule="auto"/>
              <w:ind w:firstLine="420" w:firstLineChars="200"/>
              <w:contextualSpacing/>
              <w:rPr>
                <w:rFonts w:ascii="Times New Roman" w:hAnsi="Times New Roman" w:eastAsia="宋体" w:cs="Times New Roman"/>
                <w:szCs w:val="21"/>
              </w:rPr>
            </w:pPr>
            <w:r>
              <w:rPr>
                <w:rFonts w:hint="eastAsia" w:ascii="宋体" w:hAnsi="宋体" w:eastAsia="宋体" w:cs="宋体"/>
                <w:szCs w:val="21"/>
              </w:rPr>
              <w:t>②</w:t>
            </w:r>
            <w:r>
              <w:rPr>
                <w:rFonts w:ascii="Times New Roman" w:hAnsi="Times New Roman" w:eastAsia="宋体" w:cs="Times New Roman"/>
                <w:szCs w:val="21"/>
              </w:rPr>
              <w:t>无组织排放多种有害气体的工业企业，按Q</w:t>
            </w:r>
            <w:r>
              <w:rPr>
                <w:rFonts w:ascii="Times New Roman" w:hAnsi="Times New Roman" w:eastAsia="宋体" w:cs="Times New Roman"/>
                <w:szCs w:val="21"/>
                <w:vertAlign w:val="subscript"/>
              </w:rPr>
              <w:t>c</w:t>
            </w:r>
            <w:r>
              <w:rPr>
                <w:rFonts w:ascii="Times New Roman" w:hAnsi="Times New Roman" w:eastAsia="宋体" w:cs="Times New Roman"/>
                <w:szCs w:val="21"/>
              </w:rPr>
              <w:t>/C</w:t>
            </w:r>
            <w:r>
              <w:rPr>
                <w:rFonts w:ascii="Times New Roman" w:hAnsi="Times New Roman" w:eastAsia="宋体" w:cs="Times New Roman"/>
                <w:szCs w:val="21"/>
                <w:vertAlign w:val="subscript"/>
              </w:rPr>
              <w:t>m</w:t>
            </w:r>
            <w:r>
              <w:rPr>
                <w:rFonts w:ascii="Times New Roman" w:hAnsi="Times New Roman" w:eastAsia="宋体" w:cs="Times New Roman"/>
                <w:szCs w:val="21"/>
              </w:rPr>
              <w:t>的最大值计算所需卫生防护距离，但当按两种或两种以上的有害气体的Q</w:t>
            </w:r>
            <w:r>
              <w:rPr>
                <w:rFonts w:ascii="Times New Roman" w:hAnsi="Times New Roman" w:eastAsia="宋体" w:cs="Times New Roman"/>
                <w:szCs w:val="21"/>
                <w:vertAlign w:val="subscript"/>
              </w:rPr>
              <w:t>c</w:t>
            </w:r>
            <w:r>
              <w:rPr>
                <w:rFonts w:ascii="Times New Roman" w:hAnsi="Times New Roman" w:eastAsia="宋体" w:cs="Times New Roman"/>
                <w:szCs w:val="21"/>
              </w:rPr>
              <w:t>/C</w:t>
            </w:r>
            <w:r>
              <w:rPr>
                <w:rFonts w:ascii="Times New Roman" w:hAnsi="Times New Roman" w:eastAsia="宋体" w:cs="Times New Roman"/>
                <w:szCs w:val="21"/>
                <w:vertAlign w:val="subscript"/>
              </w:rPr>
              <w:t>m</w:t>
            </w:r>
            <w:r>
              <w:rPr>
                <w:rFonts w:ascii="Times New Roman" w:hAnsi="Times New Roman" w:eastAsia="宋体" w:cs="Times New Roman"/>
                <w:szCs w:val="21"/>
              </w:rPr>
              <w:t>值计算的卫生防护距离在同一级时，该类工业企业的卫生防护距离级别应提高一级。</w:t>
            </w:r>
          </w:p>
          <w:p w14:paraId="1D1F221D">
            <w:pPr>
              <w:spacing w:line="300" w:lineRule="auto"/>
              <w:ind w:firstLine="420" w:firstLineChars="200"/>
              <w:contextualSpacing/>
              <w:rPr>
                <w:rFonts w:ascii="Times New Roman" w:hAnsi="Times New Roman" w:eastAsia="宋体" w:cs="Times New Roman"/>
                <w:szCs w:val="21"/>
              </w:rPr>
            </w:pPr>
            <w:r>
              <w:rPr>
                <w:rFonts w:hint="eastAsia" w:ascii="宋体" w:hAnsi="宋体" w:eastAsia="宋体" w:cs="宋体"/>
                <w:szCs w:val="21"/>
              </w:rPr>
              <w:t>③</w:t>
            </w:r>
            <w:r>
              <w:rPr>
                <w:rFonts w:ascii="Times New Roman" w:hAnsi="Times New Roman" w:eastAsia="宋体" w:cs="Times New Roman"/>
                <w:szCs w:val="21"/>
              </w:rPr>
              <w:t>地处复杂地形条件下的工业企业所需卫生防护距离，应由建设单位主管部门与建设项目所在省、市、自治区的卫生与环境保护主管部门，根据环境影响评价报告共同确定。</w:t>
            </w:r>
          </w:p>
          <w:p w14:paraId="4E6C6C61">
            <w:pPr>
              <w:spacing w:line="480" w:lineRule="exact"/>
              <w:ind w:firstLine="480" w:firstLineChars="200"/>
              <w:rPr>
                <w:rFonts w:ascii="Times New Roman" w:hAnsi="Times New Roman" w:eastAsia="宋体" w:cs="Times New Roman"/>
                <w:sz w:val="24"/>
                <w:szCs w:val="21"/>
              </w:rPr>
            </w:pPr>
            <w:r>
              <w:rPr>
                <w:rFonts w:ascii="Times New Roman" w:hAnsi="Times New Roman" w:eastAsia="宋体" w:cs="Times New Roman"/>
                <w:sz w:val="24"/>
                <w:szCs w:val="21"/>
              </w:rPr>
              <w:t>参数设定见下表7-17。</w:t>
            </w:r>
          </w:p>
          <w:p w14:paraId="3086A7C5">
            <w:pPr>
              <w:spacing w:line="360" w:lineRule="auto"/>
              <w:contextualSpacing/>
              <w:jc w:val="center"/>
              <w:rPr>
                <w:rFonts w:ascii="Times New Roman" w:hAnsi="Times New Roman" w:eastAsia="宋体" w:cs="Times New Roman"/>
                <w:b/>
                <w:kern w:val="0"/>
                <w:sz w:val="24"/>
                <w:szCs w:val="24"/>
              </w:rPr>
            </w:pPr>
            <w:r>
              <w:rPr>
                <w:rFonts w:ascii="Times New Roman" w:hAnsi="Times New Roman" w:eastAsia="宋体" w:cs="Times New Roman"/>
                <w:b/>
                <w:kern w:val="0"/>
                <w:sz w:val="24"/>
                <w:szCs w:val="24"/>
              </w:rPr>
              <w:t>表7-17 卫生防护距离计算参数及计算结果</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autofit"/>
              <w:tblCellMar>
                <w:top w:w="0" w:type="dxa"/>
                <w:left w:w="108" w:type="dxa"/>
                <w:bottom w:w="0" w:type="dxa"/>
                <w:right w:w="108" w:type="dxa"/>
              </w:tblCellMar>
            </w:tblPr>
            <w:tblGrid>
              <w:gridCol w:w="1169"/>
              <w:gridCol w:w="1148"/>
              <w:gridCol w:w="1093"/>
              <w:gridCol w:w="1342"/>
              <w:gridCol w:w="1141"/>
              <w:gridCol w:w="1425"/>
              <w:gridCol w:w="964"/>
            </w:tblGrid>
            <w:tr w14:paraId="350F19D3">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922" w:hRule="atLeast"/>
                <w:tblHeader/>
              </w:trPr>
              <w:tc>
                <w:tcPr>
                  <w:tcW w:w="706" w:type="pct"/>
                  <w:vAlign w:val="center"/>
                </w:tcPr>
                <w:p w14:paraId="38DF04F0">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污染源</w:t>
                  </w:r>
                </w:p>
              </w:tc>
              <w:tc>
                <w:tcPr>
                  <w:tcW w:w="693" w:type="pct"/>
                  <w:vAlign w:val="center"/>
                </w:tcPr>
                <w:p w14:paraId="5ECD32E4">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污染物</w:t>
                  </w:r>
                </w:p>
              </w:tc>
              <w:tc>
                <w:tcPr>
                  <w:tcW w:w="660" w:type="pct"/>
                  <w:vAlign w:val="center"/>
                </w:tcPr>
                <w:p w14:paraId="01264E84">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污染物排放速率kg/h</w:t>
                  </w:r>
                </w:p>
              </w:tc>
              <w:tc>
                <w:tcPr>
                  <w:tcW w:w="810" w:type="pct"/>
                  <w:vAlign w:val="center"/>
                </w:tcPr>
                <w:p w14:paraId="359ED0D5">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生产单元占地面积m</w:t>
                  </w:r>
                  <w:r>
                    <w:rPr>
                      <w:rFonts w:ascii="Times New Roman" w:hAnsi="Times New Roman" w:eastAsia="宋体" w:cs="Times New Roman"/>
                      <w:b/>
                      <w:bCs/>
                      <w:snapToGrid w:val="0"/>
                      <w:szCs w:val="24"/>
                      <w:vertAlign w:val="superscript"/>
                    </w:rPr>
                    <w:t>2</w:t>
                  </w:r>
                </w:p>
              </w:tc>
              <w:tc>
                <w:tcPr>
                  <w:tcW w:w="689" w:type="pct"/>
                  <w:vAlign w:val="center"/>
                </w:tcPr>
                <w:p w14:paraId="28BE3BAC">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标准浓度限值</w:t>
                  </w:r>
                  <w:r>
                    <w:rPr>
                      <w:rFonts w:hint="eastAsia" w:ascii="Times New Roman" w:hAnsi="Times New Roman" w:eastAsia="宋体" w:cs="Times New Roman"/>
                      <w:b/>
                      <w:bCs/>
                      <w:snapToGrid w:val="0"/>
                      <w:szCs w:val="24"/>
                      <w:lang w:eastAsia="zh-CN"/>
                    </w:rPr>
                    <w:t>μg/m3</w:t>
                  </w:r>
                </w:p>
              </w:tc>
              <w:tc>
                <w:tcPr>
                  <w:tcW w:w="860" w:type="pct"/>
                  <w:vAlign w:val="center"/>
                </w:tcPr>
                <w:p w14:paraId="2503EE95">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防护距离计算结果（m）</w:t>
                  </w:r>
                </w:p>
              </w:tc>
              <w:tc>
                <w:tcPr>
                  <w:tcW w:w="582" w:type="pct"/>
                  <w:vAlign w:val="center"/>
                </w:tcPr>
                <w:p w14:paraId="22E48D57">
                  <w:pPr>
                    <w:adjustRightInd w:val="0"/>
                    <w:snapToGrid w:val="0"/>
                    <w:jc w:val="center"/>
                    <w:rPr>
                      <w:rFonts w:ascii="Times New Roman" w:hAnsi="Times New Roman" w:eastAsia="宋体" w:cs="Times New Roman"/>
                      <w:b/>
                      <w:bCs/>
                      <w:snapToGrid w:val="0"/>
                      <w:szCs w:val="24"/>
                    </w:rPr>
                  </w:pPr>
                  <w:r>
                    <w:rPr>
                      <w:rFonts w:ascii="Times New Roman" w:hAnsi="Times New Roman" w:eastAsia="宋体" w:cs="Times New Roman"/>
                      <w:b/>
                      <w:bCs/>
                      <w:snapToGrid w:val="0"/>
                      <w:szCs w:val="24"/>
                    </w:rPr>
                    <w:t>卫生防护距离</w:t>
                  </w:r>
                </w:p>
              </w:tc>
            </w:tr>
            <w:tr w14:paraId="69802D02">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98" w:hRule="atLeast"/>
              </w:trPr>
              <w:tc>
                <w:tcPr>
                  <w:tcW w:w="706" w:type="pct"/>
                  <w:vAlign w:val="center"/>
                </w:tcPr>
                <w:p w14:paraId="1F5E779D">
                  <w:pPr>
                    <w:adjustRightInd w:val="0"/>
                    <w:snapToGrid w:val="0"/>
                    <w:jc w:val="center"/>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加工区</w:t>
                  </w:r>
                </w:p>
              </w:tc>
              <w:tc>
                <w:tcPr>
                  <w:tcW w:w="693" w:type="pct"/>
                  <w:vAlign w:val="center"/>
                </w:tcPr>
                <w:p w14:paraId="061F9236">
                  <w:pPr>
                    <w:adjustRightInd w:val="0"/>
                    <w:snapToGrid w:val="0"/>
                    <w:jc w:val="center"/>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颗粒物</w:t>
                  </w:r>
                </w:p>
              </w:tc>
              <w:tc>
                <w:tcPr>
                  <w:tcW w:w="660" w:type="pct"/>
                  <w:vAlign w:val="center"/>
                </w:tcPr>
                <w:p w14:paraId="0438E2BC">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1"/>
                    </w:rPr>
                    <w:t>0.083</w:t>
                  </w:r>
                </w:p>
              </w:tc>
              <w:tc>
                <w:tcPr>
                  <w:tcW w:w="810" w:type="pct"/>
                  <w:vAlign w:val="center"/>
                </w:tcPr>
                <w:p w14:paraId="155EF3DB">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400</w:t>
                  </w:r>
                </w:p>
              </w:tc>
              <w:tc>
                <w:tcPr>
                  <w:tcW w:w="689" w:type="pct"/>
                  <w:vAlign w:val="center"/>
                </w:tcPr>
                <w:p w14:paraId="76BDDCD1">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900</w:t>
                  </w:r>
                </w:p>
              </w:tc>
              <w:tc>
                <w:tcPr>
                  <w:tcW w:w="860" w:type="pct"/>
                  <w:vAlign w:val="center"/>
                </w:tcPr>
                <w:p w14:paraId="6CCD29F8">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10.921</w:t>
                  </w:r>
                </w:p>
              </w:tc>
              <w:tc>
                <w:tcPr>
                  <w:tcW w:w="582" w:type="pct"/>
                  <w:vAlign w:val="center"/>
                </w:tcPr>
                <w:p w14:paraId="15D00C9A">
                  <w:pPr>
                    <w:adjustRightInd w:val="0"/>
                    <w:snapToGrid w:val="0"/>
                    <w:jc w:val="center"/>
                    <w:rPr>
                      <w:rFonts w:ascii="Times New Roman" w:hAnsi="Times New Roman" w:eastAsia="宋体" w:cs="Times New Roman"/>
                      <w:snapToGrid w:val="0"/>
                      <w:szCs w:val="24"/>
                    </w:rPr>
                  </w:pPr>
                  <w:r>
                    <w:rPr>
                      <w:rFonts w:ascii="Times New Roman" w:hAnsi="Times New Roman" w:eastAsia="宋体" w:cs="Times New Roman"/>
                      <w:snapToGrid w:val="0"/>
                      <w:szCs w:val="24"/>
                    </w:rPr>
                    <w:t>50m</w:t>
                  </w:r>
                </w:p>
              </w:tc>
            </w:tr>
          </w:tbl>
          <w:p w14:paraId="754BA759">
            <w:pPr>
              <w:adjustRightInd w:val="0"/>
              <w:snapToGrid w:val="0"/>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结合本项目外环境关系可知，本项目卫生防护距离内无住户，环评要求：本项目卫生防护距离内今后禁止新建农户、医院、学校等民用设施，周边</w:t>
            </w:r>
            <w:r>
              <w:rPr>
                <w:rFonts w:ascii="Times New Roman" w:hAnsi="Times New Roman" w:eastAsia="宋体" w:cs="Times New Roman"/>
                <w:sz w:val="24"/>
              </w:rPr>
              <w:t>50</w:t>
            </w:r>
            <w:r>
              <w:rPr>
                <w:rFonts w:hint="eastAsia" w:ascii="Times New Roman" w:hAnsi="Times New Roman" w:eastAsia="宋体" w:cs="Times New Roman"/>
                <w:sz w:val="24"/>
              </w:rPr>
              <w:t>m范围内，今后禁止规划为“城市和城镇居民区，包括文教科研区、医疗区、商业区、工业区、游览区等人口集中”等禁建设施。建设单位应切实做好环境管理、加强与农户的沟通，尽可能减少无组织颗粒物对周边农户的影响。</w:t>
            </w:r>
          </w:p>
          <w:p w14:paraId="72600AAC">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综上所述，本项目采取以上治理措施后，大气污染物可实现达标排放，对区域大气环境影响较小。</w:t>
            </w:r>
          </w:p>
          <w:p w14:paraId="698666BD">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2、营运期水环境影响分析</w:t>
            </w:r>
          </w:p>
          <w:p w14:paraId="64203D0B">
            <w:pPr>
              <w:adjustRightInd w:val="0"/>
              <w:snapToGrid w:val="0"/>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（1）地表水环境影响分析</w:t>
            </w:r>
          </w:p>
          <w:p w14:paraId="43D2CDC6">
            <w:pPr>
              <w:tabs>
                <w:tab w:val="left" w:pos="5670"/>
              </w:tabs>
              <w:spacing w:line="480" w:lineRule="exact"/>
              <w:ind w:firstLine="480" w:firstLineChars="200"/>
              <w:rPr>
                <w:rFonts w:ascii="Times New Roman" w:hAnsi="Times New Roman" w:eastAsia="宋体" w:cs="Times New Roman"/>
                <w:bCs/>
                <w:sz w:val="24"/>
              </w:rPr>
            </w:pPr>
            <w:r>
              <w:rPr>
                <w:rFonts w:hint="eastAsia" w:ascii="Times New Roman" w:hAnsi="Times New Roman" w:eastAsia="宋体" w:cs="Times New Roman"/>
                <w:bCs/>
                <w:sz w:val="24"/>
              </w:rPr>
              <w:t>本项目运营期的废水主要有生产废水和生活污水。</w:t>
            </w:r>
          </w:p>
          <w:p w14:paraId="092D0BA9">
            <w:pPr>
              <w:tabs>
                <w:tab w:val="left" w:pos="5670"/>
              </w:tabs>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项目运营期厂区内实行</w:t>
            </w:r>
            <w:r>
              <w:rPr>
                <w:rFonts w:hint="eastAsia" w:ascii="Times New Roman" w:hAnsi="Times New Roman" w:eastAsia="宋体" w:cs="Times New Roman"/>
                <w:bCs/>
                <w:sz w:val="24"/>
              </w:rPr>
              <w:t>“</w:t>
            </w:r>
            <w:r>
              <w:rPr>
                <w:rFonts w:ascii="Times New Roman" w:hAnsi="Times New Roman" w:eastAsia="宋体" w:cs="Times New Roman"/>
                <w:bCs/>
                <w:sz w:val="24"/>
              </w:rPr>
              <w:t>清污分流、雨污分流</w:t>
            </w:r>
            <w:r>
              <w:rPr>
                <w:rFonts w:hint="eastAsia" w:ascii="Times New Roman" w:hAnsi="Times New Roman" w:eastAsia="宋体" w:cs="Times New Roman"/>
                <w:bCs/>
                <w:sz w:val="24"/>
              </w:rPr>
              <w:t>”</w:t>
            </w:r>
            <w:r>
              <w:rPr>
                <w:rFonts w:ascii="Times New Roman" w:hAnsi="Times New Roman" w:eastAsia="宋体" w:cs="Times New Roman"/>
                <w:bCs/>
                <w:sz w:val="24"/>
              </w:rPr>
              <w:t>制，雨水</w:t>
            </w:r>
            <w:r>
              <w:rPr>
                <w:rFonts w:hint="eastAsia" w:ascii="Times New Roman" w:hAnsi="Times New Roman" w:eastAsia="宋体" w:cs="Times New Roman"/>
                <w:bCs/>
                <w:sz w:val="24"/>
              </w:rPr>
              <w:t>经</w:t>
            </w:r>
            <w:r>
              <w:rPr>
                <w:rFonts w:ascii="Times New Roman" w:hAnsi="Times New Roman" w:eastAsia="宋体" w:cs="Times New Roman"/>
                <w:sz w:val="24"/>
              </w:rPr>
              <w:t>场地四周设置截排水沟</w:t>
            </w:r>
            <w:r>
              <w:rPr>
                <w:rFonts w:hint="eastAsia" w:ascii="Times New Roman" w:hAnsi="Times New Roman" w:eastAsia="宋体" w:cs="Times New Roman"/>
                <w:sz w:val="24"/>
              </w:rPr>
              <w:t>收集</w:t>
            </w:r>
            <w:r>
              <w:rPr>
                <w:rFonts w:ascii="Times New Roman" w:hAnsi="Times New Roman" w:eastAsia="宋体" w:cs="Times New Roman"/>
                <w:sz w:val="24"/>
              </w:rPr>
              <w:t>，将雨水导排至</w:t>
            </w:r>
            <w:r>
              <w:rPr>
                <w:rFonts w:hint="eastAsia" w:ascii="Times New Roman" w:hAnsi="Times New Roman" w:eastAsia="宋体" w:cs="Times New Roman"/>
                <w:sz w:val="24"/>
              </w:rPr>
              <w:t>中部西侧</w:t>
            </w:r>
            <w:r>
              <w:rPr>
                <w:rFonts w:ascii="Times New Roman" w:hAnsi="Times New Roman" w:eastAsia="宋体" w:cs="Times New Roman"/>
                <w:sz w:val="24"/>
              </w:rPr>
              <w:t>低洼处沉淀水池，</w:t>
            </w:r>
            <w:r>
              <w:rPr>
                <w:rFonts w:hint="eastAsia" w:ascii="Times New Roman" w:hAnsi="Times New Roman" w:eastAsia="宋体" w:cs="Times New Roman"/>
                <w:sz w:val="24"/>
              </w:rPr>
              <w:t>经三级雨水沉淀池沉淀处理后外排</w:t>
            </w:r>
            <w:r>
              <w:rPr>
                <w:rFonts w:ascii="Times New Roman" w:hAnsi="Times New Roman" w:eastAsia="宋体" w:cs="Times New Roman"/>
                <w:bCs/>
                <w:sz w:val="24"/>
              </w:rPr>
              <w:t>；</w:t>
            </w:r>
            <w:r>
              <w:rPr>
                <w:rFonts w:ascii="Times New Roman" w:hAnsi="Times New Roman" w:eastAsia="宋体" w:cs="Times New Roman"/>
                <w:sz w:val="24"/>
              </w:rPr>
              <w:t>项目生产废水</w:t>
            </w:r>
            <w:r>
              <w:rPr>
                <w:rFonts w:ascii="Times New Roman" w:hAnsi="Times New Roman" w:eastAsia="宋体" w:cs="Times New Roman"/>
                <w:bCs/>
                <w:sz w:val="24"/>
              </w:rPr>
              <w:t>轮胎冲洗水自然蒸发</w:t>
            </w:r>
            <w:r>
              <w:rPr>
                <w:rFonts w:hint="eastAsia" w:ascii="Times New Roman" w:hAnsi="Times New Roman" w:eastAsia="宋体" w:cs="Times New Roman"/>
                <w:bCs/>
                <w:sz w:val="24"/>
              </w:rPr>
              <w:t>，</w:t>
            </w:r>
            <w:r>
              <w:rPr>
                <w:rFonts w:ascii="Times New Roman" w:hAnsi="Times New Roman" w:eastAsia="宋体" w:cs="Times New Roman"/>
                <w:bCs/>
                <w:sz w:val="24"/>
              </w:rPr>
              <w:t>不外排；</w:t>
            </w:r>
            <w:r>
              <w:rPr>
                <w:rFonts w:hint="eastAsia" w:ascii="Times New Roman" w:hAnsi="Times New Roman" w:eastAsia="宋体" w:cs="Times New Roman"/>
                <w:sz w:val="24"/>
              </w:rPr>
              <w:t>项目喷雾降尘水汇入产品或自然蒸发，不外排；项目湿法作业生产废水通过管道收集后输送至循环沉淀池处理后回用生产，不外排；</w:t>
            </w:r>
            <w:r>
              <w:rPr>
                <w:rFonts w:ascii="Times New Roman" w:hAnsi="Times New Roman" w:eastAsia="宋体" w:cs="Times New Roman"/>
                <w:sz w:val="24"/>
              </w:rPr>
              <w:t>项目生活污水，其排水量为0.192m</w:t>
            </w:r>
            <w:r>
              <w:rPr>
                <w:rFonts w:ascii="Times New Roman" w:hAnsi="Times New Roman" w:eastAsia="宋体" w:cs="Times New Roman"/>
                <w:sz w:val="24"/>
                <w:vertAlign w:val="superscript"/>
              </w:rPr>
              <w:t>3</w:t>
            </w:r>
            <w:r>
              <w:rPr>
                <w:rFonts w:ascii="Times New Roman" w:hAnsi="Times New Roman" w:eastAsia="宋体" w:cs="Times New Roman"/>
                <w:sz w:val="24"/>
              </w:rPr>
              <w:t>/d，生活废水</w:t>
            </w:r>
            <w:r>
              <w:rPr>
                <w:rFonts w:hint="eastAsia" w:ascii="Times New Roman" w:hAnsi="Times New Roman" w:eastAsia="宋体" w:cs="Times New Roman"/>
                <w:sz w:val="24"/>
              </w:rPr>
              <w:t>利用二级生化处理设施</w:t>
            </w:r>
            <w:r>
              <w:rPr>
                <w:rFonts w:ascii="Times New Roman" w:hAnsi="Times New Roman" w:eastAsia="宋体" w:cs="Times New Roman"/>
                <w:sz w:val="24"/>
              </w:rPr>
              <w:t>进行收集处理后用于</w:t>
            </w:r>
            <w:r>
              <w:rPr>
                <w:rFonts w:ascii="Times New Roman" w:hAnsi="Times New Roman" w:eastAsia="宋体" w:cs="Times New Roman"/>
                <w:bCs/>
                <w:sz w:val="24"/>
              </w:rPr>
              <w:t>周边农灌，不外排。项目周边有大片农田，完全可消纳这部分废水。</w:t>
            </w:r>
          </w:p>
          <w:p w14:paraId="202506FF">
            <w:pPr>
              <w:tabs>
                <w:tab w:val="left" w:pos="5670"/>
              </w:tabs>
              <w:spacing w:line="480" w:lineRule="exact"/>
              <w:ind w:firstLine="480" w:firstLineChars="200"/>
              <w:rPr>
                <w:rFonts w:ascii="Times New Roman" w:hAnsi="Times New Roman" w:eastAsia="宋体" w:cs="Times New Roman"/>
                <w:sz w:val="24"/>
              </w:rPr>
            </w:pPr>
            <w:r>
              <w:rPr>
                <w:rFonts w:hint="eastAsia" w:ascii="宋体" w:hAnsi="宋体" w:eastAsia="宋体" w:cs="宋体"/>
                <w:sz w:val="24"/>
              </w:rPr>
              <w:t>①</w:t>
            </w:r>
            <w:r>
              <w:rPr>
                <w:rFonts w:ascii="Times New Roman" w:hAnsi="Times New Roman" w:eastAsia="宋体" w:cs="Times New Roman"/>
                <w:sz w:val="24"/>
              </w:rPr>
              <w:t>评价等级</w:t>
            </w:r>
          </w:p>
          <w:p w14:paraId="478A2BBE">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根据《环境影响评价技术导则地表水环境》（HJ 2.3-2018），项目属于水污染影响型建设项目。水污染影响型建设项目根据排放方式和废水排放量划分评价等级，见下表：</w:t>
            </w:r>
          </w:p>
          <w:p w14:paraId="1ABD0054">
            <w:pPr>
              <w:spacing w:line="360" w:lineRule="auto"/>
              <w:jc w:val="center"/>
              <w:rPr>
                <w:rFonts w:ascii="Times New Roman" w:hAnsi="Times New Roman" w:eastAsia="宋体" w:cs="Times New Roman"/>
                <w:bCs/>
                <w:sz w:val="24"/>
              </w:rPr>
            </w:pPr>
            <w:r>
              <w:rPr>
                <w:rFonts w:ascii="Times New Roman" w:hAnsi="Times New Roman" w:eastAsia="宋体" w:cs="Times New Roman"/>
                <w:bCs/>
                <w:sz w:val="24"/>
              </w:rPr>
              <w:t>表7-18  水污染影响型建设项目评价等级判定</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555"/>
              <w:gridCol w:w="3175"/>
              <w:gridCol w:w="3552"/>
            </w:tblGrid>
            <w:tr w14:paraId="2A82140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939" w:type="pct"/>
                  <w:vMerge w:val="restart"/>
                  <w:vAlign w:val="center"/>
                </w:tcPr>
                <w:p w14:paraId="5FC243FF">
                  <w:pPr>
                    <w:snapToGrid w:val="0"/>
                    <w:jc w:val="center"/>
                    <w:rPr>
                      <w:rFonts w:ascii="Times New Roman" w:hAnsi="Times New Roman" w:eastAsia="宋体" w:cs="Times New Roman"/>
                      <w:b/>
                      <w:bCs/>
                      <w:spacing w:val="-2"/>
                    </w:rPr>
                  </w:pPr>
                  <w:r>
                    <w:rPr>
                      <w:rFonts w:ascii="Times New Roman" w:hAnsi="Times New Roman" w:eastAsia="宋体" w:cs="Times New Roman"/>
                      <w:b/>
                      <w:bCs/>
                      <w:spacing w:val="-2"/>
                    </w:rPr>
                    <w:t>评价等级</w:t>
                  </w:r>
                </w:p>
              </w:tc>
              <w:tc>
                <w:tcPr>
                  <w:tcW w:w="4061" w:type="pct"/>
                  <w:gridSpan w:val="2"/>
                  <w:vAlign w:val="center"/>
                </w:tcPr>
                <w:p w14:paraId="3AB7714B">
                  <w:pPr>
                    <w:snapToGrid w:val="0"/>
                    <w:jc w:val="center"/>
                    <w:rPr>
                      <w:rFonts w:ascii="Times New Roman" w:hAnsi="Times New Roman" w:eastAsia="宋体" w:cs="Times New Roman"/>
                      <w:b/>
                      <w:bCs/>
                      <w:spacing w:val="-2"/>
                    </w:rPr>
                  </w:pPr>
                  <w:r>
                    <w:rPr>
                      <w:rFonts w:ascii="Times New Roman" w:hAnsi="Times New Roman" w:eastAsia="宋体" w:cs="Times New Roman"/>
                      <w:b/>
                      <w:bCs/>
                      <w:spacing w:val="-2"/>
                    </w:rPr>
                    <w:t>判定依据</w:t>
                  </w:r>
                </w:p>
              </w:tc>
            </w:tr>
            <w:tr w14:paraId="446495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939" w:type="pct"/>
                  <w:vMerge w:val="continue"/>
                  <w:vAlign w:val="center"/>
                </w:tcPr>
                <w:p w14:paraId="5B480D57">
                  <w:pPr>
                    <w:snapToGrid w:val="0"/>
                    <w:jc w:val="center"/>
                    <w:rPr>
                      <w:rFonts w:ascii="Times New Roman" w:hAnsi="Times New Roman" w:eastAsia="宋体" w:cs="Times New Roman"/>
                      <w:b/>
                      <w:bCs/>
                      <w:spacing w:val="-2"/>
                    </w:rPr>
                  </w:pPr>
                </w:p>
              </w:tc>
              <w:tc>
                <w:tcPr>
                  <w:tcW w:w="1917" w:type="pct"/>
                  <w:vAlign w:val="center"/>
                </w:tcPr>
                <w:p w14:paraId="76349B8B">
                  <w:pPr>
                    <w:snapToGrid w:val="0"/>
                    <w:jc w:val="center"/>
                    <w:rPr>
                      <w:rFonts w:ascii="Times New Roman" w:hAnsi="Times New Roman" w:eastAsia="宋体" w:cs="Times New Roman"/>
                      <w:b/>
                      <w:bCs/>
                      <w:spacing w:val="-2"/>
                    </w:rPr>
                  </w:pPr>
                  <w:r>
                    <w:rPr>
                      <w:rFonts w:ascii="Times New Roman" w:hAnsi="Times New Roman" w:eastAsia="宋体" w:cs="Times New Roman"/>
                      <w:b/>
                      <w:bCs/>
                      <w:spacing w:val="-2"/>
                    </w:rPr>
                    <w:t>排放方式</w:t>
                  </w:r>
                </w:p>
              </w:tc>
              <w:tc>
                <w:tcPr>
                  <w:tcW w:w="2144" w:type="pct"/>
                  <w:vAlign w:val="center"/>
                </w:tcPr>
                <w:p w14:paraId="5B4014A3">
                  <w:pPr>
                    <w:snapToGrid w:val="0"/>
                    <w:jc w:val="center"/>
                    <w:rPr>
                      <w:rFonts w:ascii="Times New Roman" w:hAnsi="Times New Roman" w:eastAsia="宋体" w:cs="Times New Roman"/>
                      <w:b/>
                      <w:bCs/>
                      <w:spacing w:val="-2"/>
                    </w:rPr>
                  </w:pPr>
                  <w:r>
                    <w:rPr>
                      <w:rFonts w:ascii="Times New Roman" w:hAnsi="Times New Roman" w:eastAsia="宋体" w:cs="Times New Roman"/>
                      <w:b/>
                      <w:bCs/>
                      <w:spacing w:val="-2"/>
                    </w:rPr>
                    <w:t>废水排放量Q/（m</w:t>
                  </w:r>
                  <w:r>
                    <w:rPr>
                      <w:rFonts w:ascii="Times New Roman" w:hAnsi="Times New Roman" w:eastAsia="宋体" w:cs="Times New Roman"/>
                      <w:b/>
                      <w:bCs/>
                      <w:spacing w:val="-2"/>
                      <w:vertAlign w:val="superscript"/>
                    </w:rPr>
                    <w:t>3</w:t>
                  </w:r>
                  <w:r>
                    <w:rPr>
                      <w:rFonts w:ascii="Times New Roman" w:hAnsi="Times New Roman" w:eastAsia="宋体" w:cs="Times New Roman"/>
                      <w:b/>
                      <w:bCs/>
                      <w:spacing w:val="-2"/>
                    </w:rPr>
                    <w:t>/d）；水污染物当量数W/（无量纲）</w:t>
                  </w:r>
                </w:p>
              </w:tc>
            </w:tr>
            <w:tr w14:paraId="5D959C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939" w:type="pct"/>
                  <w:vAlign w:val="center"/>
                </w:tcPr>
                <w:p w14:paraId="61D55722">
                  <w:pPr>
                    <w:snapToGrid w:val="0"/>
                    <w:jc w:val="center"/>
                    <w:rPr>
                      <w:rFonts w:ascii="Times New Roman" w:hAnsi="Times New Roman" w:eastAsia="宋体" w:cs="Times New Roman"/>
                      <w:spacing w:val="-2"/>
                    </w:rPr>
                  </w:pPr>
                  <w:r>
                    <w:rPr>
                      <w:rFonts w:ascii="Times New Roman" w:hAnsi="Times New Roman" w:eastAsia="宋体" w:cs="Times New Roman"/>
                      <w:spacing w:val="-2"/>
                    </w:rPr>
                    <w:t>一级</w:t>
                  </w:r>
                </w:p>
              </w:tc>
              <w:tc>
                <w:tcPr>
                  <w:tcW w:w="1917" w:type="pct"/>
                  <w:vAlign w:val="center"/>
                </w:tcPr>
                <w:p w14:paraId="507CA11F">
                  <w:pPr>
                    <w:snapToGrid w:val="0"/>
                    <w:jc w:val="center"/>
                    <w:rPr>
                      <w:rFonts w:ascii="Times New Roman" w:hAnsi="Times New Roman" w:eastAsia="宋体" w:cs="Times New Roman"/>
                      <w:spacing w:val="-2"/>
                    </w:rPr>
                  </w:pPr>
                  <w:r>
                    <w:rPr>
                      <w:rFonts w:ascii="Times New Roman" w:hAnsi="Times New Roman" w:eastAsia="宋体" w:cs="Times New Roman"/>
                      <w:spacing w:val="-2"/>
                    </w:rPr>
                    <w:t>直接排放</w:t>
                  </w:r>
                </w:p>
              </w:tc>
              <w:tc>
                <w:tcPr>
                  <w:tcW w:w="2144" w:type="pct"/>
                  <w:vAlign w:val="center"/>
                </w:tcPr>
                <w:p w14:paraId="583E0012">
                  <w:pPr>
                    <w:snapToGrid w:val="0"/>
                    <w:jc w:val="center"/>
                    <w:rPr>
                      <w:rFonts w:ascii="Times New Roman" w:hAnsi="Times New Roman" w:eastAsia="宋体" w:cs="Times New Roman"/>
                      <w:spacing w:val="-2"/>
                    </w:rPr>
                  </w:pPr>
                  <w:r>
                    <w:rPr>
                      <w:rFonts w:ascii="Times New Roman" w:hAnsi="Times New Roman" w:eastAsia="宋体" w:cs="Times New Roman"/>
                      <w:spacing w:val="-2"/>
                    </w:rPr>
                    <w:t>Q≥20000或W≥600000</w:t>
                  </w:r>
                </w:p>
              </w:tc>
            </w:tr>
            <w:tr w14:paraId="04B94B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939" w:type="pct"/>
                  <w:vAlign w:val="center"/>
                </w:tcPr>
                <w:p w14:paraId="4F989B7E">
                  <w:pPr>
                    <w:snapToGrid w:val="0"/>
                    <w:jc w:val="center"/>
                    <w:rPr>
                      <w:rFonts w:ascii="Times New Roman" w:hAnsi="Times New Roman" w:eastAsia="宋体" w:cs="Times New Roman"/>
                      <w:spacing w:val="-2"/>
                    </w:rPr>
                  </w:pPr>
                  <w:r>
                    <w:rPr>
                      <w:rFonts w:ascii="Times New Roman" w:hAnsi="Times New Roman" w:eastAsia="宋体" w:cs="Times New Roman"/>
                      <w:spacing w:val="-2"/>
                    </w:rPr>
                    <w:t>二级</w:t>
                  </w:r>
                </w:p>
              </w:tc>
              <w:tc>
                <w:tcPr>
                  <w:tcW w:w="1917" w:type="pct"/>
                  <w:vAlign w:val="center"/>
                </w:tcPr>
                <w:p w14:paraId="2C9212DB">
                  <w:pPr>
                    <w:snapToGrid w:val="0"/>
                    <w:jc w:val="center"/>
                    <w:rPr>
                      <w:rFonts w:ascii="Times New Roman" w:hAnsi="Times New Roman" w:eastAsia="宋体" w:cs="Times New Roman"/>
                      <w:spacing w:val="-2"/>
                    </w:rPr>
                  </w:pPr>
                  <w:r>
                    <w:rPr>
                      <w:rFonts w:ascii="Times New Roman" w:hAnsi="Times New Roman" w:eastAsia="宋体" w:cs="Times New Roman"/>
                      <w:spacing w:val="-2"/>
                    </w:rPr>
                    <w:t>直接排放</w:t>
                  </w:r>
                </w:p>
              </w:tc>
              <w:tc>
                <w:tcPr>
                  <w:tcW w:w="2144" w:type="pct"/>
                  <w:vAlign w:val="center"/>
                </w:tcPr>
                <w:p w14:paraId="7AEA2C7A">
                  <w:pPr>
                    <w:snapToGrid w:val="0"/>
                    <w:jc w:val="center"/>
                    <w:rPr>
                      <w:rFonts w:ascii="Times New Roman" w:hAnsi="Times New Roman" w:eastAsia="宋体" w:cs="Times New Roman"/>
                      <w:spacing w:val="-2"/>
                    </w:rPr>
                  </w:pPr>
                  <w:r>
                    <w:rPr>
                      <w:rFonts w:ascii="Times New Roman" w:hAnsi="Times New Roman" w:eastAsia="宋体" w:cs="Times New Roman"/>
                      <w:spacing w:val="-2"/>
                    </w:rPr>
                    <w:t>其他</w:t>
                  </w:r>
                </w:p>
              </w:tc>
            </w:tr>
            <w:tr w14:paraId="347D82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939" w:type="pct"/>
                  <w:vAlign w:val="center"/>
                </w:tcPr>
                <w:p w14:paraId="53838F0B">
                  <w:pPr>
                    <w:snapToGrid w:val="0"/>
                    <w:jc w:val="center"/>
                    <w:rPr>
                      <w:rFonts w:ascii="Times New Roman" w:hAnsi="Times New Roman" w:eastAsia="宋体" w:cs="Times New Roman"/>
                      <w:spacing w:val="-2"/>
                    </w:rPr>
                  </w:pPr>
                  <w:r>
                    <w:rPr>
                      <w:rFonts w:ascii="Times New Roman" w:hAnsi="Times New Roman" w:eastAsia="宋体" w:cs="Times New Roman"/>
                      <w:spacing w:val="-2"/>
                    </w:rPr>
                    <w:t>三级A</w:t>
                  </w:r>
                </w:p>
              </w:tc>
              <w:tc>
                <w:tcPr>
                  <w:tcW w:w="1917" w:type="pct"/>
                  <w:vAlign w:val="center"/>
                </w:tcPr>
                <w:p w14:paraId="79138E55">
                  <w:pPr>
                    <w:snapToGrid w:val="0"/>
                    <w:jc w:val="center"/>
                    <w:rPr>
                      <w:rFonts w:ascii="Times New Roman" w:hAnsi="Times New Roman" w:eastAsia="宋体" w:cs="Times New Roman"/>
                      <w:spacing w:val="-2"/>
                    </w:rPr>
                  </w:pPr>
                  <w:r>
                    <w:rPr>
                      <w:rFonts w:ascii="Times New Roman" w:hAnsi="Times New Roman" w:eastAsia="宋体" w:cs="Times New Roman"/>
                      <w:spacing w:val="-2"/>
                    </w:rPr>
                    <w:t>直接排放</w:t>
                  </w:r>
                </w:p>
              </w:tc>
              <w:tc>
                <w:tcPr>
                  <w:tcW w:w="2144" w:type="pct"/>
                  <w:vAlign w:val="center"/>
                </w:tcPr>
                <w:p w14:paraId="7E483DF3">
                  <w:pPr>
                    <w:snapToGrid w:val="0"/>
                    <w:jc w:val="center"/>
                    <w:rPr>
                      <w:rFonts w:ascii="Times New Roman" w:hAnsi="Times New Roman" w:eastAsia="宋体" w:cs="Times New Roman"/>
                      <w:spacing w:val="-2"/>
                    </w:rPr>
                  </w:pPr>
                  <w:r>
                    <w:rPr>
                      <w:rFonts w:ascii="Times New Roman" w:hAnsi="Times New Roman" w:eastAsia="宋体" w:cs="Times New Roman"/>
                      <w:spacing w:val="-2"/>
                    </w:rPr>
                    <w:t>Q＜200且W＜6000</w:t>
                  </w:r>
                </w:p>
              </w:tc>
            </w:tr>
            <w:tr w14:paraId="79E1BF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939" w:type="pct"/>
                  <w:vAlign w:val="center"/>
                </w:tcPr>
                <w:p w14:paraId="4E118424">
                  <w:pPr>
                    <w:snapToGrid w:val="0"/>
                    <w:jc w:val="center"/>
                    <w:rPr>
                      <w:rFonts w:ascii="Times New Roman" w:hAnsi="Times New Roman" w:eastAsia="宋体" w:cs="Times New Roman"/>
                      <w:spacing w:val="-2"/>
                    </w:rPr>
                  </w:pPr>
                  <w:r>
                    <w:rPr>
                      <w:rFonts w:ascii="Times New Roman" w:hAnsi="Times New Roman" w:eastAsia="宋体" w:cs="Times New Roman"/>
                      <w:spacing w:val="-2"/>
                    </w:rPr>
                    <w:t>三级B</w:t>
                  </w:r>
                </w:p>
              </w:tc>
              <w:tc>
                <w:tcPr>
                  <w:tcW w:w="1917" w:type="pct"/>
                  <w:vAlign w:val="center"/>
                </w:tcPr>
                <w:p w14:paraId="11073398">
                  <w:pPr>
                    <w:snapToGrid w:val="0"/>
                    <w:jc w:val="center"/>
                    <w:rPr>
                      <w:rFonts w:ascii="Times New Roman" w:hAnsi="Times New Roman" w:eastAsia="宋体" w:cs="Times New Roman"/>
                      <w:spacing w:val="-2"/>
                    </w:rPr>
                  </w:pPr>
                  <w:r>
                    <w:rPr>
                      <w:rFonts w:ascii="Times New Roman" w:hAnsi="Times New Roman" w:eastAsia="宋体" w:cs="Times New Roman"/>
                      <w:spacing w:val="-2"/>
                    </w:rPr>
                    <w:t>间接排放</w:t>
                  </w:r>
                </w:p>
              </w:tc>
              <w:tc>
                <w:tcPr>
                  <w:tcW w:w="2144" w:type="pct"/>
                  <w:vAlign w:val="center"/>
                </w:tcPr>
                <w:p w14:paraId="5C5311E1">
                  <w:pPr>
                    <w:snapToGrid w:val="0"/>
                    <w:jc w:val="center"/>
                    <w:rPr>
                      <w:rFonts w:ascii="Times New Roman" w:hAnsi="Times New Roman" w:eastAsia="宋体" w:cs="Times New Roman"/>
                      <w:spacing w:val="-2"/>
                    </w:rPr>
                  </w:pPr>
                  <w:r>
                    <w:rPr>
                      <w:rFonts w:ascii="Times New Roman" w:hAnsi="Times New Roman" w:eastAsia="宋体" w:cs="Times New Roman"/>
                      <w:spacing w:val="-2"/>
                    </w:rPr>
                    <w:t>—</w:t>
                  </w:r>
                </w:p>
              </w:tc>
            </w:tr>
            <w:tr w14:paraId="788295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5000" w:type="pct"/>
                  <w:gridSpan w:val="3"/>
                  <w:vAlign w:val="center"/>
                </w:tcPr>
                <w:p w14:paraId="6478A403">
                  <w:pPr>
                    <w:snapToGrid w:val="0"/>
                    <w:jc w:val="left"/>
                    <w:rPr>
                      <w:rFonts w:ascii="Times New Roman" w:hAnsi="Times New Roman" w:eastAsia="宋体" w:cs="Times New Roman"/>
                      <w:sz w:val="18"/>
                      <w:szCs w:val="18"/>
                    </w:rPr>
                  </w:pPr>
                  <w:r>
                    <w:rPr>
                      <w:rFonts w:ascii="Times New Roman" w:hAnsi="Times New Roman" w:eastAsia="宋体" w:cs="Times New Roman"/>
                      <w:sz w:val="18"/>
                      <w:szCs w:val="18"/>
                    </w:rPr>
                    <w:t>注1：水污染物当量数等于该污染物的年排放量除以该污染物的污染当量值，计算排放污染物的污染物当量数，应区分第一类水污染物和其他类水污染物，统计第一类污染物当量数总和，然后与其他类污染物按照污染物当量从大到小排序，取最大当量数作为建设项目评价等级确定的依据。</w:t>
                  </w:r>
                </w:p>
                <w:p w14:paraId="0338FFF4">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2：废水排放量按行业排放标准中规定的废水种类统计，没有相关行业排放标准要求的通过工程分析合理确定，应统计含热量大的冷却水的排放量，可不统计间歇冷却水，循环水以及其他含污染物极少的清净下水的排放量。</w:t>
                  </w:r>
                </w:p>
                <w:p w14:paraId="3CBFE698">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注3：厂区存在堆积物（露天堆放的原料，燃料、废渣等以及垃圾堆放场）、降尘污染的，应将初期雨水纳入废水排放量，相应的主要污染物纳入水污染当量计算。</w:t>
                  </w:r>
                </w:p>
                <w:p w14:paraId="28FE1C7B">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注4：建设项目直接排放第一类污染物的，其评价等级为一级；建设项目直接排放的污染物为受纳水体超标因子的，评价等级不低于二级。</w:t>
                  </w:r>
                </w:p>
                <w:p w14:paraId="37975B33">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注5：直接排放受纳水体影响范围涉及饮用水水源保护区、饮用水取水口、重点保护与珍惜水生生物的栖息地、重要水生生物的自然产卵场等保护目标时，评价等级不低于二级。</w:t>
                  </w:r>
                </w:p>
                <w:p w14:paraId="44927610">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注6：建设项目向河流、湖库排放温排水引起收纳水体水文变化超过水环境质量标准要求，且评价范围有水温敏感目标时，评价等级为一级。</w:t>
                  </w:r>
                </w:p>
                <w:p w14:paraId="41C8290A">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注7：建设项目利用海水未做调节温度介质，排水≥500万m</w:t>
                  </w:r>
                  <w:r>
                    <w:rPr>
                      <w:rFonts w:ascii="Times New Roman" w:hAnsi="Times New Roman" w:eastAsia="宋体" w:cs="Times New Roman"/>
                      <w:spacing w:val="-2"/>
                      <w:sz w:val="18"/>
                      <w:szCs w:val="18"/>
                      <w:vertAlign w:val="superscript"/>
                    </w:rPr>
                    <w:t>3</w:t>
                  </w:r>
                  <w:r>
                    <w:rPr>
                      <w:rFonts w:ascii="Times New Roman" w:hAnsi="Times New Roman" w:eastAsia="宋体" w:cs="Times New Roman"/>
                      <w:spacing w:val="-2"/>
                      <w:sz w:val="18"/>
                      <w:szCs w:val="18"/>
                    </w:rPr>
                    <w:t>/d，评价等级为一级排水量﹤500万m</w:t>
                  </w:r>
                  <w:r>
                    <w:rPr>
                      <w:rFonts w:ascii="Times New Roman" w:hAnsi="Times New Roman" w:eastAsia="宋体" w:cs="Times New Roman"/>
                      <w:spacing w:val="-2"/>
                      <w:sz w:val="18"/>
                      <w:szCs w:val="18"/>
                      <w:vertAlign w:val="superscript"/>
                    </w:rPr>
                    <w:t>3</w:t>
                  </w:r>
                  <w:r>
                    <w:rPr>
                      <w:rFonts w:ascii="Times New Roman" w:hAnsi="Times New Roman" w:eastAsia="宋体" w:cs="Times New Roman"/>
                      <w:spacing w:val="-2"/>
                      <w:sz w:val="18"/>
                      <w:szCs w:val="18"/>
                    </w:rPr>
                    <w:t>/d，评价等级为二级。</w:t>
                  </w:r>
                </w:p>
                <w:p w14:paraId="36DB4DAF">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注8：仅涉及清净下水排放的，如其排水水质满足收纳水体水环境质量要求的，评价等级为三级A。</w:t>
                  </w:r>
                </w:p>
                <w:p w14:paraId="163FFF61">
                  <w:pPr>
                    <w:pStyle w:val="171"/>
                    <w:spacing w:line="240" w:lineRule="auto"/>
                    <w:ind w:firstLine="0" w:firstLineChars="0"/>
                    <w:rPr>
                      <w:rFonts w:ascii="Times New Roman" w:hAnsi="Times New Roman" w:eastAsia="宋体" w:cs="Times New Roman"/>
                      <w:spacing w:val="-2"/>
                      <w:sz w:val="18"/>
                      <w:szCs w:val="18"/>
                    </w:rPr>
                  </w:pPr>
                  <w:r>
                    <w:rPr>
                      <w:rFonts w:ascii="Times New Roman" w:hAnsi="Times New Roman" w:eastAsia="宋体" w:cs="Times New Roman"/>
                      <w:spacing w:val="-2"/>
                      <w:sz w:val="18"/>
                      <w:szCs w:val="18"/>
                    </w:rPr>
                    <w:t>注9：依托现有排放口，且对外环境未新增污染物的直接排放建设项目，评价等级参照间接排放，定位三级B。</w:t>
                  </w:r>
                </w:p>
                <w:p w14:paraId="3034E6AF">
                  <w:pPr>
                    <w:pStyle w:val="171"/>
                    <w:spacing w:line="240" w:lineRule="auto"/>
                    <w:ind w:firstLine="0" w:firstLineChars="0"/>
                    <w:rPr>
                      <w:rFonts w:ascii="Times New Roman" w:hAnsi="Times New Roman" w:eastAsia="宋体" w:cs="Times New Roman"/>
                      <w:spacing w:val="-2"/>
                      <w:sz w:val="21"/>
                      <w:szCs w:val="21"/>
                    </w:rPr>
                  </w:pPr>
                  <w:r>
                    <w:rPr>
                      <w:rFonts w:ascii="Times New Roman" w:hAnsi="Times New Roman" w:eastAsia="宋体" w:cs="Times New Roman"/>
                      <w:spacing w:val="-2"/>
                      <w:sz w:val="18"/>
                      <w:szCs w:val="18"/>
                    </w:rPr>
                    <w:t>注10：建设项目生产工艺中有废水产生，但作为回水利用，不排放到外环境的，按三级B评价。</w:t>
                  </w:r>
                </w:p>
              </w:tc>
            </w:tr>
          </w:tbl>
          <w:p w14:paraId="449FC664">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项目生产废水</w:t>
            </w:r>
            <w:r>
              <w:rPr>
                <w:rFonts w:hint="eastAsia" w:ascii="Times New Roman" w:hAnsi="Times New Roman" w:eastAsia="宋体" w:cs="Times New Roman"/>
                <w:sz w:val="24"/>
              </w:rPr>
              <w:t>循环使用、自然蒸发，不外排</w:t>
            </w:r>
            <w:r>
              <w:rPr>
                <w:rFonts w:ascii="Times New Roman" w:hAnsi="Times New Roman" w:eastAsia="宋体" w:cs="Times New Roman"/>
                <w:sz w:val="24"/>
              </w:rPr>
              <w:t>，生活污水回用农灌属于间接排放，按照三级B评价。</w:t>
            </w:r>
          </w:p>
          <w:p w14:paraId="408AB52F">
            <w:pPr>
              <w:tabs>
                <w:tab w:val="left" w:pos="5670"/>
              </w:tabs>
              <w:spacing w:line="480" w:lineRule="exact"/>
              <w:ind w:firstLine="480" w:firstLineChars="200"/>
              <w:rPr>
                <w:rFonts w:ascii="Times New Roman" w:hAnsi="Times New Roman" w:eastAsia="宋体" w:cs="Times New Roman"/>
                <w:sz w:val="24"/>
              </w:rPr>
            </w:pPr>
            <w:r>
              <w:rPr>
                <w:rFonts w:hint="eastAsia" w:ascii="宋体" w:hAnsi="宋体" w:eastAsia="宋体" w:cs="宋体"/>
                <w:sz w:val="24"/>
              </w:rPr>
              <w:t>②</w:t>
            </w:r>
            <w:r>
              <w:rPr>
                <w:rFonts w:ascii="Times New Roman" w:hAnsi="Times New Roman" w:eastAsia="宋体" w:cs="Times New Roman"/>
                <w:sz w:val="24"/>
              </w:rPr>
              <w:t>评价时期</w:t>
            </w:r>
          </w:p>
          <w:p w14:paraId="24559129">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根据《环境影响评价技术导则地表水环境》（HJ 2.3-2018），三级B评价可不考虑评价时期。</w:t>
            </w:r>
          </w:p>
          <w:p w14:paraId="01AE9782">
            <w:pPr>
              <w:tabs>
                <w:tab w:val="left" w:pos="5670"/>
              </w:tabs>
              <w:spacing w:line="480" w:lineRule="exact"/>
              <w:ind w:firstLine="480" w:firstLineChars="200"/>
              <w:rPr>
                <w:rFonts w:ascii="Times New Roman" w:hAnsi="Times New Roman" w:eastAsia="宋体" w:cs="Times New Roman"/>
                <w:sz w:val="24"/>
              </w:rPr>
            </w:pPr>
            <w:r>
              <w:rPr>
                <w:rFonts w:hint="eastAsia" w:ascii="宋体" w:hAnsi="宋体" w:eastAsia="宋体" w:cs="宋体"/>
                <w:sz w:val="24"/>
              </w:rPr>
              <w:t>③</w:t>
            </w:r>
            <w:r>
              <w:rPr>
                <w:rFonts w:ascii="Times New Roman" w:hAnsi="Times New Roman" w:eastAsia="宋体" w:cs="Times New Roman"/>
                <w:sz w:val="24"/>
              </w:rPr>
              <w:t>评价范围</w:t>
            </w:r>
          </w:p>
          <w:p w14:paraId="21F6FFE4">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根据《环境影响评价技术导则地表水环境》（HJ 2.3-2018）5.3.2.2，三级B其评价范围应符合以下要求：a）应满足其依托污水处理设施环境可行性分析的要求；b）涉及地表水环境风险的，应覆盖环境风险影响范围所及的水环境保护目标水域。</w:t>
            </w:r>
          </w:p>
          <w:p w14:paraId="1BC38102">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4 \* GB3 </w:instrText>
            </w:r>
            <w:r>
              <w:rPr>
                <w:rFonts w:ascii="Times New Roman" w:hAnsi="Times New Roman" w:eastAsia="宋体" w:cs="Times New Roman"/>
                <w:sz w:val="24"/>
              </w:rPr>
              <w:fldChar w:fldCharType="separate"/>
            </w:r>
            <w:r>
              <w:rPr>
                <w:rFonts w:hint="eastAsia" w:ascii="宋体" w:hAnsi="宋体" w:eastAsia="宋体" w:cs="宋体"/>
                <w:sz w:val="24"/>
              </w:rPr>
              <w:t>④</w:t>
            </w:r>
            <w:r>
              <w:rPr>
                <w:rFonts w:ascii="Times New Roman" w:hAnsi="Times New Roman" w:eastAsia="宋体" w:cs="Times New Roman"/>
                <w:sz w:val="24"/>
              </w:rPr>
              <w:fldChar w:fldCharType="end"/>
            </w:r>
            <w:r>
              <w:rPr>
                <w:rFonts w:ascii="Times New Roman" w:hAnsi="Times New Roman" w:eastAsia="宋体" w:cs="Times New Roman"/>
                <w:sz w:val="24"/>
              </w:rPr>
              <w:t>依托可行性分析：</w:t>
            </w:r>
          </w:p>
          <w:p w14:paraId="3638F687">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w:t>
            </w:r>
            <w:r>
              <w:rPr>
                <w:rFonts w:ascii="Times New Roman" w:hAnsi="Times New Roman" w:eastAsia="宋体" w:cs="Times New Roman"/>
                <w:bCs/>
                <w:sz w:val="24"/>
              </w:rPr>
              <w:t>员工6</w:t>
            </w:r>
            <w:r>
              <w:rPr>
                <w:rFonts w:hint="eastAsia" w:ascii="Times New Roman" w:hAnsi="Times New Roman" w:eastAsia="宋体" w:cs="Times New Roman"/>
                <w:bCs/>
                <w:sz w:val="24"/>
              </w:rPr>
              <w:t>人</w:t>
            </w:r>
            <w:r>
              <w:rPr>
                <w:rFonts w:ascii="Times New Roman" w:hAnsi="Times New Roman" w:eastAsia="宋体" w:cs="Times New Roman"/>
                <w:bCs/>
                <w:sz w:val="24"/>
              </w:rPr>
              <w:t>，生活污水</w:t>
            </w:r>
            <w:r>
              <w:rPr>
                <w:rFonts w:hint="eastAsia" w:ascii="Times New Roman" w:hAnsi="Times New Roman" w:eastAsia="宋体" w:cs="Times New Roman"/>
                <w:bCs/>
                <w:sz w:val="24"/>
                <w:szCs w:val="24"/>
              </w:rPr>
              <w:t>经二级生化处理设施</w:t>
            </w:r>
            <w:r>
              <w:rPr>
                <w:rFonts w:ascii="Times New Roman" w:hAnsi="Times New Roman" w:eastAsia="宋体" w:cs="Times New Roman"/>
                <w:bCs/>
                <w:sz w:val="24"/>
              </w:rPr>
              <w:t>处理后</w:t>
            </w:r>
            <w:r>
              <w:rPr>
                <w:rFonts w:hint="eastAsia" w:ascii="Times New Roman" w:hAnsi="Times New Roman" w:eastAsia="宋体" w:cs="Times New Roman"/>
                <w:bCs/>
                <w:sz w:val="24"/>
              </w:rPr>
              <w:t>对周边</w:t>
            </w:r>
            <w:r>
              <w:rPr>
                <w:rFonts w:ascii="Times New Roman" w:hAnsi="Times New Roman" w:eastAsia="宋体" w:cs="Times New Roman"/>
                <w:bCs/>
                <w:sz w:val="24"/>
              </w:rPr>
              <w:t>菜地和绿化农肥，不直接外排；</w:t>
            </w:r>
            <w:r>
              <w:rPr>
                <w:rFonts w:ascii="Times New Roman" w:hAnsi="Times New Roman" w:eastAsia="宋体" w:cs="Times New Roman"/>
                <w:sz w:val="24"/>
              </w:rPr>
              <w:t>项目生产废水</w:t>
            </w:r>
            <w:r>
              <w:rPr>
                <w:rFonts w:ascii="Times New Roman" w:hAnsi="Times New Roman" w:eastAsia="宋体" w:cs="Times New Roman"/>
                <w:bCs/>
                <w:sz w:val="24"/>
              </w:rPr>
              <w:t>轮胎冲洗水自然蒸发，不外排</w:t>
            </w:r>
            <w:r>
              <w:rPr>
                <w:rFonts w:hint="eastAsia" w:ascii="Times New Roman" w:hAnsi="Times New Roman" w:eastAsia="宋体" w:cs="Times New Roman"/>
                <w:bCs/>
                <w:sz w:val="24"/>
              </w:rPr>
              <w:t>；湿法作业生产废水循环使用，不外排；</w:t>
            </w:r>
            <w:r>
              <w:rPr>
                <w:rFonts w:ascii="Times New Roman" w:hAnsi="Times New Roman" w:eastAsia="宋体" w:cs="Times New Roman"/>
                <w:sz w:val="24"/>
              </w:rPr>
              <w:t>不会对</w:t>
            </w:r>
            <w:r>
              <w:rPr>
                <w:rFonts w:hint="eastAsia" w:ascii="Times New Roman" w:hAnsi="Times New Roman" w:eastAsia="宋体" w:cs="Times New Roman"/>
                <w:sz w:val="24"/>
              </w:rPr>
              <w:t>白沙河</w:t>
            </w:r>
            <w:r>
              <w:rPr>
                <w:rFonts w:ascii="Times New Roman" w:hAnsi="Times New Roman" w:eastAsia="宋体" w:cs="Times New Roman"/>
                <w:sz w:val="24"/>
              </w:rPr>
              <w:t>的水环境产生影响。</w:t>
            </w:r>
          </w:p>
          <w:p w14:paraId="425679DA">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5 \* GB3 </w:instrText>
            </w:r>
            <w:r>
              <w:rPr>
                <w:rFonts w:ascii="Times New Roman" w:hAnsi="Times New Roman" w:eastAsia="宋体" w:cs="Times New Roman"/>
                <w:sz w:val="24"/>
              </w:rPr>
              <w:fldChar w:fldCharType="separate"/>
            </w:r>
            <w:r>
              <w:rPr>
                <w:rFonts w:hint="eastAsia" w:ascii="宋体" w:hAnsi="宋体" w:eastAsia="宋体" w:cs="宋体"/>
                <w:sz w:val="24"/>
              </w:rPr>
              <w:t>⑤</w:t>
            </w:r>
            <w:r>
              <w:rPr>
                <w:rFonts w:ascii="Times New Roman" w:hAnsi="Times New Roman" w:eastAsia="宋体" w:cs="Times New Roman"/>
                <w:sz w:val="24"/>
              </w:rPr>
              <w:fldChar w:fldCharType="end"/>
            </w:r>
            <w:r>
              <w:rPr>
                <w:rFonts w:ascii="Times New Roman" w:hAnsi="Times New Roman" w:eastAsia="宋体" w:cs="Times New Roman"/>
                <w:sz w:val="24"/>
              </w:rPr>
              <w:t>项目废水污染物排放信息</w:t>
            </w:r>
          </w:p>
          <w:p w14:paraId="0A8D6DC0">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项目废水污染物排放信息详见下表7-19：</w:t>
            </w:r>
          </w:p>
          <w:p w14:paraId="6EB81226">
            <w:pPr>
              <w:spacing w:line="360" w:lineRule="auto"/>
              <w:jc w:val="center"/>
              <w:rPr>
                <w:rFonts w:ascii="Times New Roman" w:hAnsi="Times New Roman" w:eastAsia="宋体" w:cs="Times New Roman"/>
                <w:bCs/>
                <w:sz w:val="24"/>
              </w:rPr>
            </w:pPr>
            <w:r>
              <w:rPr>
                <w:rFonts w:ascii="Times New Roman" w:hAnsi="Times New Roman" w:eastAsia="宋体" w:cs="Times New Roman"/>
                <w:bCs/>
                <w:sz w:val="24"/>
              </w:rPr>
              <w:t>表7-19  项目废水类别、污染物及污染治理设施信息表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487"/>
              <w:gridCol w:w="924"/>
              <w:gridCol w:w="2291"/>
              <w:gridCol w:w="2291"/>
              <w:gridCol w:w="2289"/>
            </w:tblGrid>
            <w:tr w14:paraId="637979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852" w:type="pct"/>
                  <w:gridSpan w:val="2"/>
                  <w:vAlign w:val="center"/>
                </w:tcPr>
                <w:p w14:paraId="269D2CE0">
                  <w:pPr>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1383" w:type="pct"/>
                  <w:vAlign w:val="center"/>
                </w:tcPr>
                <w:p w14:paraId="76CF4498">
                  <w:pPr>
                    <w:jc w:val="center"/>
                    <w:rPr>
                      <w:rFonts w:ascii="Times New Roman" w:hAnsi="Times New Roman" w:eastAsia="宋体" w:cs="Times New Roman"/>
                      <w:szCs w:val="21"/>
                    </w:rPr>
                  </w:pPr>
                  <w:r>
                    <w:rPr>
                      <w:rFonts w:ascii="Times New Roman" w:hAnsi="Times New Roman" w:eastAsia="宋体" w:cs="Times New Roman"/>
                      <w:szCs w:val="21"/>
                    </w:rPr>
                    <w:t>1</w:t>
                  </w:r>
                </w:p>
              </w:tc>
              <w:tc>
                <w:tcPr>
                  <w:tcW w:w="1383" w:type="pct"/>
                  <w:vAlign w:val="center"/>
                </w:tcPr>
                <w:p w14:paraId="08877668">
                  <w:pPr>
                    <w:jc w:val="center"/>
                    <w:rPr>
                      <w:rFonts w:ascii="Times New Roman" w:hAnsi="Times New Roman" w:eastAsia="宋体" w:cs="Times New Roman"/>
                      <w:szCs w:val="21"/>
                    </w:rPr>
                  </w:pPr>
                  <w:r>
                    <w:rPr>
                      <w:rFonts w:ascii="Times New Roman" w:hAnsi="Times New Roman" w:eastAsia="宋体" w:cs="Times New Roman"/>
                      <w:szCs w:val="21"/>
                    </w:rPr>
                    <w:t>2</w:t>
                  </w:r>
                </w:p>
              </w:tc>
              <w:tc>
                <w:tcPr>
                  <w:tcW w:w="1382" w:type="pct"/>
                  <w:vAlign w:val="center"/>
                </w:tcPr>
                <w:p w14:paraId="4FD61892">
                  <w:pPr>
                    <w:jc w:val="center"/>
                    <w:rPr>
                      <w:rFonts w:ascii="Times New Roman" w:hAnsi="Times New Roman" w:eastAsia="宋体" w:cs="Times New Roman"/>
                      <w:szCs w:val="21"/>
                    </w:rPr>
                  </w:pPr>
                  <w:r>
                    <w:rPr>
                      <w:rFonts w:hint="eastAsia" w:ascii="Times New Roman" w:hAnsi="Times New Roman" w:eastAsia="宋体" w:cs="Times New Roman"/>
                      <w:szCs w:val="21"/>
                    </w:rPr>
                    <w:t>3</w:t>
                  </w:r>
                </w:p>
              </w:tc>
            </w:tr>
            <w:tr w14:paraId="39095F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852" w:type="pct"/>
                  <w:gridSpan w:val="2"/>
                  <w:vAlign w:val="center"/>
                </w:tcPr>
                <w:p w14:paraId="464A0720">
                  <w:pPr>
                    <w:jc w:val="center"/>
                    <w:rPr>
                      <w:rFonts w:ascii="Times New Roman" w:hAnsi="Times New Roman" w:eastAsia="宋体" w:cs="Times New Roman"/>
                      <w:szCs w:val="21"/>
                    </w:rPr>
                  </w:pPr>
                  <w:r>
                    <w:rPr>
                      <w:rFonts w:ascii="Times New Roman" w:hAnsi="Times New Roman" w:eastAsia="宋体" w:cs="Times New Roman"/>
                      <w:szCs w:val="21"/>
                    </w:rPr>
                    <w:t>废水类别</w:t>
                  </w:r>
                </w:p>
              </w:tc>
              <w:tc>
                <w:tcPr>
                  <w:tcW w:w="1383" w:type="pct"/>
                  <w:vAlign w:val="center"/>
                </w:tcPr>
                <w:p w14:paraId="21002826">
                  <w:pPr>
                    <w:jc w:val="center"/>
                    <w:rPr>
                      <w:rFonts w:ascii="Times New Roman" w:hAnsi="Times New Roman" w:eastAsia="宋体" w:cs="Times New Roman"/>
                      <w:szCs w:val="21"/>
                    </w:rPr>
                  </w:pPr>
                  <w:r>
                    <w:rPr>
                      <w:rFonts w:ascii="Times New Roman" w:hAnsi="Times New Roman" w:eastAsia="宋体" w:cs="Times New Roman"/>
                      <w:szCs w:val="21"/>
                    </w:rPr>
                    <w:t>生活污水</w:t>
                  </w:r>
                </w:p>
              </w:tc>
              <w:tc>
                <w:tcPr>
                  <w:tcW w:w="1383" w:type="pct"/>
                  <w:vAlign w:val="center"/>
                </w:tcPr>
                <w:p w14:paraId="1E110543">
                  <w:pPr>
                    <w:jc w:val="center"/>
                    <w:rPr>
                      <w:rFonts w:ascii="Times New Roman" w:hAnsi="Times New Roman" w:eastAsia="宋体" w:cs="Times New Roman"/>
                      <w:szCs w:val="21"/>
                    </w:rPr>
                  </w:pPr>
                  <w:r>
                    <w:rPr>
                      <w:rFonts w:ascii="Times New Roman" w:hAnsi="Times New Roman" w:eastAsia="宋体" w:cs="Times New Roman"/>
                      <w:szCs w:val="21"/>
                    </w:rPr>
                    <w:t>生产废水</w:t>
                  </w:r>
                </w:p>
              </w:tc>
              <w:tc>
                <w:tcPr>
                  <w:tcW w:w="1382" w:type="pct"/>
                  <w:vAlign w:val="center"/>
                </w:tcPr>
                <w:p w14:paraId="0E038B72">
                  <w:pPr>
                    <w:jc w:val="center"/>
                    <w:rPr>
                      <w:rFonts w:ascii="Times New Roman" w:hAnsi="Times New Roman" w:eastAsia="宋体" w:cs="Times New Roman"/>
                      <w:szCs w:val="21"/>
                    </w:rPr>
                  </w:pPr>
                  <w:r>
                    <w:rPr>
                      <w:rFonts w:hint="eastAsia" w:ascii="Times New Roman" w:hAnsi="Times New Roman" w:eastAsia="宋体" w:cs="Times New Roman"/>
                      <w:szCs w:val="21"/>
                    </w:rPr>
                    <w:t>初期雨水</w:t>
                  </w:r>
                </w:p>
              </w:tc>
            </w:tr>
            <w:tr w14:paraId="0A2503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852" w:type="pct"/>
                  <w:gridSpan w:val="2"/>
                  <w:vAlign w:val="center"/>
                </w:tcPr>
                <w:p w14:paraId="379E5EE4">
                  <w:pPr>
                    <w:jc w:val="center"/>
                    <w:rPr>
                      <w:rFonts w:ascii="Times New Roman" w:hAnsi="Times New Roman" w:eastAsia="宋体" w:cs="Times New Roman"/>
                      <w:szCs w:val="21"/>
                    </w:rPr>
                  </w:pPr>
                  <w:r>
                    <w:rPr>
                      <w:rFonts w:ascii="Times New Roman" w:hAnsi="Times New Roman" w:eastAsia="宋体" w:cs="Times New Roman"/>
                      <w:szCs w:val="21"/>
                    </w:rPr>
                    <w:t>污染物种类</w:t>
                  </w:r>
                </w:p>
              </w:tc>
              <w:tc>
                <w:tcPr>
                  <w:tcW w:w="1383" w:type="pct"/>
                  <w:vAlign w:val="center"/>
                </w:tcPr>
                <w:p w14:paraId="51AB348F">
                  <w:pPr>
                    <w:jc w:val="center"/>
                    <w:rPr>
                      <w:rFonts w:ascii="Times New Roman" w:hAnsi="Times New Roman" w:eastAsia="宋体" w:cs="Times New Roman"/>
                      <w:szCs w:val="21"/>
                    </w:rPr>
                  </w:pPr>
                  <w:r>
                    <w:rPr>
                      <w:rFonts w:ascii="Times New Roman" w:hAnsi="Times New Roman" w:eastAsia="宋体" w:cs="Times New Roman"/>
                      <w:szCs w:val="21"/>
                    </w:rPr>
                    <w:t>COD、NH</w:t>
                  </w:r>
                  <w:r>
                    <w:rPr>
                      <w:rFonts w:ascii="Times New Roman" w:hAnsi="Times New Roman" w:eastAsia="宋体" w:cs="Times New Roman"/>
                      <w:szCs w:val="21"/>
                      <w:vertAlign w:val="subscript"/>
                    </w:rPr>
                    <w:t>3</w:t>
                  </w:r>
                  <w:r>
                    <w:rPr>
                      <w:rFonts w:ascii="Times New Roman" w:hAnsi="Times New Roman" w:eastAsia="宋体" w:cs="Times New Roman"/>
                      <w:szCs w:val="21"/>
                    </w:rPr>
                    <w:t>-N、TP等</w:t>
                  </w:r>
                </w:p>
              </w:tc>
              <w:tc>
                <w:tcPr>
                  <w:tcW w:w="1383" w:type="pct"/>
                  <w:vAlign w:val="center"/>
                </w:tcPr>
                <w:p w14:paraId="300C22B9">
                  <w:pPr>
                    <w:jc w:val="center"/>
                    <w:rPr>
                      <w:rFonts w:ascii="Times New Roman" w:hAnsi="Times New Roman" w:eastAsia="宋体" w:cs="Times New Roman"/>
                      <w:szCs w:val="21"/>
                    </w:rPr>
                  </w:pPr>
                  <w:r>
                    <w:rPr>
                      <w:rFonts w:ascii="Times New Roman" w:hAnsi="Times New Roman" w:eastAsia="宋体" w:cs="Times New Roman"/>
                      <w:szCs w:val="21"/>
                    </w:rPr>
                    <w:t>SS等</w:t>
                  </w:r>
                </w:p>
              </w:tc>
              <w:tc>
                <w:tcPr>
                  <w:tcW w:w="1382" w:type="pct"/>
                  <w:vAlign w:val="center"/>
                </w:tcPr>
                <w:p w14:paraId="5C9CE5B4">
                  <w:pPr>
                    <w:jc w:val="center"/>
                    <w:rPr>
                      <w:rFonts w:ascii="Times New Roman" w:hAnsi="Times New Roman" w:eastAsia="宋体" w:cs="Times New Roman"/>
                      <w:szCs w:val="21"/>
                    </w:rPr>
                  </w:pPr>
                  <w:r>
                    <w:rPr>
                      <w:rFonts w:ascii="Times New Roman" w:hAnsi="Times New Roman" w:eastAsia="宋体" w:cs="Times New Roman"/>
                      <w:szCs w:val="21"/>
                    </w:rPr>
                    <w:t>SS等</w:t>
                  </w:r>
                </w:p>
              </w:tc>
            </w:tr>
            <w:tr w14:paraId="510D3F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852" w:type="pct"/>
                  <w:gridSpan w:val="2"/>
                  <w:vAlign w:val="center"/>
                </w:tcPr>
                <w:p w14:paraId="490BFE03">
                  <w:pPr>
                    <w:jc w:val="center"/>
                    <w:rPr>
                      <w:rFonts w:ascii="Times New Roman" w:hAnsi="Times New Roman" w:eastAsia="宋体" w:cs="Times New Roman"/>
                      <w:szCs w:val="21"/>
                    </w:rPr>
                  </w:pPr>
                  <w:r>
                    <w:rPr>
                      <w:rFonts w:ascii="Times New Roman" w:hAnsi="Times New Roman" w:eastAsia="宋体" w:cs="Times New Roman"/>
                      <w:szCs w:val="21"/>
                    </w:rPr>
                    <w:t>排放去向</w:t>
                  </w:r>
                </w:p>
              </w:tc>
              <w:tc>
                <w:tcPr>
                  <w:tcW w:w="1383" w:type="pct"/>
                  <w:vAlign w:val="center"/>
                </w:tcPr>
                <w:p w14:paraId="6C1C88F6">
                  <w:pPr>
                    <w:jc w:val="center"/>
                    <w:rPr>
                      <w:rFonts w:ascii="Times New Roman" w:hAnsi="Times New Roman" w:eastAsia="宋体" w:cs="Times New Roman"/>
                      <w:szCs w:val="21"/>
                    </w:rPr>
                  </w:pPr>
                  <w:r>
                    <w:rPr>
                      <w:rFonts w:ascii="Times New Roman" w:hAnsi="Times New Roman" w:eastAsia="宋体" w:cs="Times New Roman"/>
                      <w:szCs w:val="21"/>
                    </w:rPr>
                    <w:t>回用周边农田灌溉</w:t>
                  </w:r>
                </w:p>
              </w:tc>
              <w:tc>
                <w:tcPr>
                  <w:tcW w:w="1383" w:type="pct"/>
                  <w:vAlign w:val="center"/>
                </w:tcPr>
                <w:p w14:paraId="1DBF3756">
                  <w:pPr>
                    <w:jc w:val="center"/>
                    <w:rPr>
                      <w:rFonts w:ascii="Times New Roman" w:hAnsi="Times New Roman" w:eastAsia="宋体" w:cs="Times New Roman"/>
                      <w:szCs w:val="21"/>
                    </w:rPr>
                  </w:pPr>
                  <w:r>
                    <w:rPr>
                      <w:rFonts w:hint="eastAsia" w:ascii="Times New Roman" w:hAnsi="Times New Roman" w:eastAsia="宋体" w:cs="Times New Roman"/>
                      <w:szCs w:val="21"/>
                    </w:rPr>
                    <w:t>循环使用、自然蒸发</w:t>
                  </w:r>
                </w:p>
              </w:tc>
              <w:tc>
                <w:tcPr>
                  <w:tcW w:w="1382" w:type="pct"/>
                  <w:vAlign w:val="center"/>
                </w:tcPr>
                <w:p w14:paraId="4BBA9C5B">
                  <w:pPr>
                    <w:jc w:val="center"/>
                    <w:rPr>
                      <w:rFonts w:ascii="Times New Roman" w:hAnsi="Times New Roman" w:eastAsia="宋体" w:cs="Times New Roman"/>
                      <w:szCs w:val="21"/>
                    </w:rPr>
                  </w:pPr>
                  <w:r>
                    <w:rPr>
                      <w:rFonts w:hint="eastAsia" w:ascii="Times New Roman" w:hAnsi="Times New Roman" w:eastAsia="宋体" w:cs="Times New Roman"/>
                      <w:szCs w:val="21"/>
                    </w:rPr>
                    <w:t>外排白沙河</w:t>
                  </w:r>
                </w:p>
              </w:tc>
            </w:tr>
            <w:tr w14:paraId="418B59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852" w:type="pct"/>
                  <w:gridSpan w:val="2"/>
                  <w:vAlign w:val="center"/>
                </w:tcPr>
                <w:p w14:paraId="043C8AD2">
                  <w:pPr>
                    <w:jc w:val="center"/>
                    <w:rPr>
                      <w:rFonts w:ascii="Times New Roman" w:hAnsi="Times New Roman" w:eastAsia="宋体" w:cs="Times New Roman"/>
                      <w:szCs w:val="21"/>
                    </w:rPr>
                  </w:pPr>
                  <w:r>
                    <w:rPr>
                      <w:rFonts w:ascii="Times New Roman" w:hAnsi="Times New Roman" w:eastAsia="宋体" w:cs="Times New Roman"/>
                      <w:szCs w:val="21"/>
                    </w:rPr>
                    <w:t>排放规律</w:t>
                  </w:r>
                </w:p>
              </w:tc>
              <w:tc>
                <w:tcPr>
                  <w:tcW w:w="1383" w:type="pct"/>
                  <w:vAlign w:val="center"/>
                </w:tcPr>
                <w:p w14:paraId="21A650FD">
                  <w:pPr>
                    <w:jc w:val="center"/>
                    <w:rPr>
                      <w:rFonts w:ascii="Times New Roman" w:hAnsi="Times New Roman" w:eastAsia="宋体" w:cs="Times New Roman"/>
                      <w:szCs w:val="21"/>
                    </w:rPr>
                  </w:pPr>
                  <w:r>
                    <w:rPr>
                      <w:rFonts w:ascii="Times New Roman" w:hAnsi="Times New Roman" w:eastAsia="宋体" w:cs="Times New Roman"/>
                      <w:szCs w:val="21"/>
                    </w:rPr>
                    <w:t>间断排放，排放期间流量不稳定，但有周期性规律</w:t>
                  </w:r>
                </w:p>
              </w:tc>
              <w:tc>
                <w:tcPr>
                  <w:tcW w:w="1383" w:type="pct"/>
                  <w:vAlign w:val="center"/>
                </w:tcPr>
                <w:p w14:paraId="047DC451">
                  <w:pPr>
                    <w:jc w:val="center"/>
                    <w:rPr>
                      <w:rFonts w:ascii="Times New Roman" w:hAnsi="Times New Roman" w:eastAsia="宋体" w:cs="Times New Roman"/>
                      <w:szCs w:val="21"/>
                    </w:rPr>
                  </w:pPr>
                  <w:r>
                    <w:rPr>
                      <w:rFonts w:ascii="Times New Roman" w:hAnsi="Times New Roman" w:eastAsia="宋体" w:cs="Times New Roman"/>
                      <w:szCs w:val="21"/>
                    </w:rPr>
                    <w:t>不外排</w:t>
                  </w:r>
                </w:p>
              </w:tc>
              <w:tc>
                <w:tcPr>
                  <w:tcW w:w="1382" w:type="pct"/>
                  <w:vAlign w:val="center"/>
                </w:tcPr>
                <w:p w14:paraId="67E11910">
                  <w:pPr>
                    <w:jc w:val="center"/>
                    <w:rPr>
                      <w:rFonts w:ascii="Times New Roman" w:hAnsi="Times New Roman" w:eastAsia="宋体" w:cs="Times New Roman"/>
                      <w:szCs w:val="21"/>
                    </w:rPr>
                  </w:pPr>
                  <w:r>
                    <w:rPr>
                      <w:rFonts w:ascii="Times New Roman" w:hAnsi="Times New Roman" w:eastAsia="宋体" w:cs="Times New Roman"/>
                      <w:szCs w:val="21"/>
                    </w:rPr>
                    <w:t>间断排放，排放期间流量不稳定</w:t>
                  </w:r>
                </w:p>
              </w:tc>
            </w:tr>
            <w:tr w14:paraId="2ED605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294" w:type="pct"/>
                  <w:vMerge w:val="restart"/>
                  <w:vAlign w:val="center"/>
                </w:tcPr>
                <w:p w14:paraId="19E7D495">
                  <w:pPr>
                    <w:jc w:val="center"/>
                    <w:rPr>
                      <w:rFonts w:ascii="Times New Roman" w:hAnsi="Times New Roman" w:eastAsia="宋体" w:cs="Times New Roman"/>
                      <w:szCs w:val="21"/>
                    </w:rPr>
                  </w:pPr>
                  <w:r>
                    <w:rPr>
                      <w:rFonts w:ascii="Times New Roman" w:hAnsi="Times New Roman" w:eastAsia="宋体" w:cs="Times New Roman"/>
                      <w:szCs w:val="21"/>
                    </w:rPr>
                    <w:t>污染治理设施</w:t>
                  </w:r>
                </w:p>
              </w:tc>
              <w:tc>
                <w:tcPr>
                  <w:tcW w:w="558" w:type="pct"/>
                  <w:vAlign w:val="center"/>
                </w:tcPr>
                <w:p w14:paraId="6DD3206F">
                  <w:pPr>
                    <w:jc w:val="center"/>
                    <w:rPr>
                      <w:rFonts w:ascii="Times New Roman" w:hAnsi="Times New Roman" w:eastAsia="宋体" w:cs="Times New Roman"/>
                      <w:szCs w:val="21"/>
                    </w:rPr>
                  </w:pPr>
                  <w:r>
                    <w:rPr>
                      <w:rFonts w:ascii="Times New Roman" w:hAnsi="Times New Roman" w:eastAsia="宋体" w:cs="Times New Roman"/>
                      <w:szCs w:val="21"/>
                    </w:rPr>
                    <w:t>设施编号</w:t>
                  </w:r>
                </w:p>
              </w:tc>
              <w:tc>
                <w:tcPr>
                  <w:tcW w:w="1383" w:type="pct"/>
                  <w:vAlign w:val="center"/>
                </w:tcPr>
                <w:p w14:paraId="57902707">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383" w:type="pct"/>
                  <w:vAlign w:val="center"/>
                </w:tcPr>
                <w:p w14:paraId="5036162D">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382" w:type="pct"/>
                  <w:vAlign w:val="center"/>
                </w:tcPr>
                <w:p w14:paraId="45FDA5FF">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r>
            <w:tr w14:paraId="7F01D6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294" w:type="pct"/>
                  <w:vMerge w:val="continue"/>
                  <w:vAlign w:val="center"/>
                </w:tcPr>
                <w:p w14:paraId="63AA2F7D">
                  <w:pPr>
                    <w:jc w:val="center"/>
                    <w:rPr>
                      <w:rFonts w:ascii="Times New Roman" w:hAnsi="Times New Roman" w:eastAsia="宋体" w:cs="Times New Roman"/>
                      <w:szCs w:val="21"/>
                    </w:rPr>
                  </w:pPr>
                </w:p>
              </w:tc>
              <w:tc>
                <w:tcPr>
                  <w:tcW w:w="558" w:type="pct"/>
                  <w:vAlign w:val="center"/>
                </w:tcPr>
                <w:p w14:paraId="12ECC553">
                  <w:pPr>
                    <w:jc w:val="center"/>
                    <w:rPr>
                      <w:rFonts w:ascii="Times New Roman" w:hAnsi="Times New Roman" w:eastAsia="宋体" w:cs="Times New Roman"/>
                      <w:szCs w:val="21"/>
                    </w:rPr>
                  </w:pPr>
                  <w:r>
                    <w:rPr>
                      <w:rFonts w:ascii="Times New Roman" w:hAnsi="Times New Roman" w:eastAsia="宋体" w:cs="Times New Roman"/>
                      <w:szCs w:val="21"/>
                    </w:rPr>
                    <w:t>设施名称</w:t>
                  </w:r>
                </w:p>
              </w:tc>
              <w:tc>
                <w:tcPr>
                  <w:tcW w:w="1383" w:type="pct"/>
                  <w:vAlign w:val="center"/>
                </w:tcPr>
                <w:p w14:paraId="205ABEBF">
                  <w:pPr>
                    <w:jc w:val="center"/>
                    <w:rPr>
                      <w:rFonts w:ascii="Times New Roman" w:hAnsi="Times New Roman" w:eastAsia="宋体" w:cs="Times New Roman"/>
                      <w:szCs w:val="21"/>
                    </w:rPr>
                  </w:pPr>
                  <w:r>
                    <w:rPr>
                      <w:rFonts w:hint="eastAsia" w:ascii="Times New Roman" w:hAnsi="Times New Roman" w:eastAsia="宋体" w:cs="Times New Roman"/>
                      <w:szCs w:val="21"/>
                    </w:rPr>
                    <w:t>二级生化设施</w:t>
                  </w:r>
                </w:p>
              </w:tc>
              <w:tc>
                <w:tcPr>
                  <w:tcW w:w="1383" w:type="pct"/>
                  <w:vAlign w:val="center"/>
                </w:tcPr>
                <w:p w14:paraId="545464B3">
                  <w:pPr>
                    <w:jc w:val="center"/>
                    <w:rPr>
                      <w:rFonts w:ascii="Times New Roman" w:hAnsi="Times New Roman" w:eastAsia="宋体" w:cs="Times New Roman"/>
                      <w:szCs w:val="21"/>
                    </w:rPr>
                  </w:pPr>
                  <w:r>
                    <w:rPr>
                      <w:rFonts w:hint="eastAsia" w:ascii="Times New Roman" w:hAnsi="Times New Roman" w:eastAsia="宋体" w:cs="Times New Roman"/>
                      <w:bCs/>
                      <w:szCs w:val="16"/>
                    </w:rPr>
                    <w:t>轮胎清洗池</w:t>
                  </w:r>
                </w:p>
              </w:tc>
              <w:tc>
                <w:tcPr>
                  <w:tcW w:w="1382" w:type="pct"/>
                  <w:vAlign w:val="center"/>
                </w:tcPr>
                <w:p w14:paraId="44A81386">
                  <w:pPr>
                    <w:jc w:val="center"/>
                    <w:rPr>
                      <w:rFonts w:ascii="Times New Roman" w:hAnsi="Times New Roman" w:eastAsia="宋体" w:cs="Times New Roman"/>
                      <w:bCs/>
                      <w:szCs w:val="16"/>
                    </w:rPr>
                  </w:pPr>
                  <w:r>
                    <w:rPr>
                      <w:rFonts w:hint="eastAsia" w:ascii="Times New Roman" w:hAnsi="Times New Roman" w:eastAsia="宋体" w:cs="Times New Roman"/>
                      <w:bCs/>
                      <w:szCs w:val="16"/>
                    </w:rPr>
                    <w:t>雨水沉淀池</w:t>
                  </w:r>
                </w:p>
              </w:tc>
            </w:tr>
            <w:tr w14:paraId="607DA23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294" w:type="pct"/>
                  <w:vMerge w:val="continue"/>
                  <w:vAlign w:val="center"/>
                </w:tcPr>
                <w:p w14:paraId="04801FF5">
                  <w:pPr>
                    <w:jc w:val="center"/>
                    <w:rPr>
                      <w:rFonts w:ascii="Times New Roman" w:hAnsi="Times New Roman" w:eastAsia="宋体" w:cs="Times New Roman"/>
                      <w:szCs w:val="21"/>
                    </w:rPr>
                  </w:pPr>
                </w:p>
              </w:tc>
              <w:tc>
                <w:tcPr>
                  <w:tcW w:w="558" w:type="pct"/>
                  <w:vAlign w:val="center"/>
                </w:tcPr>
                <w:p w14:paraId="4256B293">
                  <w:pPr>
                    <w:jc w:val="center"/>
                    <w:rPr>
                      <w:rFonts w:ascii="Times New Roman" w:hAnsi="Times New Roman" w:eastAsia="宋体" w:cs="Times New Roman"/>
                      <w:szCs w:val="21"/>
                    </w:rPr>
                  </w:pPr>
                  <w:r>
                    <w:rPr>
                      <w:rFonts w:ascii="Times New Roman" w:hAnsi="Times New Roman" w:eastAsia="宋体" w:cs="Times New Roman"/>
                      <w:szCs w:val="21"/>
                    </w:rPr>
                    <w:t>设施工艺</w:t>
                  </w:r>
                </w:p>
              </w:tc>
              <w:tc>
                <w:tcPr>
                  <w:tcW w:w="1383" w:type="pct"/>
                  <w:vAlign w:val="center"/>
                </w:tcPr>
                <w:p w14:paraId="130D9090">
                  <w:pPr>
                    <w:jc w:val="center"/>
                    <w:rPr>
                      <w:rFonts w:ascii="Times New Roman" w:hAnsi="Times New Roman" w:eastAsia="宋体" w:cs="Times New Roman"/>
                      <w:szCs w:val="21"/>
                    </w:rPr>
                  </w:pPr>
                  <w:r>
                    <w:rPr>
                      <w:rFonts w:ascii="Times New Roman" w:hAnsi="Times New Roman" w:eastAsia="宋体" w:cs="Times New Roman"/>
                      <w:szCs w:val="21"/>
                    </w:rPr>
                    <w:t>沉淀、厌氧发酵</w:t>
                  </w:r>
                </w:p>
              </w:tc>
              <w:tc>
                <w:tcPr>
                  <w:tcW w:w="1383" w:type="pct"/>
                  <w:vAlign w:val="center"/>
                </w:tcPr>
                <w:p w14:paraId="0A6FB204">
                  <w:pPr>
                    <w:jc w:val="center"/>
                    <w:rPr>
                      <w:rFonts w:ascii="Times New Roman" w:hAnsi="Times New Roman" w:eastAsia="宋体" w:cs="Times New Roman"/>
                      <w:szCs w:val="21"/>
                    </w:rPr>
                  </w:pPr>
                  <w:r>
                    <w:rPr>
                      <w:rFonts w:ascii="Times New Roman" w:hAnsi="Times New Roman" w:eastAsia="宋体" w:cs="Times New Roman"/>
                      <w:szCs w:val="21"/>
                    </w:rPr>
                    <w:t>沉淀</w:t>
                  </w:r>
                </w:p>
              </w:tc>
              <w:tc>
                <w:tcPr>
                  <w:tcW w:w="1382" w:type="pct"/>
                  <w:vAlign w:val="center"/>
                </w:tcPr>
                <w:p w14:paraId="7A0D04CA">
                  <w:pPr>
                    <w:jc w:val="center"/>
                    <w:rPr>
                      <w:rFonts w:ascii="Times New Roman" w:hAnsi="Times New Roman" w:eastAsia="宋体" w:cs="Times New Roman"/>
                      <w:szCs w:val="21"/>
                    </w:rPr>
                  </w:pPr>
                  <w:r>
                    <w:rPr>
                      <w:rFonts w:hint="eastAsia" w:ascii="Times New Roman" w:hAnsi="Times New Roman" w:eastAsia="宋体" w:cs="Times New Roman"/>
                      <w:szCs w:val="21"/>
                    </w:rPr>
                    <w:t>沉淀</w:t>
                  </w:r>
                </w:p>
              </w:tc>
            </w:tr>
            <w:tr w14:paraId="09FE3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852" w:type="pct"/>
                  <w:gridSpan w:val="2"/>
                  <w:vAlign w:val="center"/>
                </w:tcPr>
                <w:p w14:paraId="4EC4A997">
                  <w:pPr>
                    <w:jc w:val="center"/>
                    <w:rPr>
                      <w:rFonts w:ascii="Times New Roman" w:hAnsi="Times New Roman" w:eastAsia="宋体" w:cs="Times New Roman"/>
                      <w:szCs w:val="21"/>
                    </w:rPr>
                  </w:pPr>
                  <w:r>
                    <w:rPr>
                      <w:rFonts w:ascii="Times New Roman" w:hAnsi="Times New Roman" w:eastAsia="宋体" w:cs="Times New Roman"/>
                      <w:szCs w:val="21"/>
                    </w:rPr>
                    <w:t>排放口编号</w:t>
                  </w:r>
                </w:p>
              </w:tc>
              <w:tc>
                <w:tcPr>
                  <w:tcW w:w="1383" w:type="pct"/>
                  <w:vAlign w:val="center"/>
                </w:tcPr>
                <w:p w14:paraId="69AAD3A1">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383" w:type="pct"/>
                  <w:vAlign w:val="center"/>
                </w:tcPr>
                <w:p w14:paraId="5985B628">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382" w:type="pct"/>
                  <w:vAlign w:val="center"/>
                </w:tcPr>
                <w:p w14:paraId="79AA013B">
                  <w:pPr>
                    <w:jc w:val="center"/>
                    <w:rPr>
                      <w:rFonts w:ascii="Times New Roman" w:hAnsi="Times New Roman" w:eastAsia="宋体" w:cs="Times New Roman"/>
                      <w:szCs w:val="21"/>
                    </w:rPr>
                  </w:pPr>
                  <w:r>
                    <w:rPr>
                      <w:rFonts w:ascii="Times New Roman" w:hAnsi="Times New Roman" w:eastAsia="宋体" w:cs="Times New Roman"/>
                      <w:szCs w:val="21"/>
                    </w:rPr>
                    <w:t>YS001</w:t>
                  </w:r>
                </w:p>
              </w:tc>
            </w:tr>
            <w:tr w14:paraId="72E2C9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852" w:type="pct"/>
                  <w:gridSpan w:val="2"/>
                  <w:vAlign w:val="center"/>
                </w:tcPr>
                <w:p w14:paraId="78EE1AAE">
                  <w:pPr>
                    <w:jc w:val="center"/>
                    <w:rPr>
                      <w:rFonts w:ascii="Times New Roman" w:hAnsi="Times New Roman" w:eastAsia="宋体" w:cs="Times New Roman"/>
                      <w:szCs w:val="21"/>
                    </w:rPr>
                  </w:pPr>
                  <w:r>
                    <w:rPr>
                      <w:rFonts w:ascii="Times New Roman" w:hAnsi="Times New Roman" w:eastAsia="宋体" w:cs="Times New Roman"/>
                      <w:szCs w:val="21"/>
                    </w:rPr>
                    <w:t>排放口设置是否符合要求</w:t>
                  </w:r>
                </w:p>
              </w:tc>
              <w:tc>
                <w:tcPr>
                  <w:tcW w:w="1383" w:type="pct"/>
                  <w:vAlign w:val="center"/>
                </w:tcPr>
                <w:p w14:paraId="618290B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 xml:space="preserve">是   </w:t>
                  </w:r>
                  <w:r>
                    <w:rPr>
                      <w:rFonts w:hint="eastAsia" w:ascii="Times New Roman" w:hAnsi="Times New Roman" w:eastAsia="宋体" w:cs="Times New Roman"/>
                      <w:szCs w:val="21"/>
                    </w:rPr>
                    <w:t>□</w:t>
                  </w:r>
                  <w:r>
                    <w:rPr>
                      <w:rFonts w:ascii="Times New Roman" w:hAnsi="Times New Roman" w:eastAsia="宋体" w:cs="Times New Roman"/>
                      <w:szCs w:val="21"/>
                    </w:rPr>
                    <w:t>否</w:t>
                  </w:r>
                </w:p>
              </w:tc>
              <w:tc>
                <w:tcPr>
                  <w:tcW w:w="1383" w:type="pct"/>
                  <w:vAlign w:val="center"/>
                </w:tcPr>
                <w:p w14:paraId="68F711C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 xml:space="preserve">是   </w:t>
                  </w:r>
                  <w:r>
                    <w:rPr>
                      <w:rFonts w:hint="eastAsia" w:ascii="Times New Roman" w:hAnsi="Times New Roman" w:eastAsia="宋体" w:cs="Times New Roman"/>
                      <w:szCs w:val="21"/>
                    </w:rPr>
                    <w:t>□</w:t>
                  </w:r>
                  <w:r>
                    <w:rPr>
                      <w:rFonts w:ascii="Times New Roman" w:hAnsi="Times New Roman" w:eastAsia="宋体" w:cs="Times New Roman"/>
                      <w:szCs w:val="21"/>
                    </w:rPr>
                    <w:t>否</w:t>
                  </w:r>
                </w:p>
              </w:tc>
              <w:tc>
                <w:tcPr>
                  <w:tcW w:w="1382" w:type="pct"/>
                  <w:vAlign w:val="center"/>
                </w:tcPr>
                <w:p w14:paraId="6972C45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 xml:space="preserve">是   </w:t>
                  </w:r>
                  <w:r>
                    <w:rPr>
                      <w:rFonts w:hint="eastAsia" w:ascii="Times New Roman" w:hAnsi="Times New Roman" w:eastAsia="宋体" w:cs="Times New Roman"/>
                      <w:szCs w:val="21"/>
                    </w:rPr>
                    <w:t>□</w:t>
                  </w:r>
                  <w:r>
                    <w:rPr>
                      <w:rFonts w:ascii="Times New Roman" w:hAnsi="Times New Roman" w:eastAsia="宋体" w:cs="Times New Roman"/>
                      <w:szCs w:val="21"/>
                    </w:rPr>
                    <w:t>否</w:t>
                  </w:r>
                </w:p>
              </w:tc>
            </w:tr>
            <w:tr w14:paraId="7D3A0D7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852" w:type="pct"/>
                  <w:gridSpan w:val="2"/>
                  <w:vAlign w:val="center"/>
                </w:tcPr>
                <w:p w14:paraId="0148895D">
                  <w:pPr>
                    <w:jc w:val="center"/>
                    <w:rPr>
                      <w:rFonts w:ascii="Times New Roman" w:hAnsi="Times New Roman" w:eastAsia="宋体" w:cs="Times New Roman"/>
                      <w:szCs w:val="21"/>
                    </w:rPr>
                  </w:pPr>
                  <w:r>
                    <w:rPr>
                      <w:rFonts w:ascii="Times New Roman" w:hAnsi="Times New Roman" w:eastAsia="宋体" w:cs="Times New Roman"/>
                      <w:szCs w:val="21"/>
                    </w:rPr>
                    <w:t>排放口类型</w:t>
                  </w:r>
                </w:p>
              </w:tc>
              <w:tc>
                <w:tcPr>
                  <w:tcW w:w="1383" w:type="pct"/>
                  <w:vAlign w:val="center"/>
                </w:tcPr>
                <w:p w14:paraId="56CA75B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企业总排</w:t>
                  </w:r>
                </w:p>
                <w:p w14:paraId="30140CB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雨水排放</w:t>
                  </w:r>
                </w:p>
                <w:p w14:paraId="0C39604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清净下水排放</w:t>
                  </w:r>
                </w:p>
                <w:p w14:paraId="102ECDA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温排水排放</w:t>
                  </w:r>
                </w:p>
                <w:p w14:paraId="6E931A1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车间或车间处理设施排放口</w:t>
                  </w:r>
                </w:p>
              </w:tc>
              <w:tc>
                <w:tcPr>
                  <w:tcW w:w="1383" w:type="pct"/>
                  <w:vAlign w:val="center"/>
                </w:tcPr>
                <w:p w14:paraId="1C5CA93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企业总排</w:t>
                  </w:r>
                </w:p>
                <w:p w14:paraId="29D47A2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雨水排放</w:t>
                  </w:r>
                </w:p>
                <w:p w14:paraId="575DDA9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清净下水排放</w:t>
                  </w:r>
                </w:p>
                <w:p w14:paraId="4698B3B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温排水排放</w:t>
                  </w:r>
                </w:p>
                <w:p w14:paraId="6B32746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车间或车间处理设施排放口</w:t>
                  </w:r>
                </w:p>
              </w:tc>
              <w:tc>
                <w:tcPr>
                  <w:tcW w:w="1382" w:type="pct"/>
                  <w:vAlign w:val="center"/>
                </w:tcPr>
                <w:p w14:paraId="09A86AD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企业总排</w:t>
                  </w:r>
                </w:p>
                <w:p w14:paraId="1D1852D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雨水排放</w:t>
                  </w:r>
                </w:p>
                <w:p w14:paraId="492FB31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清净下水排放</w:t>
                  </w:r>
                </w:p>
                <w:p w14:paraId="45F5514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温排水排放</w:t>
                  </w:r>
                </w:p>
                <w:p w14:paraId="6F3C73F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ascii="Times New Roman" w:hAnsi="Times New Roman" w:eastAsia="宋体" w:cs="Times New Roman"/>
                      <w:szCs w:val="21"/>
                    </w:rPr>
                    <w:t>车间或车间处理设施排放口</w:t>
                  </w:r>
                </w:p>
              </w:tc>
            </w:tr>
          </w:tbl>
          <w:p w14:paraId="372391BB">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（2）地下水环境影响分析</w:t>
            </w:r>
          </w:p>
          <w:p w14:paraId="6A9A8461">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1 \* GB3</w:instrText>
            </w:r>
            <w:r>
              <w:rPr>
                <w:rFonts w:ascii="Times New Roman" w:hAnsi="Times New Roman" w:eastAsia="宋体" w:cs="Times New Roman"/>
                <w:sz w:val="24"/>
              </w:rPr>
              <w:fldChar w:fldCharType="separate"/>
            </w:r>
            <w:r>
              <w:rPr>
                <w:rFonts w:hint="eastAsia" w:ascii="宋体" w:hAnsi="宋体" w:eastAsia="宋体" w:cs="宋体"/>
                <w:sz w:val="24"/>
              </w:rPr>
              <w:t>①</w:t>
            </w:r>
            <w:r>
              <w:rPr>
                <w:rFonts w:ascii="Times New Roman" w:hAnsi="Times New Roman" w:eastAsia="宋体" w:cs="Times New Roman"/>
                <w:sz w:val="24"/>
              </w:rPr>
              <w:fldChar w:fldCharType="end"/>
            </w:r>
            <w:r>
              <w:rPr>
                <w:rFonts w:ascii="Times New Roman" w:hAnsi="Times New Roman" w:eastAsia="宋体" w:cs="Times New Roman"/>
                <w:sz w:val="24"/>
              </w:rPr>
              <w:t>评价等级确认</w:t>
            </w:r>
          </w:p>
          <w:p w14:paraId="44D56816">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根据《环境影响评价技术导则地下水环境》（HJ610-2016），建设项目地下水环境影响评价工作等级划分见下表。</w:t>
            </w:r>
          </w:p>
          <w:p w14:paraId="4A06EE95">
            <w:pPr>
              <w:pStyle w:val="12"/>
              <w:spacing w:line="480" w:lineRule="exact"/>
              <w:jc w:val="center"/>
              <w:rPr>
                <w:rFonts w:ascii="Times New Roman" w:hAnsi="Times New Roman" w:eastAsia="宋体" w:cs="Times New Roman"/>
              </w:rPr>
            </w:pPr>
            <w:r>
              <w:rPr>
                <w:rFonts w:ascii="Times New Roman" w:hAnsi="Times New Roman" w:eastAsia="宋体" w:cs="Times New Roman"/>
              </w:rPr>
              <w:t>表7-20 建设项目地下水评价工作等级划分表</w:t>
            </w:r>
          </w:p>
          <w:tbl>
            <w:tblPr>
              <w:tblStyle w:val="26"/>
              <w:tblW w:w="817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2165"/>
              <w:gridCol w:w="1875"/>
              <w:gridCol w:w="1843"/>
              <w:gridCol w:w="2287"/>
            </w:tblGrid>
            <w:tr w14:paraId="7EC2A7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7" w:hRule="atLeast"/>
                <w:jc w:val="center"/>
              </w:trPr>
              <w:tc>
                <w:tcPr>
                  <w:tcW w:w="2165" w:type="dxa"/>
                  <w:tcBorders>
                    <w:top w:val="single" w:color="auto" w:sz="12" w:space="0"/>
                    <w:left w:val="single" w:color="auto" w:sz="12" w:space="0"/>
                    <w:bottom w:val="single" w:color="auto" w:sz="6" w:space="0"/>
                    <w:right w:val="single" w:color="auto" w:sz="6" w:space="0"/>
                    <w:tl2br w:val="single" w:color="auto" w:sz="6" w:space="0"/>
                  </w:tcBorders>
                </w:tcPr>
                <w:p w14:paraId="06FB94C3">
                  <w:pPr>
                    <w:jc w:val="right"/>
                    <w:rPr>
                      <w:rFonts w:ascii="Times New Roman" w:hAnsi="Times New Roman" w:eastAsia="宋体" w:cs="Times New Roman"/>
                    </w:rPr>
                  </w:pPr>
                  <w:r>
                    <w:rPr>
                      <w:rFonts w:ascii="Times New Roman" w:hAnsi="Times New Roman" w:eastAsia="宋体" w:cs="Times New Roman"/>
                    </w:rPr>
                    <w:t>项目类别</w:t>
                  </w:r>
                </w:p>
                <w:p w14:paraId="7C86AD04">
                  <w:pPr>
                    <w:jc w:val="left"/>
                    <w:rPr>
                      <w:rFonts w:ascii="Times New Roman" w:hAnsi="Times New Roman" w:eastAsia="宋体" w:cs="Times New Roman"/>
                    </w:rPr>
                  </w:pPr>
                  <w:r>
                    <w:rPr>
                      <w:rFonts w:ascii="Times New Roman" w:hAnsi="Times New Roman" w:eastAsia="宋体" w:cs="Times New Roman"/>
                    </w:rPr>
                    <w:t>环境敏感程度</w:t>
                  </w:r>
                </w:p>
              </w:tc>
              <w:tc>
                <w:tcPr>
                  <w:tcW w:w="1875" w:type="dxa"/>
                  <w:tcBorders>
                    <w:top w:val="single" w:color="auto" w:sz="12" w:space="0"/>
                    <w:left w:val="single" w:color="auto" w:sz="6" w:space="0"/>
                    <w:bottom w:val="single" w:color="auto" w:sz="6" w:space="0"/>
                    <w:right w:val="single" w:color="auto" w:sz="6" w:space="0"/>
                  </w:tcBorders>
                  <w:vAlign w:val="center"/>
                </w:tcPr>
                <w:p w14:paraId="55A86AC9">
                  <w:pPr>
                    <w:jc w:val="center"/>
                    <w:rPr>
                      <w:rFonts w:ascii="Times New Roman" w:hAnsi="Times New Roman" w:eastAsia="宋体" w:cs="Times New Roman"/>
                    </w:rPr>
                  </w:pPr>
                  <w:r>
                    <w:rPr>
                      <w:rFonts w:ascii="Times New Roman" w:hAnsi="Times New Roman" w:eastAsia="宋体" w:cs="Times New Roman"/>
                    </w:rPr>
                    <w:t>I类项目</w:t>
                  </w:r>
                </w:p>
              </w:tc>
              <w:tc>
                <w:tcPr>
                  <w:tcW w:w="1843" w:type="dxa"/>
                  <w:tcBorders>
                    <w:top w:val="single" w:color="auto" w:sz="12" w:space="0"/>
                    <w:left w:val="single" w:color="auto" w:sz="6" w:space="0"/>
                    <w:bottom w:val="single" w:color="auto" w:sz="6" w:space="0"/>
                    <w:right w:val="single" w:color="auto" w:sz="6" w:space="0"/>
                  </w:tcBorders>
                  <w:vAlign w:val="center"/>
                </w:tcPr>
                <w:p w14:paraId="3915966F">
                  <w:pPr>
                    <w:jc w:val="center"/>
                    <w:rPr>
                      <w:rFonts w:ascii="Times New Roman" w:hAnsi="Times New Roman" w:eastAsia="宋体" w:cs="Times New Roman"/>
                    </w:rPr>
                  </w:pPr>
                  <w:r>
                    <w:rPr>
                      <w:rFonts w:ascii="Times New Roman" w:hAnsi="Times New Roman" w:eastAsia="宋体" w:cs="Times New Roman"/>
                    </w:rPr>
                    <w:t>Ⅱ类项目</w:t>
                  </w:r>
                </w:p>
              </w:tc>
              <w:tc>
                <w:tcPr>
                  <w:tcW w:w="2287" w:type="dxa"/>
                  <w:tcBorders>
                    <w:top w:val="single" w:color="auto" w:sz="12" w:space="0"/>
                    <w:left w:val="single" w:color="auto" w:sz="6" w:space="0"/>
                    <w:bottom w:val="single" w:color="auto" w:sz="6" w:space="0"/>
                    <w:right w:val="single" w:color="auto" w:sz="12" w:space="0"/>
                  </w:tcBorders>
                  <w:vAlign w:val="center"/>
                </w:tcPr>
                <w:p w14:paraId="0C38EC01">
                  <w:pPr>
                    <w:jc w:val="center"/>
                    <w:rPr>
                      <w:rFonts w:ascii="Times New Roman" w:hAnsi="Times New Roman" w:eastAsia="宋体" w:cs="Times New Roman"/>
                    </w:rPr>
                  </w:pPr>
                  <w:r>
                    <w:rPr>
                      <w:rFonts w:ascii="Times New Roman" w:hAnsi="Times New Roman" w:eastAsia="宋体" w:cs="Times New Roman"/>
                    </w:rPr>
                    <w:t>Ⅲ类项目</w:t>
                  </w:r>
                </w:p>
              </w:tc>
            </w:tr>
            <w:tr w14:paraId="3A25B9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7" w:hRule="atLeast"/>
                <w:jc w:val="center"/>
              </w:trPr>
              <w:tc>
                <w:tcPr>
                  <w:tcW w:w="2165" w:type="dxa"/>
                  <w:tcBorders>
                    <w:top w:val="single" w:color="auto" w:sz="6" w:space="0"/>
                    <w:left w:val="single" w:color="auto" w:sz="12" w:space="0"/>
                    <w:bottom w:val="single" w:color="auto" w:sz="6" w:space="0"/>
                    <w:right w:val="single" w:color="auto" w:sz="6" w:space="0"/>
                  </w:tcBorders>
                </w:tcPr>
                <w:p w14:paraId="0C9BCC85">
                  <w:pPr>
                    <w:jc w:val="center"/>
                    <w:rPr>
                      <w:rFonts w:ascii="Times New Roman" w:hAnsi="Times New Roman" w:eastAsia="宋体" w:cs="Times New Roman"/>
                    </w:rPr>
                  </w:pPr>
                  <w:r>
                    <w:rPr>
                      <w:rFonts w:ascii="Times New Roman" w:hAnsi="Times New Roman" w:eastAsia="宋体" w:cs="Times New Roman"/>
                    </w:rPr>
                    <w:t>敏感</w:t>
                  </w:r>
                </w:p>
              </w:tc>
              <w:tc>
                <w:tcPr>
                  <w:tcW w:w="1875" w:type="dxa"/>
                  <w:tcBorders>
                    <w:top w:val="single" w:color="auto" w:sz="6" w:space="0"/>
                    <w:left w:val="single" w:color="auto" w:sz="6" w:space="0"/>
                    <w:bottom w:val="single" w:color="auto" w:sz="6" w:space="0"/>
                    <w:right w:val="single" w:color="auto" w:sz="6" w:space="0"/>
                  </w:tcBorders>
                </w:tcPr>
                <w:p w14:paraId="5001B819">
                  <w:pPr>
                    <w:jc w:val="center"/>
                    <w:rPr>
                      <w:rFonts w:ascii="Times New Roman" w:hAnsi="Times New Roman" w:eastAsia="宋体" w:cs="Times New Roman"/>
                    </w:rPr>
                  </w:pPr>
                  <w:r>
                    <w:rPr>
                      <w:rFonts w:ascii="Times New Roman" w:hAnsi="Times New Roman" w:eastAsia="宋体" w:cs="Times New Roman"/>
                    </w:rPr>
                    <w:t>一</w:t>
                  </w:r>
                </w:p>
              </w:tc>
              <w:tc>
                <w:tcPr>
                  <w:tcW w:w="1843" w:type="dxa"/>
                  <w:tcBorders>
                    <w:top w:val="single" w:color="auto" w:sz="6" w:space="0"/>
                    <w:left w:val="single" w:color="auto" w:sz="6" w:space="0"/>
                    <w:bottom w:val="single" w:color="auto" w:sz="6" w:space="0"/>
                    <w:right w:val="single" w:color="auto" w:sz="6" w:space="0"/>
                  </w:tcBorders>
                </w:tcPr>
                <w:p w14:paraId="6D00703F">
                  <w:pPr>
                    <w:jc w:val="center"/>
                    <w:rPr>
                      <w:rFonts w:ascii="Times New Roman" w:hAnsi="Times New Roman" w:eastAsia="宋体" w:cs="Times New Roman"/>
                    </w:rPr>
                  </w:pPr>
                  <w:r>
                    <w:rPr>
                      <w:rFonts w:ascii="Times New Roman" w:hAnsi="Times New Roman" w:eastAsia="宋体" w:cs="Times New Roman"/>
                    </w:rPr>
                    <w:t>一</w:t>
                  </w:r>
                </w:p>
              </w:tc>
              <w:tc>
                <w:tcPr>
                  <w:tcW w:w="2287" w:type="dxa"/>
                  <w:tcBorders>
                    <w:top w:val="single" w:color="auto" w:sz="6" w:space="0"/>
                    <w:left w:val="single" w:color="auto" w:sz="6" w:space="0"/>
                    <w:bottom w:val="single" w:color="auto" w:sz="6" w:space="0"/>
                    <w:right w:val="single" w:color="auto" w:sz="12" w:space="0"/>
                  </w:tcBorders>
                </w:tcPr>
                <w:p w14:paraId="44DF0092">
                  <w:pPr>
                    <w:jc w:val="center"/>
                    <w:rPr>
                      <w:rFonts w:ascii="Times New Roman" w:hAnsi="Times New Roman" w:eastAsia="宋体" w:cs="Times New Roman"/>
                    </w:rPr>
                  </w:pPr>
                  <w:r>
                    <w:rPr>
                      <w:rFonts w:ascii="Times New Roman" w:hAnsi="Times New Roman" w:eastAsia="宋体" w:cs="Times New Roman"/>
                    </w:rPr>
                    <w:t>二</w:t>
                  </w:r>
                </w:p>
              </w:tc>
            </w:tr>
            <w:tr w14:paraId="54AB735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7" w:hRule="atLeast"/>
                <w:jc w:val="center"/>
              </w:trPr>
              <w:tc>
                <w:tcPr>
                  <w:tcW w:w="2165" w:type="dxa"/>
                  <w:tcBorders>
                    <w:top w:val="single" w:color="auto" w:sz="6" w:space="0"/>
                    <w:left w:val="single" w:color="auto" w:sz="12" w:space="0"/>
                    <w:bottom w:val="single" w:color="auto" w:sz="6" w:space="0"/>
                    <w:right w:val="single" w:color="auto" w:sz="6" w:space="0"/>
                  </w:tcBorders>
                </w:tcPr>
                <w:p w14:paraId="543FDE41">
                  <w:pPr>
                    <w:jc w:val="center"/>
                    <w:rPr>
                      <w:rFonts w:ascii="Times New Roman" w:hAnsi="Times New Roman" w:eastAsia="宋体" w:cs="Times New Roman"/>
                    </w:rPr>
                  </w:pPr>
                  <w:r>
                    <w:rPr>
                      <w:rFonts w:ascii="Times New Roman" w:hAnsi="Times New Roman" w:eastAsia="宋体" w:cs="Times New Roman"/>
                    </w:rPr>
                    <w:t>较敏感</w:t>
                  </w:r>
                </w:p>
              </w:tc>
              <w:tc>
                <w:tcPr>
                  <w:tcW w:w="1875" w:type="dxa"/>
                  <w:tcBorders>
                    <w:top w:val="single" w:color="auto" w:sz="6" w:space="0"/>
                    <w:left w:val="single" w:color="auto" w:sz="6" w:space="0"/>
                    <w:bottom w:val="single" w:color="auto" w:sz="6" w:space="0"/>
                    <w:right w:val="single" w:color="auto" w:sz="6" w:space="0"/>
                  </w:tcBorders>
                </w:tcPr>
                <w:p w14:paraId="313E4AF1">
                  <w:pPr>
                    <w:jc w:val="center"/>
                    <w:rPr>
                      <w:rFonts w:ascii="Times New Roman" w:hAnsi="Times New Roman" w:eastAsia="宋体" w:cs="Times New Roman"/>
                    </w:rPr>
                  </w:pPr>
                  <w:r>
                    <w:rPr>
                      <w:rFonts w:ascii="Times New Roman" w:hAnsi="Times New Roman" w:eastAsia="宋体" w:cs="Times New Roman"/>
                    </w:rPr>
                    <w:t>一</w:t>
                  </w:r>
                </w:p>
              </w:tc>
              <w:tc>
                <w:tcPr>
                  <w:tcW w:w="1843" w:type="dxa"/>
                  <w:tcBorders>
                    <w:top w:val="single" w:color="auto" w:sz="6" w:space="0"/>
                    <w:left w:val="single" w:color="auto" w:sz="6" w:space="0"/>
                    <w:bottom w:val="single" w:color="auto" w:sz="6" w:space="0"/>
                    <w:right w:val="single" w:color="auto" w:sz="6" w:space="0"/>
                  </w:tcBorders>
                </w:tcPr>
                <w:p w14:paraId="3DCDC589">
                  <w:pPr>
                    <w:jc w:val="center"/>
                    <w:rPr>
                      <w:rFonts w:ascii="Times New Roman" w:hAnsi="Times New Roman" w:eastAsia="宋体" w:cs="Times New Roman"/>
                    </w:rPr>
                  </w:pPr>
                  <w:r>
                    <w:rPr>
                      <w:rFonts w:ascii="Times New Roman" w:hAnsi="Times New Roman" w:eastAsia="宋体" w:cs="Times New Roman"/>
                    </w:rPr>
                    <w:t>二</w:t>
                  </w:r>
                </w:p>
              </w:tc>
              <w:tc>
                <w:tcPr>
                  <w:tcW w:w="2287" w:type="dxa"/>
                  <w:tcBorders>
                    <w:top w:val="single" w:color="auto" w:sz="6" w:space="0"/>
                    <w:left w:val="single" w:color="auto" w:sz="6" w:space="0"/>
                    <w:bottom w:val="single" w:color="auto" w:sz="6" w:space="0"/>
                    <w:right w:val="single" w:color="auto" w:sz="12" w:space="0"/>
                  </w:tcBorders>
                </w:tcPr>
                <w:p w14:paraId="1A1FE546">
                  <w:pPr>
                    <w:jc w:val="center"/>
                    <w:rPr>
                      <w:rFonts w:ascii="Times New Roman" w:hAnsi="Times New Roman" w:eastAsia="宋体" w:cs="Times New Roman"/>
                    </w:rPr>
                  </w:pPr>
                  <w:r>
                    <w:rPr>
                      <w:rFonts w:ascii="Times New Roman" w:hAnsi="Times New Roman" w:eastAsia="宋体" w:cs="Times New Roman"/>
                    </w:rPr>
                    <w:t>三</w:t>
                  </w:r>
                </w:p>
              </w:tc>
            </w:tr>
            <w:tr w14:paraId="74AEDD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7" w:hRule="atLeast"/>
                <w:jc w:val="center"/>
              </w:trPr>
              <w:tc>
                <w:tcPr>
                  <w:tcW w:w="2165" w:type="dxa"/>
                  <w:tcBorders>
                    <w:top w:val="single" w:color="auto" w:sz="6" w:space="0"/>
                    <w:left w:val="single" w:color="auto" w:sz="12" w:space="0"/>
                    <w:bottom w:val="single" w:color="auto" w:sz="12" w:space="0"/>
                    <w:right w:val="single" w:color="auto" w:sz="6" w:space="0"/>
                  </w:tcBorders>
                </w:tcPr>
                <w:p w14:paraId="507594D2">
                  <w:pPr>
                    <w:jc w:val="center"/>
                    <w:rPr>
                      <w:rFonts w:ascii="Times New Roman" w:hAnsi="Times New Roman" w:eastAsia="宋体" w:cs="Times New Roman"/>
                    </w:rPr>
                  </w:pPr>
                  <w:r>
                    <w:rPr>
                      <w:rFonts w:ascii="Times New Roman" w:hAnsi="Times New Roman" w:eastAsia="宋体" w:cs="Times New Roman"/>
                    </w:rPr>
                    <w:t>不敏感</w:t>
                  </w:r>
                </w:p>
              </w:tc>
              <w:tc>
                <w:tcPr>
                  <w:tcW w:w="1875" w:type="dxa"/>
                  <w:tcBorders>
                    <w:top w:val="single" w:color="auto" w:sz="6" w:space="0"/>
                    <w:left w:val="single" w:color="auto" w:sz="6" w:space="0"/>
                    <w:bottom w:val="single" w:color="auto" w:sz="12" w:space="0"/>
                    <w:right w:val="single" w:color="auto" w:sz="6" w:space="0"/>
                  </w:tcBorders>
                </w:tcPr>
                <w:p w14:paraId="49DB148E">
                  <w:pPr>
                    <w:jc w:val="center"/>
                    <w:rPr>
                      <w:rFonts w:ascii="Times New Roman" w:hAnsi="Times New Roman" w:eastAsia="宋体" w:cs="Times New Roman"/>
                    </w:rPr>
                  </w:pPr>
                  <w:r>
                    <w:rPr>
                      <w:rFonts w:ascii="Times New Roman" w:hAnsi="Times New Roman" w:eastAsia="宋体" w:cs="Times New Roman"/>
                    </w:rPr>
                    <w:t>二</w:t>
                  </w:r>
                </w:p>
              </w:tc>
              <w:tc>
                <w:tcPr>
                  <w:tcW w:w="1843" w:type="dxa"/>
                  <w:tcBorders>
                    <w:top w:val="single" w:color="auto" w:sz="6" w:space="0"/>
                    <w:left w:val="single" w:color="auto" w:sz="6" w:space="0"/>
                    <w:bottom w:val="single" w:color="auto" w:sz="12" w:space="0"/>
                    <w:right w:val="single" w:color="auto" w:sz="6" w:space="0"/>
                  </w:tcBorders>
                </w:tcPr>
                <w:p w14:paraId="74B06460">
                  <w:pPr>
                    <w:jc w:val="center"/>
                    <w:rPr>
                      <w:rFonts w:ascii="Times New Roman" w:hAnsi="Times New Roman" w:eastAsia="宋体" w:cs="Times New Roman"/>
                    </w:rPr>
                  </w:pPr>
                  <w:r>
                    <w:rPr>
                      <w:rFonts w:ascii="Times New Roman" w:hAnsi="Times New Roman" w:eastAsia="宋体" w:cs="Times New Roman"/>
                    </w:rPr>
                    <w:t>三</w:t>
                  </w:r>
                </w:p>
              </w:tc>
              <w:tc>
                <w:tcPr>
                  <w:tcW w:w="2287" w:type="dxa"/>
                  <w:tcBorders>
                    <w:top w:val="single" w:color="auto" w:sz="6" w:space="0"/>
                    <w:left w:val="single" w:color="auto" w:sz="6" w:space="0"/>
                    <w:bottom w:val="single" w:color="auto" w:sz="12" w:space="0"/>
                    <w:right w:val="single" w:color="auto" w:sz="12" w:space="0"/>
                  </w:tcBorders>
                </w:tcPr>
                <w:p w14:paraId="2E079A15">
                  <w:pPr>
                    <w:jc w:val="center"/>
                    <w:rPr>
                      <w:rFonts w:ascii="Times New Roman" w:hAnsi="Times New Roman" w:eastAsia="宋体" w:cs="Times New Roman"/>
                    </w:rPr>
                  </w:pPr>
                  <w:r>
                    <w:rPr>
                      <w:rFonts w:ascii="Times New Roman" w:hAnsi="Times New Roman" w:eastAsia="宋体" w:cs="Times New Roman"/>
                    </w:rPr>
                    <w:t>三</w:t>
                  </w:r>
                </w:p>
              </w:tc>
            </w:tr>
          </w:tbl>
          <w:p w14:paraId="7386FBE3">
            <w:pPr>
              <w:pStyle w:val="12"/>
              <w:spacing w:line="480" w:lineRule="exact"/>
              <w:jc w:val="center"/>
              <w:rPr>
                <w:rFonts w:ascii="Times New Roman" w:hAnsi="Times New Roman" w:eastAsia="宋体" w:cs="Times New Roman"/>
              </w:rPr>
            </w:pPr>
            <w:r>
              <w:rPr>
                <w:rFonts w:ascii="Times New Roman" w:hAnsi="Times New Roman" w:eastAsia="宋体" w:cs="Times New Roman"/>
              </w:rPr>
              <w:t>表7-21 建设项目的地下水环境敏感程度分级表</w:t>
            </w:r>
          </w:p>
          <w:tbl>
            <w:tblPr>
              <w:tblStyle w:val="26"/>
              <w:tblW w:w="8194"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177"/>
              <w:gridCol w:w="7017"/>
            </w:tblGrid>
            <w:tr w14:paraId="1283B1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89" w:hRule="atLeast"/>
                <w:tblHeader/>
                <w:jc w:val="center"/>
              </w:trPr>
              <w:tc>
                <w:tcPr>
                  <w:tcW w:w="1177" w:type="dxa"/>
                  <w:tcBorders>
                    <w:top w:val="single" w:color="auto" w:sz="12" w:space="0"/>
                    <w:left w:val="single" w:color="auto" w:sz="12" w:space="0"/>
                    <w:bottom w:val="single" w:color="auto" w:sz="6" w:space="0"/>
                    <w:right w:val="single" w:color="auto" w:sz="6" w:space="0"/>
                  </w:tcBorders>
                  <w:vAlign w:val="center"/>
                </w:tcPr>
                <w:p w14:paraId="1C7A30AC">
                  <w:pPr>
                    <w:pStyle w:val="77"/>
                    <w:framePr w:hSpace="0" w:wrap="auto" w:vAnchor="margin" w:hAnchor="text" w:yAlign="inline"/>
                    <w:jc w:val="both"/>
                    <w:rPr>
                      <w:rFonts w:ascii="Times New Roman" w:hAnsi="Times New Roman" w:eastAsia="宋体" w:cs="Times New Roman"/>
                      <w:b w:val="0"/>
                      <w:snapToGrid w:val="0"/>
                      <w:sz w:val="21"/>
                    </w:rPr>
                  </w:pPr>
                  <w:r>
                    <w:rPr>
                      <w:rFonts w:ascii="Times New Roman" w:hAnsi="Times New Roman" w:eastAsia="宋体" w:cs="Times New Roman"/>
                      <w:b w:val="0"/>
                      <w:snapToGrid w:val="0"/>
                      <w:sz w:val="21"/>
                    </w:rPr>
                    <w:t>敏感程度</w:t>
                  </w:r>
                </w:p>
              </w:tc>
              <w:tc>
                <w:tcPr>
                  <w:tcW w:w="7017" w:type="dxa"/>
                  <w:tcBorders>
                    <w:top w:val="single" w:color="auto" w:sz="12" w:space="0"/>
                    <w:left w:val="single" w:color="auto" w:sz="6" w:space="0"/>
                    <w:bottom w:val="single" w:color="auto" w:sz="6" w:space="0"/>
                    <w:right w:val="single" w:color="auto" w:sz="12" w:space="0"/>
                  </w:tcBorders>
                  <w:vAlign w:val="center"/>
                </w:tcPr>
                <w:p w14:paraId="16A9FE0B">
                  <w:pPr>
                    <w:pStyle w:val="77"/>
                    <w:framePr w:hSpace="0" w:wrap="auto" w:vAnchor="margin" w:hAnchor="text" w:yAlign="inline"/>
                    <w:ind w:firstLine="420"/>
                    <w:rPr>
                      <w:rFonts w:ascii="Times New Roman" w:hAnsi="Times New Roman" w:eastAsia="宋体" w:cs="Times New Roman"/>
                      <w:b w:val="0"/>
                      <w:snapToGrid w:val="0"/>
                      <w:sz w:val="21"/>
                    </w:rPr>
                  </w:pPr>
                  <w:r>
                    <w:rPr>
                      <w:rFonts w:ascii="Times New Roman" w:hAnsi="Times New Roman" w:eastAsia="宋体" w:cs="Times New Roman"/>
                      <w:b w:val="0"/>
                      <w:snapToGrid w:val="0"/>
                      <w:sz w:val="21"/>
                    </w:rPr>
                    <w:t>地下水环境敏感特征</w:t>
                  </w:r>
                </w:p>
              </w:tc>
            </w:tr>
            <w:tr w14:paraId="384FC1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36" w:hRule="atLeast"/>
                <w:jc w:val="center"/>
              </w:trPr>
              <w:tc>
                <w:tcPr>
                  <w:tcW w:w="1177" w:type="dxa"/>
                  <w:tcBorders>
                    <w:top w:val="single" w:color="auto" w:sz="6" w:space="0"/>
                    <w:left w:val="single" w:color="auto" w:sz="12" w:space="0"/>
                    <w:bottom w:val="single" w:color="auto" w:sz="6" w:space="0"/>
                    <w:right w:val="single" w:color="auto" w:sz="6" w:space="0"/>
                  </w:tcBorders>
                  <w:vAlign w:val="center"/>
                </w:tcPr>
                <w:p w14:paraId="6138B7B8">
                  <w:pPr>
                    <w:pStyle w:val="42"/>
                    <w:rPr>
                      <w:rFonts w:ascii="Times New Roman" w:hAnsi="Times New Roman" w:eastAsia="宋体" w:cs="Times New Roman"/>
                      <w:snapToGrid w:val="0"/>
                      <w:kern w:val="2"/>
                      <w:szCs w:val="24"/>
                    </w:rPr>
                  </w:pPr>
                  <w:r>
                    <w:rPr>
                      <w:rFonts w:ascii="Times New Roman" w:hAnsi="Times New Roman" w:eastAsia="宋体" w:cs="Times New Roman"/>
                      <w:snapToGrid w:val="0"/>
                      <w:kern w:val="2"/>
                      <w:szCs w:val="24"/>
                    </w:rPr>
                    <w:t>敏感</w:t>
                  </w:r>
                </w:p>
              </w:tc>
              <w:tc>
                <w:tcPr>
                  <w:tcW w:w="7017" w:type="dxa"/>
                  <w:tcBorders>
                    <w:top w:val="single" w:color="auto" w:sz="6" w:space="0"/>
                    <w:left w:val="single" w:color="auto" w:sz="6" w:space="0"/>
                    <w:bottom w:val="single" w:color="auto" w:sz="6" w:space="0"/>
                    <w:right w:val="single" w:color="auto" w:sz="12" w:space="0"/>
                  </w:tcBorders>
                  <w:vAlign w:val="center"/>
                </w:tcPr>
                <w:p w14:paraId="57ECF3BF">
                  <w:pPr>
                    <w:pStyle w:val="42"/>
                    <w:ind w:firstLine="420"/>
                    <w:jc w:val="left"/>
                    <w:rPr>
                      <w:rFonts w:ascii="Times New Roman" w:hAnsi="Times New Roman" w:eastAsia="宋体" w:cs="Times New Roman"/>
                      <w:snapToGrid w:val="0"/>
                      <w:kern w:val="2"/>
                      <w:szCs w:val="24"/>
                    </w:rPr>
                  </w:pPr>
                  <w:r>
                    <w:rPr>
                      <w:rFonts w:ascii="Times New Roman" w:hAnsi="Times New Roman" w:eastAsia="宋体" w:cs="Times New Roman"/>
                      <w:snapToGrid w:val="0"/>
                      <w:kern w:val="2"/>
                      <w:szCs w:val="24"/>
                    </w:rPr>
                    <w:t>集中式饮用水水源（包括已建成的在用、备用、应急水源，在建和规划的饮用水水源）准保护区；除集中式饮用水水源以外的国家或地方政府设定的与地下水环境相关的其他保护区，如热水、矿泉水、温泉等特殊地下水资源保护区。</w:t>
                  </w:r>
                </w:p>
              </w:tc>
            </w:tr>
            <w:tr w14:paraId="1A7C4FF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336" w:hRule="atLeast"/>
                <w:jc w:val="center"/>
              </w:trPr>
              <w:tc>
                <w:tcPr>
                  <w:tcW w:w="1177" w:type="dxa"/>
                  <w:tcBorders>
                    <w:top w:val="single" w:color="auto" w:sz="6" w:space="0"/>
                    <w:left w:val="single" w:color="auto" w:sz="12" w:space="0"/>
                    <w:bottom w:val="single" w:color="auto" w:sz="6" w:space="0"/>
                    <w:right w:val="single" w:color="auto" w:sz="6" w:space="0"/>
                  </w:tcBorders>
                  <w:shd w:val="clear" w:color="auto" w:fill="auto"/>
                  <w:vAlign w:val="center"/>
                </w:tcPr>
                <w:p w14:paraId="66BC40AC">
                  <w:pPr>
                    <w:pStyle w:val="42"/>
                    <w:rPr>
                      <w:rFonts w:ascii="Times New Roman" w:hAnsi="Times New Roman" w:eastAsia="宋体" w:cs="Times New Roman"/>
                      <w:snapToGrid w:val="0"/>
                      <w:kern w:val="2"/>
                      <w:szCs w:val="24"/>
                    </w:rPr>
                  </w:pPr>
                  <w:r>
                    <w:rPr>
                      <w:rFonts w:ascii="Times New Roman" w:hAnsi="Times New Roman" w:eastAsia="宋体" w:cs="Times New Roman"/>
                      <w:snapToGrid w:val="0"/>
                      <w:kern w:val="2"/>
                      <w:szCs w:val="24"/>
                    </w:rPr>
                    <w:t>较敏感</w:t>
                  </w:r>
                </w:p>
              </w:tc>
              <w:tc>
                <w:tcPr>
                  <w:tcW w:w="7017" w:type="dxa"/>
                  <w:tcBorders>
                    <w:top w:val="single" w:color="auto" w:sz="6" w:space="0"/>
                    <w:left w:val="single" w:color="auto" w:sz="6" w:space="0"/>
                    <w:bottom w:val="single" w:color="auto" w:sz="6" w:space="0"/>
                    <w:right w:val="single" w:color="auto" w:sz="12" w:space="0"/>
                  </w:tcBorders>
                  <w:shd w:val="clear" w:color="auto" w:fill="auto"/>
                  <w:vAlign w:val="center"/>
                </w:tcPr>
                <w:p w14:paraId="5F09EAA9">
                  <w:pPr>
                    <w:pStyle w:val="42"/>
                    <w:ind w:firstLine="420"/>
                    <w:jc w:val="left"/>
                    <w:rPr>
                      <w:rFonts w:ascii="Times New Roman" w:hAnsi="Times New Roman" w:eastAsia="宋体" w:cs="Times New Roman"/>
                      <w:snapToGrid w:val="0"/>
                      <w:kern w:val="2"/>
                      <w:szCs w:val="24"/>
                    </w:rPr>
                  </w:pPr>
                  <w:r>
                    <w:rPr>
                      <w:rFonts w:ascii="Times New Roman" w:hAnsi="Times New Roman" w:eastAsia="宋体" w:cs="Times New Roman"/>
                      <w:snapToGrid w:val="0"/>
                      <w:kern w:val="2"/>
                      <w:szCs w:val="24"/>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他未列入上述敏感分级的环境敏感区a。</w:t>
                  </w:r>
                </w:p>
              </w:tc>
            </w:tr>
            <w:tr w14:paraId="3F39F0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36" w:hRule="atLeast"/>
                <w:jc w:val="center"/>
              </w:trPr>
              <w:tc>
                <w:tcPr>
                  <w:tcW w:w="1177" w:type="dxa"/>
                  <w:tcBorders>
                    <w:top w:val="single" w:color="auto" w:sz="6" w:space="0"/>
                    <w:left w:val="single" w:color="auto" w:sz="12" w:space="0"/>
                    <w:bottom w:val="single" w:color="auto" w:sz="12" w:space="0"/>
                    <w:right w:val="single" w:color="auto" w:sz="6" w:space="0"/>
                  </w:tcBorders>
                  <w:shd w:val="clear" w:color="auto" w:fill="D0CECE"/>
                  <w:vAlign w:val="center"/>
                </w:tcPr>
                <w:p w14:paraId="2E1509F4">
                  <w:pPr>
                    <w:pStyle w:val="42"/>
                    <w:rPr>
                      <w:rFonts w:ascii="Times New Roman" w:hAnsi="Times New Roman" w:eastAsia="宋体" w:cs="Times New Roman"/>
                      <w:snapToGrid w:val="0"/>
                      <w:kern w:val="2"/>
                      <w:szCs w:val="24"/>
                    </w:rPr>
                  </w:pPr>
                  <w:r>
                    <w:rPr>
                      <w:rFonts w:ascii="Times New Roman" w:hAnsi="Times New Roman" w:eastAsia="宋体" w:cs="Times New Roman"/>
                      <w:snapToGrid w:val="0"/>
                      <w:kern w:val="2"/>
                      <w:szCs w:val="24"/>
                    </w:rPr>
                    <w:t>不敏感</w:t>
                  </w:r>
                </w:p>
              </w:tc>
              <w:tc>
                <w:tcPr>
                  <w:tcW w:w="7017" w:type="dxa"/>
                  <w:tcBorders>
                    <w:top w:val="single" w:color="auto" w:sz="6" w:space="0"/>
                    <w:left w:val="single" w:color="auto" w:sz="6" w:space="0"/>
                    <w:bottom w:val="single" w:color="auto" w:sz="12" w:space="0"/>
                    <w:right w:val="single" w:color="auto" w:sz="12" w:space="0"/>
                  </w:tcBorders>
                  <w:shd w:val="clear" w:color="auto" w:fill="D0CECE"/>
                  <w:vAlign w:val="center"/>
                </w:tcPr>
                <w:p w14:paraId="782BB133">
                  <w:pPr>
                    <w:pStyle w:val="42"/>
                    <w:ind w:firstLine="420"/>
                    <w:rPr>
                      <w:rFonts w:ascii="Times New Roman" w:hAnsi="Times New Roman" w:eastAsia="宋体" w:cs="Times New Roman"/>
                      <w:snapToGrid w:val="0"/>
                      <w:kern w:val="2"/>
                      <w:szCs w:val="24"/>
                    </w:rPr>
                  </w:pPr>
                  <w:r>
                    <w:rPr>
                      <w:rFonts w:ascii="Times New Roman" w:hAnsi="Times New Roman" w:eastAsia="宋体" w:cs="Times New Roman"/>
                      <w:snapToGrid w:val="0"/>
                      <w:kern w:val="2"/>
                      <w:szCs w:val="24"/>
                    </w:rPr>
                    <w:t>上述地区之外的其他地区。</w:t>
                  </w:r>
                </w:p>
              </w:tc>
            </w:tr>
          </w:tbl>
          <w:p w14:paraId="2CC7A702">
            <w:pPr>
              <w:ind w:firstLine="420"/>
              <w:rPr>
                <w:rFonts w:ascii="Times New Roman" w:hAnsi="Times New Roman" w:eastAsia="宋体" w:cs="Times New Roman"/>
              </w:rPr>
            </w:pPr>
            <w:r>
              <w:rPr>
                <w:rFonts w:ascii="Times New Roman" w:hAnsi="Times New Roman" w:eastAsia="宋体" w:cs="Times New Roman"/>
                <w:b/>
              </w:rPr>
              <w:t>注</w:t>
            </w:r>
            <w:r>
              <w:rPr>
                <w:rFonts w:ascii="Times New Roman" w:hAnsi="Times New Roman" w:eastAsia="宋体" w:cs="Times New Roman"/>
              </w:rPr>
              <w:t>：a“环境敏感区”是指《建设项目环境影响评价分类管理名录》中所界定的涉及地下水的环境敏感区。</w:t>
            </w:r>
          </w:p>
          <w:p w14:paraId="025ED58A">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根据《地下水环境影响评价技术导则（HJ 610-2016）》中</w:t>
            </w:r>
            <w:r>
              <w:rPr>
                <w:rFonts w:hint="eastAsia" w:ascii="Times New Roman" w:hAnsi="Times New Roman" w:eastAsia="宋体" w:cs="Times New Roman"/>
                <w:sz w:val="24"/>
              </w:rPr>
              <w:t>“</w:t>
            </w:r>
            <w:r>
              <w:rPr>
                <w:rFonts w:ascii="Times New Roman" w:hAnsi="Times New Roman" w:eastAsia="宋体" w:cs="Times New Roman"/>
                <w:sz w:val="24"/>
              </w:rPr>
              <w:t>附录A 地下水环境影响评价行业分类表</w:t>
            </w:r>
            <w:r>
              <w:rPr>
                <w:rFonts w:hint="eastAsia" w:ascii="Times New Roman" w:hAnsi="Times New Roman" w:eastAsia="宋体" w:cs="Times New Roman"/>
                <w:sz w:val="24"/>
              </w:rPr>
              <w:t>”</w:t>
            </w:r>
            <w:r>
              <w:rPr>
                <w:rFonts w:ascii="Times New Roman" w:hAnsi="Times New Roman" w:eastAsia="宋体" w:cs="Times New Roman"/>
                <w:sz w:val="24"/>
              </w:rPr>
              <w:t>，项目行业类别为</w:t>
            </w:r>
            <w:r>
              <w:rPr>
                <w:rFonts w:hint="eastAsia" w:ascii="Times New Roman" w:hAnsi="Times New Roman" w:eastAsia="宋体" w:cs="Times New Roman"/>
                <w:sz w:val="24"/>
              </w:rPr>
              <w:t>“</w:t>
            </w:r>
            <w:r>
              <w:rPr>
                <w:rFonts w:ascii="Times New Roman" w:hAnsi="Times New Roman" w:eastAsia="宋体" w:cs="Times New Roman"/>
                <w:sz w:val="24"/>
              </w:rPr>
              <w:t xml:space="preserve">U  </w:t>
            </w:r>
            <w:r>
              <w:rPr>
                <w:rFonts w:hint="eastAsia" w:ascii="Times New Roman" w:hAnsi="Times New Roman" w:eastAsia="宋体" w:cs="Times New Roman"/>
                <w:sz w:val="24"/>
              </w:rPr>
              <w:t>城镇基础设施及房地产”</w:t>
            </w:r>
            <w:r>
              <w:rPr>
                <w:rFonts w:ascii="Times New Roman" w:hAnsi="Times New Roman" w:eastAsia="宋体" w:cs="Times New Roman"/>
                <w:sz w:val="24"/>
              </w:rPr>
              <w:t>中的</w:t>
            </w:r>
            <w:r>
              <w:rPr>
                <w:rFonts w:hint="eastAsia" w:ascii="Times New Roman" w:hAnsi="Times New Roman" w:eastAsia="宋体" w:cs="Times New Roman"/>
                <w:sz w:val="24"/>
              </w:rPr>
              <w:t>“</w:t>
            </w:r>
            <w:r>
              <w:rPr>
                <w:rFonts w:ascii="Times New Roman" w:hAnsi="Times New Roman" w:eastAsia="宋体" w:cs="Times New Roman"/>
                <w:sz w:val="24"/>
              </w:rPr>
              <w:t>155</w:t>
            </w:r>
            <w:r>
              <w:rPr>
                <w:rFonts w:hint="eastAsia" w:ascii="Times New Roman" w:hAnsi="Times New Roman" w:eastAsia="宋体" w:cs="Times New Roman"/>
                <w:sz w:val="24"/>
              </w:rPr>
              <w:t>、废旧资源（含生物质）加工、再生利用</w:t>
            </w:r>
            <w:r>
              <w:rPr>
                <w:rFonts w:ascii="Times New Roman" w:hAnsi="Times New Roman" w:eastAsia="宋体" w:cs="Times New Roman"/>
                <w:sz w:val="24"/>
              </w:rPr>
              <w:t xml:space="preserve">  （其</w:t>
            </w:r>
            <w:r>
              <w:rPr>
                <w:rFonts w:hint="eastAsia" w:ascii="Times New Roman" w:hAnsi="Times New Roman" w:eastAsia="宋体" w:cs="Times New Roman"/>
                <w:sz w:val="24"/>
              </w:rPr>
              <w:t>他</w:t>
            </w:r>
            <w:r>
              <w:rPr>
                <w:rFonts w:ascii="Times New Roman" w:hAnsi="Times New Roman" w:eastAsia="宋体" w:cs="Times New Roman"/>
                <w:sz w:val="24"/>
              </w:rPr>
              <w:t>）</w:t>
            </w:r>
            <w:r>
              <w:rPr>
                <w:rFonts w:hint="eastAsia" w:ascii="Times New Roman" w:hAnsi="Times New Roman" w:eastAsia="宋体" w:cs="Times New Roman"/>
                <w:sz w:val="24"/>
              </w:rPr>
              <w:t>”</w:t>
            </w:r>
            <w:r>
              <w:rPr>
                <w:rFonts w:ascii="Times New Roman" w:hAnsi="Times New Roman" w:eastAsia="宋体" w:cs="Times New Roman"/>
                <w:sz w:val="24"/>
              </w:rPr>
              <w:t>，环评类别为</w:t>
            </w:r>
            <w:r>
              <w:rPr>
                <w:rFonts w:hint="eastAsia" w:ascii="Times New Roman" w:hAnsi="Times New Roman" w:eastAsia="宋体" w:cs="Times New Roman"/>
                <w:sz w:val="24"/>
              </w:rPr>
              <w:t>“</w:t>
            </w:r>
            <w:r>
              <w:rPr>
                <w:rFonts w:ascii="Times New Roman" w:hAnsi="Times New Roman" w:eastAsia="宋体" w:cs="Times New Roman"/>
                <w:sz w:val="24"/>
              </w:rPr>
              <w:t>报告表</w:t>
            </w:r>
            <w:r>
              <w:rPr>
                <w:rFonts w:hint="eastAsia" w:ascii="Times New Roman" w:hAnsi="Times New Roman" w:eastAsia="宋体" w:cs="Times New Roman"/>
                <w:sz w:val="24"/>
              </w:rPr>
              <w:t>”</w:t>
            </w:r>
            <w:r>
              <w:rPr>
                <w:rFonts w:ascii="Times New Roman" w:hAnsi="Times New Roman" w:eastAsia="宋体" w:cs="Times New Roman"/>
                <w:sz w:val="24"/>
              </w:rPr>
              <w:t>，对应地下水环境影响评价项目类别为</w:t>
            </w:r>
            <w:r>
              <w:rPr>
                <w:rFonts w:hint="eastAsia" w:ascii="Times New Roman" w:hAnsi="Times New Roman" w:eastAsia="宋体" w:cs="Times New Roman"/>
                <w:sz w:val="24"/>
              </w:rPr>
              <w:t>“</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4 \* ROMAN </w:instrText>
            </w:r>
            <w:r>
              <w:rPr>
                <w:rFonts w:ascii="Times New Roman" w:hAnsi="Times New Roman" w:eastAsia="宋体" w:cs="Times New Roman"/>
                <w:sz w:val="24"/>
              </w:rPr>
              <w:fldChar w:fldCharType="separate"/>
            </w:r>
            <w:r>
              <w:rPr>
                <w:rFonts w:ascii="Times New Roman" w:hAnsi="Times New Roman" w:eastAsia="宋体" w:cs="Times New Roman"/>
                <w:sz w:val="24"/>
              </w:rPr>
              <w:t>IV</w:t>
            </w:r>
            <w:r>
              <w:rPr>
                <w:rFonts w:ascii="Times New Roman" w:hAnsi="Times New Roman" w:eastAsia="宋体" w:cs="Times New Roman"/>
                <w:sz w:val="24"/>
              </w:rPr>
              <w:fldChar w:fldCharType="end"/>
            </w:r>
            <w:r>
              <w:rPr>
                <w:rFonts w:ascii="Times New Roman" w:hAnsi="Times New Roman" w:eastAsia="宋体" w:cs="Times New Roman"/>
                <w:sz w:val="24"/>
              </w:rPr>
              <w:t>类</w:t>
            </w:r>
            <w:r>
              <w:rPr>
                <w:rFonts w:hint="eastAsia" w:ascii="Times New Roman" w:hAnsi="Times New Roman" w:eastAsia="宋体" w:cs="Times New Roman"/>
                <w:sz w:val="24"/>
              </w:rPr>
              <w:t>”</w:t>
            </w:r>
            <w:r>
              <w:rPr>
                <w:rFonts w:ascii="Times New Roman" w:hAnsi="Times New Roman" w:eastAsia="宋体" w:cs="Times New Roman"/>
                <w:sz w:val="24"/>
              </w:rPr>
              <w:t>。</w:t>
            </w:r>
          </w:p>
          <w:p w14:paraId="0B32D27F">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2 \* GB3</w:instrText>
            </w:r>
            <w:r>
              <w:rPr>
                <w:rFonts w:ascii="Times New Roman" w:hAnsi="Times New Roman" w:eastAsia="宋体" w:cs="Times New Roman"/>
                <w:sz w:val="24"/>
              </w:rPr>
              <w:fldChar w:fldCharType="separate"/>
            </w:r>
            <w:r>
              <w:rPr>
                <w:rFonts w:hint="eastAsia" w:ascii="宋体" w:hAnsi="宋体" w:eastAsia="宋体" w:cs="宋体"/>
                <w:sz w:val="24"/>
              </w:rPr>
              <w:t>②</w:t>
            </w:r>
            <w:r>
              <w:rPr>
                <w:rFonts w:ascii="Times New Roman" w:hAnsi="Times New Roman" w:eastAsia="宋体" w:cs="Times New Roman"/>
                <w:sz w:val="24"/>
              </w:rPr>
              <w:fldChar w:fldCharType="end"/>
            </w:r>
            <w:r>
              <w:rPr>
                <w:rFonts w:ascii="Times New Roman" w:hAnsi="Times New Roman" w:eastAsia="宋体" w:cs="Times New Roman"/>
                <w:sz w:val="24"/>
              </w:rPr>
              <w:t>评价分析</w:t>
            </w:r>
          </w:p>
          <w:p w14:paraId="37C210EE">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根据《环境影响评价技术导则地下水环境》（HJ610-2016）4总则中</w:t>
            </w:r>
            <w:r>
              <w:rPr>
                <w:rFonts w:hint="eastAsia" w:ascii="Times New Roman" w:hAnsi="Times New Roman" w:eastAsia="宋体" w:cs="Times New Roman"/>
                <w:sz w:val="24"/>
              </w:rPr>
              <w:t>“</w:t>
            </w:r>
            <w:r>
              <w:rPr>
                <w:rFonts w:ascii="Times New Roman" w:hAnsi="Times New Roman" w:eastAsia="宋体" w:cs="Times New Roman"/>
                <w:sz w:val="24"/>
              </w:rPr>
              <w:t>4.1一般性原则根据建设项目对地下水环境影响的程度，结合《建设项目环境影响评价分类管理名录》，将建设项目分为四类，详见附录A。</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1 \* ROMAN</w:instrText>
            </w:r>
            <w:r>
              <w:rPr>
                <w:rFonts w:ascii="Times New Roman" w:hAnsi="Times New Roman" w:eastAsia="宋体" w:cs="Times New Roman"/>
                <w:sz w:val="24"/>
              </w:rPr>
              <w:fldChar w:fldCharType="separate"/>
            </w:r>
            <w:r>
              <w:rPr>
                <w:rFonts w:ascii="Times New Roman" w:hAnsi="Times New Roman" w:eastAsia="宋体" w:cs="Times New Roman"/>
                <w:sz w:val="24"/>
              </w:rPr>
              <w:t>I</w:t>
            </w:r>
            <w:r>
              <w:rPr>
                <w:rFonts w:ascii="Times New Roman" w:hAnsi="Times New Roman" w:eastAsia="宋体" w:cs="Times New Roman"/>
                <w:sz w:val="24"/>
              </w:rPr>
              <w:fldChar w:fldCharType="end"/>
            </w:r>
            <w:r>
              <w:rPr>
                <w:rFonts w:ascii="Times New Roman" w:hAnsi="Times New Roman" w:eastAsia="宋体" w:cs="Times New Roman"/>
                <w:sz w:val="24"/>
              </w:rPr>
              <w:t>类、类、</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3 \* ROMAN</w:instrText>
            </w:r>
            <w:r>
              <w:rPr>
                <w:rFonts w:ascii="Times New Roman" w:hAnsi="Times New Roman" w:eastAsia="宋体" w:cs="Times New Roman"/>
                <w:sz w:val="24"/>
              </w:rPr>
              <w:fldChar w:fldCharType="separate"/>
            </w:r>
            <w:r>
              <w:rPr>
                <w:rFonts w:hint="eastAsia" w:ascii="Times New Roman" w:hAnsi="Times New Roman" w:eastAsia="宋体" w:cs="Times New Roman"/>
                <w:sz w:val="24"/>
                <w:lang w:eastAsia="zh-CN"/>
              </w:rPr>
              <w:t>Ⅲ</w:t>
            </w:r>
            <w:r>
              <w:rPr>
                <w:rFonts w:ascii="Times New Roman" w:hAnsi="Times New Roman" w:eastAsia="宋体" w:cs="Times New Roman"/>
                <w:sz w:val="24"/>
              </w:rPr>
              <w:fldChar w:fldCharType="end"/>
            </w:r>
            <w:r>
              <w:rPr>
                <w:rFonts w:ascii="Times New Roman" w:hAnsi="Times New Roman" w:eastAsia="宋体" w:cs="Times New Roman"/>
                <w:sz w:val="24"/>
              </w:rPr>
              <w:t>类建设项目的地下水环境影响评价应执行本标准，</w:t>
            </w:r>
            <w:r>
              <w:rPr>
                <w:rFonts w:ascii="Times New Roman" w:hAnsi="Times New Roman" w:eastAsia="宋体" w:cs="Times New Roman"/>
                <w:b/>
                <w:sz w:val="24"/>
              </w:rPr>
              <w:fldChar w:fldCharType="begin"/>
            </w:r>
            <w:r>
              <w:rPr>
                <w:rFonts w:ascii="Times New Roman" w:hAnsi="Times New Roman" w:eastAsia="宋体" w:cs="Times New Roman"/>
                <w:b/>
                <w:sz w:val="24"/>
              </w:rPr>
              <w:instrText xml:space="preserve"> = 4 \* ROMAN </w:instrText>
            </w:r>
            <w:r>
              <w:rPr>
                <w:rFonts w:ascii="Times New Roman" w:hAnsi="Times New Roman" w:eastAsia="宋体" w:cs="Times New Roman"/>
                <w:b/>
                <w:sz w:val="24"/>
              </w:rPr>
              <w:fldChar w:fldCharType="separate"/>
            </w:r>
            <w:r>
              <w:rPr>
                <w:rFonts w:ascii="Times New Roman" w:hAnsi="Times New Roman" w:eastAsia="宋体" w:cs="Times New Roman"/>
                <w:b/>
                <w:sz w:val="24"/>
              </w:rPr>
              <w:t>IV</w:t>
            </w:r>
            <w:r>
              <w:rPr>
                <w:rFonts w:ascii="Times New Roman" w:hAnsi="Times New Roman" w:eastAsia="宋体" w:cs="Times New Roman"/>
                <w:b/>
                <w:sz w:val="24"/>
              </w:rPr>
              <w:fldChar w:fldCharType="end"/>
            </w:r>
            <w:r>
              <w:rPr>
                <w:rFonts w:ascii="Times New Roman" w:hAnsi="Times New Roman" w:eastAsia="宋体" w:cs="Times New Roman"/>
                <w:b/>
                <w:sz w:val="24"/>
              </w:rPr>
              <w:t>类建设项目不开展地下水环境影响评价</w:t>
            </w:r>
            <w:r>
              <w:rPr>
                <w:rFonts w:hint="eastAsia" w:ascii="Times New Roman" w:hAnsi="Times New Roman" w:eastAsia="宋体" w:cs="Times New Roman"/>
                <w:sz w:val="24"/>
              </w:rPr>
              <w:t>”</w:t>
            </w:r>
            <w:r>
              <w:rPr>
                <w:rFonts w:ascii="Times New Roman" w:hAnsi="Times New Roman" w:eastAsia="宋体" w:cs="Times New Roman"/>
                <w:sz w:val="24"/>
              </w:rPr>
              <w:t>。</w:t>
            </w:r>
          </w:p>
          <w:p w14:paraId="2B104D2D">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故，根据《地下水环境影响评价技术导则（HJ 610-2016）》导则要求，本次不开展地下水环境影响评价。</w:t>
            </w:r>
          </w:p>
          <w:p w14:paraId="2B6D6FEC">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通过工程分析，本项目地下水污染源主要为循环沉淀池、机油暂存间等。上述</w:t>
            </w:r>
            <w:r>
              <w:rPr>
                <w:rFonts w:ascii="Times New Roman" w:hAnsi="Times New Roman" w:eastAsia="宋体" w:cs="Times New Roman"/>
                <w:sz w:val="24"/>
                <w:szCs w:val="24"/>
              </w:rPr>
              <w:t>设施在工程施工质量不佳和未作防渗处理条件下，均有可能对地下水造成污染。根据项目对地下水污染程度的可能性大小，分别将污染区分为重点防渗区</w:t>
            </w:r>
            <w:r>
              <w:rPr>
                <w:rFonts w:hint="eastAsia" w:ascii="Times New Roman" w:hAnsi="Times New Roman" w:eastAsia="宋体" w:cs="Times New Roman"/>
                <w:sz w:val="24"/>
                <w:szCs w:val="24"/>
              </w:rPr>
              <w:t>、</w:t>
            </w:r>
            <w:r>
              <w:rPr>
                <w:rFonts w:ascii="Times New Roman" w:hAnsi="Times New Roman" w:eastAsia="宋体" w:cs="Times New Roman"/>
                <w:sz w:val="24"/>
                <w:szCs w:val="24"/>
              </w:rPr>
              <w:t>一般防渗区</w:t>
            </w:r>
            <w:r>
              <w:rPr>
                <w:rFonts w:hint="eastAsia" w:ascii="Times New Roman" w:hAnsi="Times New Roman" w:eastAsia="宋体" w:cs="Times New Roman"/>
                <w:sz w:val="24"/>
                <w:szCs w:val="24"/>
              </w:rPr>
              <w:t>、简单防渗区</w:t>
            </w:r>
            <w:r>
              <w:rPr>
                <w:rFonts w:ascii="Times New Roman" w:hAnsi="Times New Roman" w:eastAsia="宋体" w:cs="Times New Roman"/>
                <w:sz w:val="24"/>
                <w:szCs w:val="24"/>
              </w:rPr>
              <w:t>。</w:t>
            </w:r>
          </w:p>
          <w:p w14:paraId="206B6988">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根据</w:t>
            </w:r>
            <w:r>
              <w:rPr>
                <w:rFonts w:hint="eastAsia" w:ascii="Times New Roman" w:hAnsi="Times New Roman" w:eastAsia="宋体" w:cs="Times New Roman"/>
                <w:sz w:val="24"/>
                <w:szCs w:val="24"/>
              </w:rPr>
              <w:t>业主介绍，将对</w:t>
            </w:r>
            <w:r>
              <w:rPr>
                <w:rFonts w:ascii="Times New Roman" w:hAnsi="Times New Roman" w:eastAsia="宋体" w:cs="Times New Roman"/>
                <w:sz w:val="24"/>
                <w:szCs w:val="24"/>
              </w:rPr>
              <w:t>厂房</w:t>
            </w:r>
            <w:r>
              <w:rPr>
                <w:rFonts w:hint="eastAsia" w:ascii="Times New Roman" w:hAnsi="Times New Roman" w:eastAsia="宋体" w:cs="Times New Roman"/>
                <w:sz w:val="24"/>
                <w:szCs w:val="24"/>
              </w:rPr>
              <w:t>、车间</w:t>
            </w:r>
            <w:r>
              <w:rPr>
                <w:rFonts w:ascii="Times New Roman" w:hAnsi="Times New Roman" w:eastAsia="宋体" w:cs="Times New Roman"/>
                <w:sz w:val="24"/>
                <w:szCs w:val="24"/>
              </w:rPr>
              <w:t>进行</w:t>
            </w:r>
            <w:r>
              <w:rPr>
                <w:rFonts w:hint="eastAsia" w:ascii="Times New Roman" w:hAnsi="Times New Roman" w:eastAsia="宋体" w:cs="Times New Roman"/>
                <w:sz w:val="24"/>
                <w:szCs w:val="24"/>
              </w:rPr>
              <w:t>简单防渗</w:t>
            </w:r>
            <w:r>
              <w:rPr>
                <w:rFonts w:ascii="Times New Roman" w:hAnsi="Times New Roman" w:eastAsia="宋体" w:cs="Times New Roman"/>
                <w:sz w:val="24"/>
                <w:szCs w:val="24"/>
              </w:rPr>
              <w:t>处理措施，采取混凝土浇筑措施，可有效降低</w:t>
            </w:r>
            <w:r>
              <w:rPr>
                <w:rFonts w:hint="eastAsia" w:ascii="Times New Roman" w:hAnsi="Times New Roman" w:eastAsia="宋体" w:cs="Times New Roman"/>
                <w:sz w:val="24"/>
                <w:szCs w:val="24"/>
              </w:rPr>
              <w:t>设备</w:t>
            </w:r>
            <w:r>
              <w:rPr>
                <w:rFonts w:ascii="Times New Roman" w:hAnsi="Times New Roman" w:eastAsia="宋体" w:cs="Times New Roman"/>
                <w:sz w:val="24"/>
                <w:szCs w:val="24"/>
              </w:rPr>
              <w:t>机油等滴漏对地下水的污染；对</w:t>
            </w:r>
            <w:r>
              <w:rPr>
                <w:rFonts w:hint="eastAsia" w:ascii="Times New Roman" w:hAnsi="Times New Roman" w:eastAsia="宋体" w:cs="Times New Roman"/>
                <w:sz w:val="24"/>
                <w:szCs w:val="24"/>
              </w:rPr>
              <w:t>机油</w:t>
            </w:r>
            <w:r>
              <w:rPr>
                <w:rFonts w:ascii="Times New Roman" w:hAnsi="Times New Roman" w:eastAsia="宋体" w:cs="Times New Roman"/>
                <w:sz w:val="24"/>
                <w:szCs w:val="24"/>
              </w:rPr>
              <w:t>暂存</w:t>
            </w:r>
            <w:r>
              <w:rPr>
                <w:rFonts w:hint="eastAsia" w:ascii="Times New Roman" w:hAnsi="Times New Roman" w:eastAsia="宋体" w:cs="Times New Roman"/>
                <w:sz w:val="24"/>
                <w:szCs w:val="24"/>
              </w:rPr>
              <w:t>间、沉淀池等</w:t>
            </w:r>
            <w:r>
              <w:rPr>
                <w:rFonts w:ascii="Times New Roman" w:hAnsi="Times New Roman" w:eastAsia="宋体" w:cs="Times New Roman"/>
                <w:sz w:val="24"/>
                <w:szCs w:val="24"/>
              </w:rPr>
              <w:t>，本次评价提出如下防治措施：</w:t>
            </w:r>
          </w:p>
          <w:p w14:paraId="53BC541B">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①机油等危险化学品</w:t>
            </w:r>
            <w:r>
              <w:rPr>
                <w:rFonts w:ascii="Times New Roman" w:hAnsi="Times New Roman" w:eastAsia="宋体" w:cs="Times New Roman"/>
                <w:sz w:val="24"/>
                <w:szCs w:val="24"/>
              </w:rPr>
              <w:t>贮存场所地基必须采取防渗措施，不得有裂缝；</w:t>
            </w:r>
          </w:p>
          <w:p w14:paraId="7AF37782">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②</w:t>
            </w:r>
            <w:r>
              <w:rPr>
                <w:rFonts w:ascii="Times New Roman" w:hAnsi="Times New Roman" w:eastAsia="宋体" w:cs="Times New Roman"/>
                <w:sz w:val="24"/>
                <w:szCs w:val="24"/>
              </w:rPr>
              <w:t>根据</w:t>
            </w:r>
            <w:r>
              <w:rPr>
                <w:rFonts w:hint="eastAsia" w:ascii="Times New Roman" w:hAnsi="Times New Roman" w:eastAsia="宋体" w:cs="Times New Roman"/>
                <w:sz w:val="24"/>
                <w:szCs w:val="24"/>
              </w:rPr>
              <w:t>危化品</w:t>
            </w:r>
            <w:r>
              <w:rPr>
                <w:rFonts w:ascii="Times New Roman" w:hAnsi="Times New Roman" w:eastAsia="宋体" w:cs="Times New Roman"/>
                <w:sz w:val="24"/>
                <w:szCs w:val="24"/>
              </w:rPr>
              <w:t>特性分别采取不同型号大小的桶装容器收集，尽可能减少</w:t>
            </w:r>
            <w:r>
              <w:rPr>
                <w:rFonts w:hint="eastAsia" w:ascii="Times New Roman" w:hAnsi="Times New Roman" w:eastAsia="宋体" w:cs="Times New Roman"/>
                <w:sz w:val="24"/>
                <w:szCs w:val="24"/>
              </w:rPr>
              <w:t>危化品</w:t>
            </w:r>
            <w:r>
              <w:rPr>
                <w:rFonts w:ascii="Times New Roman" w:hAnsi="Times New Roman" w:eastAsia="宋体" w:cs="Times New Roman"/>
                <w:sz w:val="24"/>
                <w:szCs w:val="24"/>
              </w:rPr>
              <w:t>直接与地面接触的机会；</w:t>
            </w:r>
          </w:p>
          <w:p w14:paraId="693C9F0D">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③危化品</w:t>
            </w:r>
            <w:r>
              <w:rPr>
                <w:rFonts w:ascii="Times New Roman" w:hAnsi="Times New Roman" w:eastAsia="宋体" w:cs="Times New Roman"/>
                <w:sz w:val="24"/>
                <w:szCs w:val="24"/>
              </w:rPr>
              <w:t>临时贮存场所应建在防风、防雨、防晒的室内车间</w:t>
            </w:r>
            <w:r>
              <w:rPr>
                <w:rFonts w:hint="eastAsia" w:ascii="Times New Roman" w:hAnsi="Times New Roman" w:eastAsia="宋体" w:cs="Times New Roman"/>
                <w:sz w:val="24"/>
                <w:szCs w:val="24"/>
              </w:rPr>
              <w:t>；</w:t>
            </w:r>
          </w:p>
          <w:p w14:paraId="55AE940E">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④在危化品暂存点设置防渗托盘，防止油桶滴漏造成地面油渍而污损地面。</w:t>
            </w:r>
          </w:p>
          <w:p w14:paraId="2572D13A">
            <w:pPr>
              <w:adjustRightInd w:val="0"/>
              <w:snapToGrid w:val="0"/>
              <w:spacing w:line="48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通过上述措施处理后，本项目对地下水的污染影响较小。</w:t>
            </w:r>
          </w:p>
          <w:p w14:paraId="40D16660">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3、营运期噪声环境影响分析</w:t>
            </w:r>
          </w:p>
          <w:p w14:paraId="3C515594">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本项目噪声主要来源于生产设备的运行，主要为设备运行时产生的机械噪声，声源强度值为80~95dB（A），高噪声设备及其噪声源强见表5-4。</w:t>
            </w:r>
          </w:p>
          <w:p w14:paraId="174CED67">
            <w:pPr>
              <w:tabs>
                <w:tab w:val="left" w:pos="5670"/>
              </w:tabs>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（1）评价等级</w:t>
            </w:r>
          </w:p>
          <w:p w14:paraId="7D3C4BB3">
            <w:pPr>
              <w:tabs>
                <w:tab w:val="left" w:pos="5670"/>
              </w:tabs>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本项目建设所处的声环境功能区为G</w:t>
            </w:r>
            <w:r>
              <w:rPr>
                <w:rFonts w:ascii="Times New Roman" w:hAnsi="Times New Roman" w:eastAsia="宋体" w:cs="Times New Roman"/>
                <w:sz w:val="24"/>
              </w:rPr>
              <w:t>B3096</w:t>
            </w:r>
            <w:r>
              <w:rPr>
                <w:rFonts w:hint="eastAsia" w:ascii="Times New Roman" w:hAnsi="Times New Roman" w:eastAsia="宋体" w:cs="Times New Roman"/>
                <w:sz w:val="24"/>
              </w:rPr>
              <w:t>规定的</w:t>
            </w:r>
            <w:r>
              <w:rPr>
                <w:rFonts w:ascii="Times New Roman" w:hAnsi="Times New Roman" w:eastAsia="宋体" w:cs="Times New Roman"/>
                <w:sz w:val="24"/>
              </w:rPr>
              <w:t>2</w:t>
            </w:r>
            <w:r>
              <w:rPr>
                <w:rFonts w:hint="eastAsia" w:ascii="Times New Roman" w:hAnsi="Times New Roman" w:eastAsia="宋体" w:cs="Times New Roman"/>
                <w:sz w:val="24"/>
              </w:rPr>
              <w:t>类地区，项目建设周边受噪声影响人口数量较少，按二级评价，评价范围为项目边界向外2</w:t>
            </w:r>
            <w:r>
              <w:rPr>
                <w:rFonts w:ascii="Times New Roman" w:hAnsi="Times New Roman" w:eastAsia="宋体" w:cs="Times New Roman"/>
                <w:sz w:val="24"/>
              </w:rPr>
              <w:t>00</w:t>
            </w:r>
            <w:r>
              <w:rPr>
                <w:rFonts w:hint="eastAsia" w:ascii="Times New Roman" w:hAnsi="Times New Roman" w:eastAsia="宋体" w:cs="Times New Roman"/>
                <w:sz w:val="24"/>
              </w:rPr>
              <w:t>m。</w:t>
            </w:r>
          </w:p>
          <w:p w14:paraId="0D311694">
            <w:pPr>
              <w:tabs>
                <w:tab w:val="left" w:pos="5670"/>
              </w:tabs>
              <w:spacing w:line="48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（2）预测方法</w:t>
            </w:r>
          </w:p>
          <w:p w14:paraId="2F3BEBAE">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根据声环境评价导则的规定，选用预测模式，应用过程中将根据具体情况作必要简化。</w:t>
            </w:r>
          </w:p>
          <w:p w14:paraId="28CD49BB">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1）室外点声源在预测点的倍频带声压级</w:t>
            </w:r>
          </w:p>
          <w:p w14:paraId="66924467">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①</w:t>
            </w:r>
            <w:r>
              <w:rPr>
                <w:rFonts w:ascii="Times New Roman" w:hAnsi="Times New Roman" w:eastAsia="宋体" w:cs="Times New Roman"/>
                <w:sz w:val="24"/>
                <w:szCs w:val="24"/>
              </w:rPr>
              <w:t>某个点源在预测点的倍频带声压级</w:t>
            </w:r>
          </w:p>
          <w:p w14:paraId="14570979">
            <w:pPr>
              <w:spacing w:line="360" w:lineRule="auto"/>
              <w:jc w:val="center"/>
              <w:rPr>
                <w:rFonts w:ascii="Times New Roman" w:hAnsi="Times New Roman" w:eastAsia="宋体" w:cs="Times New Roman"/>
                <w:sz w:val="24"/>
                <w:szCs w:val="24"/>
              </w:rPr>
            </w:pPr>
            <w:r>
              <w:rPr>
                <w:rFonts w:ascii="Times New Roman" w:hAnsi="Times New Roman" w:eastAsia="宋体" w:cs="Times New Roman"/>
                <w:position w:val="-12"/>
                <w:sz w:val="24"/>
                <w:szCs w:val="24"/>
              </w:rPr>
              <w:object>
                <v:shape id="_x0000_i1027" o:spt="75" type="#_x0000_t75" style="height:21.75pt;width:180pt;" o:ole="t" fillcolor="#6D6D6D" filled="f" o:preferrelative="t" stroked="f" coordsize="21600,21600">
                  <v:path/>
                  <v:fill on="f" focussize="0,0"/>
                  <v:stroke on="f" joinstyle="miter"/>
                  <v:imagedata r:id="rId25" o:title=""/>
                  <o:lock v:ext="edit" aspectratio="t"/>
                  <w10:wrap type="none"/>
                  <w10:anchorlock/>
                </v:shape>
                <o:OLEObject Type="Embed" ProgID="Equation.3" ShapeID="_x0000_i1027" DrawAspect="Content" ObjectID="_1468075727" r:id="rId24">
                  <o:LockedField>false</o:LockedField>
                </o:OLEObject>
              </w:object>
            </w:r>
          </w:p>
          <w:p w14:paraId="6A132991">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式中：L</w:t>
            </w:r>
            <w:r>
              <w:rPr>
                <w:rFonts w:ascii="Times New Roman" w:hAnsi="Times New Roman" w:eastAsia="宋体" w:cs="Times New Roman"/>
                <w:sz w:val="24"/>
                <w:szCs w:val="24"/>
                <w:vertAlign w:val="subscript"/>
              </w:rPr>
              <w:t>oct</w:t>
            </w:r>
            <w:r>
              <w:rPr>
                <w:rFonts w:ascii="Times New Roman" w:hAnsi="Times New Roman" w:eastAsia="宋体" w:cs="Times New Roman"/>
                <w:sz w:val="24"/>
                <w:szCs w:val="24"/>
              </w:rPr>
              <w:t>（r）——点声源在预测点产生的倍频带声压级；</w:t>
            </w:r>
          </w:p>
          <w:p w14:paraId="7C2E8BDE">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L</w:t>
            </w:r>
            <w:r>
              <w:rPr>
                <w:rFonts w:ascii="Times New Roman" w:hAnsi="Times New Roman" w:eastAsia="宋体" w:cs="Times New Roman"/>
                <w:sz w:val="24"/>
                <w:szCs w:val="24"/>
                <w:vertAlign w:val="subscript"/>
              </w:rPr>
              <w:t>oct</w:t>
            </w:r>
            <w:r>
              <w:rPr>
                <w:rFonts w:ascii="Times New Roman" w:hAnsi="Times New Roman" w:eastAsia="宋体" w:cs="Times New Roman"/>
                <w:sz w:val="24"/>
                <w:szCs w:val="24"/>
              </w:rPr>
              <w:t>（r</w:t>
            </w:r>
            <w:r>
              <w:rPr>
                <w:rFonts w:ascii="Times New Roman" w:hAnsi="Times New Roman" w:eastAsia="宋体" w:cs="Times New Roman"/>
                <w:sz w:val="24"/>
                <w:szCs w:val="24"/>
                <w:vertAlign w:val="subscript"/>
              </w:rPr>
              <w:t>0</w:t>
            </w:r>
            <w:r>
              <w:rPr>
                <w:rFonts w:ascii="Times New Roman" w:hAnsi="Times New Roman" w:eastAsia="宋体" w:cs="Times New Roman"/>
                <w:sz w:val="24"/>
                <w:szCs w:val="24"/>
              </w:rPr>
              <w:t>）——参考位置r</w:t>
            </w:r>
            <w:r>
              <w:rPr>
                <w:rFonts w:ascii="Times New Roman" w:hAnsi="Times New Roman" w:eastAsia="宋体" w:cs="Times New Roman"/>
                <w:sz w:val="24"/>
                <w:szCs w:val="24"/>
                <w:vertAlign w:val="subscript"/>
              </w:rPr>
              <w:t>0</w:t>
            </w:r>
            <w:r>
              <w:rPr>
                <w:rFonts w:ascii="Times New Roman" w:hAnsi="Times New Roman" w:eastAsia="宋体" w:cs="Times New Roman"/>
                <w:sz w:val="24"/>
                <w:szCs w:val="24"/>
              </w:rPr>
              <w:t>处的倍频带声压级；</w:t>
            </w:r>
          </w:p>
          <w:p w14:paraId="20B8CEF1">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r——预测点距声源的距离，m；</w:t>
            </w:r>
          </w:p>
          <w:p w14:paraId="6CE7C0CD">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r</w:t>
            </w:r>
            <w:r>
              <w:rPr>
                <w:rFonts w:ascii="Times New Roman" w:hAnsi="Times New Roman" w:eastAsia="宋体" w:cs="Times New Roman"/>
                <w:sz w:val="24"/>
                <w:szCs w:val="24"/>
                <w:vertAlign w:val="subscript"/>
              </w:rPr>
              <w:t>0</w:t>
            </w:r>
            <w:r>
              <w:rPr>
                <w:rFonts w:ascii="Times New Roman" w:hAnsi="Times New Roman" w:eastAsia="宋体" w:cs="Times New Roman"/>
                <w:sz w:val="24"/>
                <w:szCs w:val="24"/>
              </w:rPr>
              <w:t>——参考位置距声源的距离，m；</w:t>
            </w:r>
          </w:p>
          <w:p w14:paraId="11DC5CBB">
            <w:pPr>
              <w:spacing w:line="360" w:lineRule="auto"/>
              <w:ind w:left="2639" w:leftChars="228" w:hanging="2160" w:hangingChars="900"/>
              <w:rPr>
                <w:rFonts w:ascii="Times New Roman" w:hAnsi="Times New Roman" w:eastAsia="宋体" w:cs="Times New Roman"/>
                <w:sz w:val="24"/>
                <w:szCs w:val="24"/>
              </w:rPr>
            </w:pPr>
            <w:r>
              <w:rPr>
                <w:rFonts w:ascii="Times New Roman" w:hAnsi="Times New Roman" w:eastAsia="宋体" w:cs="Times New Roman"/>
                <w:sz w:val="24"/>
                <w:szCs w:val="24"/>
              </w:rPr>
              <w:t xml:space="preserve">         ΔL</w:t>
            </w:r>
            <w:r>
              <w:rPr>
                <w:rFonts w:ascii="Times New Roman" w:hAnsi="Times New Roman" w:eastAsia="宋体" w:cs="Times New Roman"/>
                <w:sz w:val="24"/>
                <w:szCs w:val="24"/>
                <w:vertAlign w:val="subscript"/>
              </w:rPr>
              <w:t>oct</w:t>
            </w:r>
            <w:r>
              <w:rPr>
                <w:rFonts w:ascii="Times New Roman" w:hAnsi="Times New Roman" w:eastAsia="宋体" w:cs="Times New Roman"/>
                <w:sz w:val="24"/>
                <w:szCs w:val="24"/>
              </w:rPr>
              <w:t>——各种因素引起的衰减量，包括声屏障、空气吸收和地面效应引起的衰减，其计算方式分别为：</w:t>
            </w:r>
          </w:p>
          <w:p w14:paraId="4DDE26E8">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z w:val="24"/>
                <w:szCs w:val="24"/>
                <w:vertAlign w:val="subscript"/>
              </w:rPr>
              <w:t>oct bar</w:t>
            </w:r>
            <w:r>
              <w:rPr>
                <w:rFonts w:ascii="Times New Roman" w:hAnsi="Times New Roman" w:eastAsia="宋体" w:cs="Times New Roman"/>
                <w:sz w:val="24"/>
                <w:szCs w:val="24"/>
              </w:rPr>
              <w:t>=</w:t>
            </w:r>
            <w:r>
              <w:rPr>
                <w:rFonts w:ascii="Times New Roman" w:hAnsi="Times New Roman" w:eastAsia="宋体" w:cs="Times New Roman"/>
                <w:position w:val="-32"/>
                <w:sz w:val="24"/>
                <w:szCs w:val="24"/>
              </w:rPr>
              <w:object>
                <v:shape id="_x0000_i1028" o:spt="75" type="#_x0000_t75" style="height:36pt;width:201.75pt;" o:ole="t" fillcolor="#6D6D6D" filled="f" o:preferrelative="t" stroked="f" coordsize="21600,21600">
                  <v:path/>
                  <v:fill on="f" focussize="0,0"/>
                  <v:stroke on="f" joinstyle="miter"/>
                  <v:imagedata r:id="rId27" o:title=""/>
                  <o:lock v:ext="edit" aspectratio="t"/>
                  <w10:wrap type="none"/>
                  <w10:anchorlock/>
                </v:shape>
                <o:OLEObject Type="Embed" ProgID="Equation.3" ShapeID="_x0000_i1028" DrawAspect="Content" ObjectID="_1468075728" r:id="rId26">
                  <o:LockedField>false</o:LockedField>
                </o:OLEObject>
              </w:object>
            </w:r>
          </w:p>
          <w:p w14:paraId="5E877C3A">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z w:val="24"/>
                <w:szCs w:val="24"/>
                <w:vertAlign w:val="subscript"/>
              </w:rPr>
              <w:t>oct atm</w:t>
            </w:r>
            <w:r>
              <w:rPr>
                <w:rFonts w:ascii="Times New Roman" w:hAnsi="Times New Roman" w:eastAsia="宋体" w:cs="Times New Roman"/>
                <w:sz w:val="24"/>
                <w:szCs w:val="24"/>
              </w:rPr>
              <w:t>=α(r-r</w:t>
            </w:r>
            <w:r>
              <w:rPr>
                <w:rFonts w:ascii="Times New Roman" w:hAnsi="Times New Roman" w:eastAsia="宋体" w:cs="Times New Roman"/>
                <w:sz w:val="24"/>
                <w:szCs w:val="24"/>
                <w:vertAlign w:val="subscript"/>
              </w:rPr>
              <w:t>0</w:t>
            </w:r>
            <w:r>
              <w:rPr>
                <w:rFonts w:ascii="Times New Roman" w:hAnsi="Times New Roman" w:eastAsia="宋体" w:cs="Times New Roman"/>
                <w:sz w:val="24"/>
                <w:szCs w:val="24"/>
              </w:rPr>
              <w:t>)/100；</w:t>
            </w:r>
          </w:p>
          <w:p w14:paraId="0EB5B722">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A</w:t>
            </w:r>
            <w:r>
              <w:rPr>
                <w:rFonts w:ascii="Times New Roman" w:hAnsi="Times New Roman" w:eastAsia="宋体" w:cs="Times New Roman"/>
                <w:sz w:val="24"/>
                <w:szCs w:val="24"/>
                <w:vertAlign w:val="subscript"/>
              </w:rPr>
              <w:t>exc</w:t>
            </w:r>
            <w:r>
              <w:rPr>
                <w:rFonts w:ascii="Times New Roman" w:hAnsi="Times New Roman" w:eastAsia="宋体" w:cs="Times New Roman"/>
                <w:sz w:val="24"/>
                <w:szCs w:val="24"/>
              </w:rPr>
              <w:t>=5lg(r-r</w:t>
            </w:r>
            <w:r>
              <w:rPr>
                <w:rFonts w:ascii="Times New Roman" w:hAnsi="Times New Roman" w:eastAsia="宋体" w:cs="Times New Roman"/>
                <w:sz w:val="24"/>
                <w:szCs w:val="24"/>
                <w:vertAlign w:val="subscript"/>
              </w:rPr>
              <w:t>0</w:t>
            </w:r>
            <w:r>
              <w:rPr>
                <w:rFonts w:ascii="Times New Roman" w:hAnsi="Times New Roman" w:eastAsia="宋体" w:cs="Times New Roman"/>
                <w:sz w:val="24"/>
                <w:szCs w:val="24"/>
              </w:rPr>
              <w:t>)；</w:t>
            </w:r>
          </w:p>
          <w:p w14:paraId="6C3F42B4">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②</w:t>
            </w:r>
            <w:r>
              <w:rPr>
                <w:rFonts w:ascii="Times New Roman" w:hAnsi="Times New Roman" w:eastAsia="宋体" w:cs="Times New Roman"/>
                <w:sz w:val="24"/>
                <w:szCs w:val="24"/>
              </w:rPr>
              <w:t>如果已知声源的倍频带声功率级L</w:t>
            </w:r>
            <w:r>
              <w:rPr>
                <w:rFonts w:ascii="Times New Roman" w:hAnsi="Times New Roman" w:eastAsia="宋体" w:cs="Times New Roman"/>
                <w:sz w:val="24"/>
                <w:szCs w:val="24"/>
                <w:vertAlign w:val="subscript"/>
              </w:rPr>
              <w:t>w cot</w:t>
            </w:r>
            <w:r>
              <w:rPr>
                <w:rFonts w:ascii="Times New Roman" w:hAnsi="Times New Roman" w:eastAsia="宋体" w:cs="Times New Roman"/>
                <w:sz w:val="24"/>
                <w:szCs w:val="24"/>
              </w:rPr>
              <w:t>，且声源可看作是位于地面上的，则：</w:t>
            </w:r>
          </w:p>
          <w:p w14:paraId="51EEEBCD">
            <w:pPr>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t>L</w:t>
            </w:r>
            <w:r>
              <w:rPr>
                <w:rFonts w:ascii="Times New Roman" w:hAnsi="Times New Roman" w:eastAsia="宋体" w:cs="Times New Roman"/>
                <w:sz w:val="24"/>
                <w:szCs w:val="24"/>
                <w:vertAlign w:val="subscript"/>
              </w:rPr>
              <w:t>cot</w:t>
            </w:r>
            <w:r>
              <w:rPr>
                <w:rFonts w:ascii="Times New Roman" w:hAnsi="Times New Roman" w:eastAsia="宋体" w:cs="Times New Roman"/>
                <w:sz w:val="24"/>
                <w:szCs w:val="24"/>
              </w:rPr>
              <w:t>=L</w:t>
            </w:r>
            <w:r>
              <w:rPr>
                <w:rFonts w:ascii="Times New Roman" w:hAnsi="Times New Roman" w:eastAsia="宋体" w:cs="Times New Roman"/>
                <w:sz w:val="24"/>
                <w:szCs w:val="24"/>
                <w:vertAlign w:val="subscript"/>
              </w:rPr>
              <w:t>w cot</w:t>
            </w:r>
            <w:r>
              <w:rPr>
                <w:rFonts w:ascii="Times New Roman" w:hAnsi="Times New Roman" w:eastAsia="宋体" w:cs="Times New Roman"/>
                <w:sz w:val="24"/>
                <w:szCs w:val="24"/>
              </w:rPr>
              <w:t>-20lgr</w:t>
            </w:r>
            <w:r>
              <w:rPr>
                <w:rFonts w:ascii="Times New Roman" w:hAnsi="Times New Roman" w:eastAsia="宋体" w:cs="Times New Roman"/>
                <w:sz w:val="24"/>
                <w:szCs w:val="24"/>
                <w:vertAlign w:val="subscript"/>
              </w:rPr>
              <w:t>0</w:t>
            </w:r>
            <w:r>
              <w:rPr>
                <w:rFonts w:ascii="Times New Roman" w:hAnsi="Times New Roman" w:eastAsia="宋体" w:cs="Times New Roman"/>
                <w:sz w:val="24"/>
                <w:szCs w:val="24"/>
              </w:rPr>
              <w:t>-8</w:t>
            </w:r>
          </w:p>
          <w:p w14:paraId="55D8ED6A">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③</w:t>
            </w:r>
            <w:r>
              <w:rPr>
                <w:rFonts w:ascii="Times New Roman" w:hAnsi="Times New Roman" w:eastAsia="宋体" w:cs="Times New Roman"/>
                <w:sz w:val="24"/>
                <w:szCs w:val="24"/>
              </w:rPr>
              <w:t>由各倍频带声压级合成计算出该声源产生的A声级L</w:t>
            </w:r>
            <w:r>
              <w:rPr>
                <w:rFonts w:ascii="Times New Roman" w:hAnsi="Times New Roman" w:eastAsia="宋体" w:cs="Times New Roman"/>
                <w:sz w:val="24"/>
                <w:szCs w:val="24"/>
                <w:vertAlign w:val="subscript"/>
              </w:rPr>
              <w:t>A</w:t>
            </w:r>
            <w:r>
              <w:rPr>
                <w:rFonts w:ascii="Times New Roman" w:hAnsi="Times New Roman" w:eastAsia="宋体" w:cs="Times New Roman"/>
                <w:sz w:val="24"/>
                <w:szCs w:val="24"/>
              </w:rPr>
              <w:t>：</w:t>
            </w:r>
          </w:p>
          <w:p w14:paraId="7E18E275">
            <w:pPr>
              <w:spacing w:line="360" w:lineRule="auto"/>
              <w:jc w:val="center"/>
              <w:rPr>
                <w:rFonts w:ascii="Times New Roman" w:hAnsi="Times New Roman" w:eastAsia="宋体" w:cs="Times New Roman"/>
                <w:sz w:val="24"/>
                <w:szCs w:val="24"/>
              </w:rPr>
            </w:pPr>
            <w:r>
              <w:rPr>
                <w:rFonts w:ascii="Times New Roman" w:hAnsi="Times New Roman" w:eastAsia="宋体" w:cs="Times New Roman"/>
                <w:position w:val="-30"/>
                <w:sz w:val="24"/>
                <w:szCs w:val="24"/>
              </w:rPr>
              <w:object>
                <v:shape id="_x0000_i1029" o:spt="75" type="#_x0000_t75" style="height:36pt;width:129.75pt;" o:ole="t" fillcolor="#6D6D6D" filled="f" o:preferrelative="t" stroked="f" coordsize="21600,21600">
                  <v:path/>
                  <v:fill on="f" focussize="0,0"/>
                  <v:stroke on="f" joinstyle="miter"/>
                  <v:imagedata r:id="rId29" o:title=""/>
                  <o:lock v:ext="edit" aspectratio="t"/>
                  <w10:wrap type="none"/>
                  <w10:anchorlock/>
                </v:shape>
                <o:OLEObject Type="Embed" ProgID="Equation.3" ShapeID="_x0000_i1029" DrawAspect="Content" ObjectID="_1468075729" r:id="rId28">
                  <o:LockedField>false</o:LockedField>
                </o:OLEObject>
              </w:object>
            </w:r>
          </w:p>
          <w:p w14:paraId="1BB49260">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式中ΔLi为A计权网络修正值。</w:t>
            </w:r>
          </w:p>
          <w:p w14:paraId="796027B1">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④</w:t>
            </w:r>
            <w:r>
              <w:rPr>
                <w:rFonts w:ascii="Times New Roman" w:hAnsi="Times New Roman" w:eastAsia="宋体" w:cs="Times New Roman"/>
                <w:sz w:val="24"/>
                <w:szCs w:val="24"/>
              </w:rPr>
              <w:t>各声源在预测点产生的声级的合成</w:t>
            </w:r>
          </w:p>
          <w:p w14:paraId="78DFA1B1">
            <w:pPr>
              <w:spacing w:line="360" w:lineRule="auto"/>
              <w:jc w:val="center"/>
              <w:rPr>
                <w:rFonts w:ascii="Times New Roman" w:hAnsi="Times New Roman" w:eastAsia="宋体" w:cs="Times New Roman"/>
                <w:sz w:val="24"/>
                <w:szCs w:val="24"/>
              </w:rPr>
            </w:pPr>
            <w:r>
              <w:rPr>
                <w:rFonts w:ascii="Times New Roman" w:hAnsi="Times New Roman" w:eastAsia="宋体" w:cs="Times New Roman"/>
                <w:position w:val="-30"/>
                <w:sz w:val="24"/>
                <w:szCs w:val="24"/>
              </w:rPr>
              <w:object>
                <v:shape id="_x0000_i1030" o:spt="75" type="#_x0000_t75" style="height:36pt;width:108pt;" o:ole="t" fillcolor="#6D6D6D" filled="f" o:preferrelative="t" stroked="f" coordsize="21600,21600">
                  <v:path/>
                  <v:fill on="f" focussize="0,0"/>
                  <v:stroke on="f" joinstyle="miter"/>
                  <v:imagedata r:id="rId31" o:title=""/>
                  <o:lock v:ext="edit" aspectratio="t"/>
                  <w10:wrap type="none"/>
                  <w10:anchorlock/>
                </v:shape>
                <o:OLEObject Type="Embed" ProgID="Equation.3" ShapeID="_x0000_i1030" DrawAspect="Content" ObjectID="_1468075730" r:id="rId30">
                  <o:LockedField>false</o:LockedField>
                </o:OLEObject>
              </w:object>
            </w:r>
          </w:p>
          <w:p w14:paraId="364AEED3">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2）室内点声源的预测</w:t>
            </w:r>
          </w:p>
          <w:p w14:paraId="73B8E14D">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①</w:t>
            </w:r>
            <w:r>
              <w:rPr>
                <w:rFonts w:ascii="Times New Roman" w:hAnsi="Times New Roman" w:eastAsia="宋体" w:cs="Times New Roman"/>
                <w:sz w:val="24"/>
                <w:szCs w:val="24"/>
              </w:rPr>
              <w:t>室内靠近围护结构处的倍频带声压级：</w:t>
            </w:r>
          </w:p>
          <w:p w14:paraId="16A84036">
            <w:pPr>
              <w:spacing w:line="360" w:lineRule="auto"/>
              <w:jc w:val="center"/>
              <w:rPr>
                <w:rFonts w:ascii="Times New Roman" w:hAnsi="Times New Roman" w:eastAsia="宋体" w:cs="Times New Roman"/>
                <w:sz w:val="24"/>
                <w:szCs w:val="24"/>
              </w:rPr>
            </w:pPr>
            <w:r>
              <w:rPr>
                <w:rFonts w:ascii="Times New Roman" w:hAnsi="Times New Roman" w:eastAsia="宋体" w:cs="Times New Roman"/>
                <w:position w:val="-32"/>
                <w:sz w:val="24"/>
                <w:szCs w:val="24"/>
              </w:rPr>
              <w:object>
                <v:shape id="_x0000_i1031" o:spt="75" type="#_x0000_t75" style="height:36pt;width:151.5pt;" o:ole="t" fillcolor="#6D6D6D" filled="f" o:preferrelative="t" stroked="f" coordsize="21600,21600">
                  <v:path/>
                  <v:fill on="f" focussize="0,0"/>
                  <v:stroke on="f" joinstyle="miter"/>
                  <v:imagedata r:id="rId33" o:title=""/>
                  <o:lock v:ext="edit" aspectratio="t"/>
                  <w10:wrap type="none"/>
                  <w10:anchorlock/>
                </v:shape>
                <o:OLEObject Type="Embed" ProgID="Equation.3" ShapeID="_x0000_i1031" DrawAspect="Content" ObjectID="_1468075731" r:id="rId32">
                  <o:LockedField>false</o:LockedField>
                </o:OLEObject>
              </w:object>
            </w:r>
          </w:p>
          <w:p w14:paraId="4FB40732">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式中：r1为室内某源距离围护结构的距离；</w:t>
            </w:r>
          </w:p>
          <w:p w14:paraId="4884F01E">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R为房间常数；</w:t>
            </w:r>
          </w:p>
          <w:p w14:paraId="2EFC7868">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Q为方向性因子。</w:t>
            </w:r>
          </w:p>
          <w:p w14:paraId="26A3E887">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②</w:t>
            </w:r>
            <w:r>
              <w:rPr>
                <w:rFonts w:ascii="Times New Roman" w:hAnsi="Times New Roman" w:eastAsia="宋体" w:cs="Times New Roman"/>
                <w:sz w:val="24"/>
                <w:szCs w:val="24"/>
              </w:rPr>
              <w:t>室内声源在靠近围护结构处产生的总倍频带声压级：</w:t>
            </w:r>
          </w:p>
          <w:p w14:paraId="791C461A">
            <w:pPr>
              <w:spacing w:line="360" w:lineRule="auto"/>
              <w:jc w:val="center"/>
              <w:rPr>
                <w:rFonts w:ascii="Times New Roman" w:hAnsi="Times New Roman" w:eastAsia="宋体" w:cs="Times New Roman"/>
                <w:sz w:val="24"/>
                <w:szCs w:val="24"/>
              </w:rPr>
            </w:pPr>
            <w:r>
              <w:rPr>
                <w:rFonts w:ascii="Times New Roman" w:hAnsi="Times New Roman" w:eastAsia="宋体" w:cs="Times New Roman"/>
                <w:position w:val="-30"/>
                <w:sz w:val="24"/>
                <w:szCs w:val="24"/>
              </w:rPr>
              <w:object>
                <v:shape id="_x0000_i1032" o:spt="75" type="#_x0000_t75" style="height:36pt;width:144pt;" o:ole="t" fillcolor="#6D6D6D" filled="f" o:preferrelative="t" stroked="f" coordsize="21600,21600">
                  <v:path/>
                  <v:fill on="f" focussize="0,0"/>
                  <v:stroke on="f" joinstyle="miter"/>
                  <v:imagedata r:id="rId35" o:title=""/>
                  <o:lock v:ext="edit" aspectratio="t"/>
                  <w10:wrap type="none"/>
                  <w10:anchorlock/>
                </v:shape>
                <o:OLEObject Type="Embed" ProgID="Equation.3" ShapeID="_x0000_i1032" DrawAspect="Content" ObjectID="_1468075732" r:id="rId34">
                  <o:LockedField>false</o:LockedField>
                </o:OLEObject>
              </w:object>
            </w:r>
          </w:p>
          <w:p w14:paraId="4CBA4317">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③</w:t>
            </w:r>
            <w:r>
              <w:rPr>
                <w:rFonts w:ascii="Times New Roman" w:hAnsi="Times New Roman" w:eastAsia="宋体" w:cs="Times New Roman"/>
                <w:sz w:val="24"/>
                <w:szCs w:val="24"/>
              </w:rPr>
              <w:t>室外靠近围护结构处的总的声压级：</w:t>
            </w:r>
          </w:p>
          <w:p w14:paraId="20AC95B6">
            <w:pPr>
              <w:pStyle w:val="11"/>
              <w:spacing w:line="360" w:lineRule="auto"/>
              <w:rPr>
                <w:rFonts w:ascii="Times New Roman" w:hAnsi="Times New Roman" w:eastAsia="宋体" w:cs="Times New Roman"/>
                <w:sz w:val="24"/>
                <w:szCs w:val="24"/>
              </w:rPr>
            </w:pPr>
            <w:r>
              <w:rPr>
                <w:rFonts w:ascii="Times New Roman" w:hAnsi="Times New Roman" w:eastAsia="宋体" w:cs="Times New Roman"/>
                <w:sz w:val="24"/>
                <w:szCs w:val="24"/>
              </w:rPr>
              <w:t>L</w:t>
            </w:r>
            <w:r>
              <w:rPr>
                <w:rFonts w:ascii="Times New Roman" w:hAnsi="Times New Roman" w:eastAsia="宋体" w:cs="Times New Roman"/>
                <w:sz w:val="24"/>
                <w:szCs w:val="24"/>
                <w:vertAlign w:val="subscript"/>
              </w:rPr>
              <w:t>oct,1</w:t>
            </w:r>
            <w:r>
              <w:rPr>
                <w:rFonts w:ascii="Times New Roman" w:hAnsi="Times New Roman" w:eastAsia="宋体" w:cs="Times New Roman"/>
                <w:sz w:val="24"/>
                <w:szCs w:val="24"/>
              </w:rPr>
              <w:t>(T)=L</w:t>
            </w:r>
            <w:r>
              <w:rPr>
                <w:rFonts w:ascii="Times New Roman" w:hAnsi="Times New Roman" w:eastAsia="宋体" w:cs="Times New Roman"/>
                <w:sz w:val="24"/>
                <w:szCs w:val="24"/>
                <w:vertAlign w:val="subscript"/>
              </w:rPr>
              <w:t>0ct,1</w:t>
            </w:r>
            <w:r>
              <w:rPr>
                <w:rFonts w:ascii="Times New Roman" w:hAnsi="Times New Roman" w:eastAsia="宋体" w:cs="Times New Roman"/>
                <w:sz w:val="24"/>
                <w:szCs w:val="24"/>
              </w:rPr>
              <w:t>(T)-(T</w:t>
            </w:r>
            <w:r>
              <w:rPr>
                <w:rFonts w:ascii="Times New Roman" w:hAnsi="Times New Roman" w:eastAsia="宋体" w:cs="Times New Roman"/>
                <w:sz w:val="24"/>
                <w:szCs w:val="24"/>
                <w:vertAlign w:val="subscript"/>
              </w:rPr>
              <w:t>loct</w:t>
            </w:r>
            <w:r>
              <w:rPr>
                <w:rFonts w:ascii="Times New Roman" w:hAnsi="Times New Roman" w:eastAsia="宋体" w:cs="Times New Roman"/>
                <w:sz w:val="24"/>
                <w:szCs w:val="24"/>
              </w:rPr>
              <w:t>+6)</w:t>
            </w:r>
          </w:p>
          <w:p w14:paraId="17F81E1E">
            <w:pPr>
              <w:spacing w:line="360" w:lineRule="auto"/>
              <w:ind w:firstLine="436" w:firstLineChars="182"/>
              <w:rPr>
                <w:rFonts w:ascii="Times New Roman" w:hAnsi="Times New Roman" w:eastAsia="宋体" w:cs="Times New Roman"/>
                <w:sz w:val="24"/>
                <w:szCs w:val="24"/>
              </w:rPr>
            </w:pPr>
            <w:r>
              <w:rPr>
                <w:rFonts w:hint="eastAsia" w:ascii="宋体" w:hAnsi="宋体" w:eastAsia="宋体" w:cs="宋体"/>
                <w:sz w:val="24"/>
                <w:szCs w:val="24"/>
              </w:rPr>
              <w:t>④</w:t>
            </w:r>
            <w:r>
              <w:rPr>
                <w:rFonts w:ascii="Times New Roman" w:hAnsi="Times New Roman" w:eastAsia="宋体" w:cs="Times New Roman"/>
                <w:sz w:val="24"/>
                <w:szCs w:val="24"/>
              </w:rPr>
              <w:t>室外声压级换算成等效的室外声源：</w:t>
            </w:r>
          </w:p>
          <w:p w14:paraId="24A824D0">
            <w:pPr>
              <w:spacing w:line="360" w:lineRule="auto"/>
              <w:jc w:val="center"/>
              <w:outlineLvl w:val="0"/>
              <w:rPr>
                <w:rFonts w:ascii="Times New Roman" w:hAnsi="Times New Roman" w:eastAsia="宋体" w:cs="Times New Roman"/>
                <w:sz w:val="24"/>
                <w:szCs w:val="24"/>
              </w:rPr>
            </w:pPr>
            <w:r>
              <w:rPr>
                <w:rFonts w:ascii="Times New Roman" w:hAnsi="Times New Roman" w:eastAsia="宋体" w:cs="Times New Roman"/>
                <w:sz w:val="24"/>
                <w:szCs w:val="24"/>
              </w:rPr>
              <w:t>L</w:t>
            </w:r>
            <w:r>
              <w:rPr>
                <w:rFonts w:ascii="Times New Roman" w:hAnsi="Times New Roman" w:eastAsia="宋体" w:cs="Times New Roman"/>
                <w:sz w:val="24"/>
                <w:szCs w:val="24"/>
                <w:vertAlign w:val="subscript"/>
              </w:rPr>
              <w:t>w oct</w:t>
            </w:r>
            <w:r>
              <w:rPr>
                <w:rFonts w:ascii="Times New Roman" w:hAnsi="Times New Roman" w:eastAsia="宋体" w:cs="Times New Roman"/>
                <w:sz w:val="24"/>
                <w:szCs w:val="24"/>
              </w:rPr>
              <w:t>=L</w:t>
            </w:r>
            <w:r>
              <w:rPr>
                <w:rFonts w:ascii="Times New Roman" w:hAnsi="Times New Roman" w:eastAsia="宋体" w:cs="Times New Roman"/>
                <w:sz w:val="24"/>
                <w:szCs w:val="24"/>
                <w:vertAlign w:val="subscript"/>
              </w:rPr>
              <w:t>oct,2</w:t>
            </w:r>
            <w:r>
              <w:rPr>
                <w:rFonts w:ascii="Times New Roman" w:hAnsi="Times New Roman" w:eastAsia="宋体" w:cs="Times New Roman"/>
                <w:sz w:val="24"/>
                <w:szCs w:val="24"/>
              </w:rPr>
              <w:t>(T)+10lgS</w:t>
            </w:r>
          </w:p>
          <w:p w14:paraId="61991714">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 xml:space="preserve">    式中：S为透声面积。</w:t>
            </w:r>
          </w:p>
          <w:p w14:paraId="49173A19">
            <w:pPr>
              <w:spacing w:line="360" w:lineRule="auto"/>
              <w:ind w:firstLine="480"/>
              <w:rPr>
                <w:rFonts w:ascii="Times New Roman" w:hAnsi="Times New Roman" w:eastAsia="宋体" w:cs="Times New Roman"/>
                <w:sz w:val="24"/>
                <w:szCs w:val="24"/>
              </w:rPr>
            </w:pPr>
            <w:r>
              <w:rPr>
                <w:rFonts w:hint="eastAsia" w:ascii="宋体" w:hAnsi="宋体" w:eastAsia="宋体" w:cs="宋体"/>
                <w:sz w:val="24"/>
                <w:szCs w:val="24"/>
              </w:rPr>
              <w:t>⑤</w:t>
            </w:r>
            <w:r>
              <w:rPr>
                <w:rFonts w:ascii="Times New Roman" w:hAnsi="Times New Roman" w:eastAsia="宋体" w:cs="Times New Roman"/>
                <w:sz w:val="24"/>
                <w:szCs w:val="24"/>
              </w:rPr>
              <w:t>等效室外声源的位置为围护结构的位置，其倍频带声功率级为L</w:t>
            </w:r>
            <w:r>
              <w:rPr>
                <w:rFonts w:ascii="Times New Roman" w:hAnsi="Times New Roman" w:eastAsia="宋体" w:cs="Times New Roman"/>
                <w:sz w:val="24"/>
                <w:szCs w:val="24"/>
                <w:vertAlign w:val="subscript"/>
              </w:rPr>
              <w:t>w oct</w:t>
            </w:r>
            <w:r>
              <w:rPr>
                <w:rFonts w:ascii="Times New Roman" w:hAnsi="Times New Roman" w:eastAsia="宋体" w:cs="Times New Roman"/>
                <w:sz w:val="24"/>
                <w:szCs w:val="24"/>
              </w:rPr>
              <w:t>，由此按室外声源方法计算等效室外声源在预测点产生的声级。</w:t>
            </w:r>
          </w:p>
          <w:p w14:paraId="1B1CB723">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（3）预测结果及分析</w:t>
            </w:r>
          </w:p>
          <w:p w14:paraId="37AA7C54">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根据拟建项目的特点和现有的资料数据，对计算模式进行简化并进行估算，为充分估算声源对周围环境的影响，对不满足计算条件的小额正衰减予以忽略，在此基础上进一步计算各预测点的声级。先计算设备噪声到各预测点的声压级合成，即以车间或装置作为一个整体声源，分段以不同模式测算其对外辐射的衰减量，预测各主要场源对单独存在时对厂界及外环境噪声的影响，并合成设备声源对受声点的影响。</w:t>
            </w:r>
          </w:p>
          <w:p w14:paraId="2270685A">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本项目为</w:t>
            </w:r>
            <w:r>
              <w:rPr>
                <w:rFonts w:hint="eastAsia" w:ascii="Times New Roman" w:hAnsi="Times New Roman" w:eastAsia="宋体" w:cs="Times New Roman"/>
                <w:sz w:val="24"/>
                <w:szCs w:val="24"/>
              </w:rPr>
              <w:t>新建</w:t>
            </w:r>
            <w:r>
              <w:rPr>
                <w:rFonts w:ascii="Times New Roman" w:hAnsi="Times New Roman" w:eastAsia="宋体" w:cs="Times New Roman"/>
                <w:sz w:val="24"/>
                <w:szCs w:val="24"/>
              </w:rPr>
              <w:t>项目，根据《环境影响评价技术导则》将项目噪声贡献值作为评价量，结果见表7-22。</w:t>
            </w:r>
          </w:p>
          <w:p w14:paraId="4D600343">
            <w:pPr>
              <w:tabs>
                <w:tab w:val="left" w:pos="5670"/>
              </w:tabs>
              <w:spacing w:line="480" w:lineRule="exact"/>
              <w:ind w:firstLine="480" w:firstLineChars="200"/>
              <w:jc w:val="center"/>
              <w:rPr>
                <w:rFonts w:ascii="Times New Roman" w:hAnsi="Times New Roman" w:eastAsia="宋体" w:cs="Times New Roman"/>
                <w:snapToGrid w:val="0"/>
                <w:kern w:val="0"/>
                <w:sz w:val="24"/>
                <w:szCs w:val="24"/>
              </w:rPr>
            </w:pPr>
            <w:r>
              <w:rPr>
                <w:rFonts w:ascii="Times New Roman" w:hAnsi="Times New Roman" w:eastAsia="宋体" w:cs="Times New Roman"/>
                <w:snapToGrid w:val="0"/>
                <w:kern w:val="0"/>
                <w:sz w:val="24"/>
                <w:szCs w:val="24"/>
              </w:rPr>
              <w:t>表7-22   建设项目噪声预测结果表    单位：dB(A)</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279"/>
              <w:gridCol w:w="1776"/>
              <w:gridCol w:w="1304"/>
              <w:gridCol w:w="1718"/>
              <w:gridCol w:w="2205"/>
            </w:tblGrid>
            <w:tr w14:paraId="5DFD6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44" w:hRule="atLeast"/>
                <w:jc w:val="center"/>
              </w:trPr>
              <w:tc>
                <w:tcPr>
                  <w:tcW w:w="773" w:type="pct"/>
                  <w:vMerge w:val="restart"/>
                  <w:vAlign w:val="center"/>
                </w:tcPr>
                <w:p w14:paraId="7769EE83">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预测点</w:t>
                  </w:r>
                </w:p>
              </w:tc>
              <w:tc>
                <w:tcPr>
                  <w:tcW w:w="1072" w:type="pct"/>
                  <w:vMerge w:val="restart"/>
                  <w:vAlign w:val="center"/>
                </w:tcPr>
                <w:p w14:paraId="35F01B3D">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噪声源</w:t>
                  </w:r>
                </w:p>
              </w:tc>
              <w:tc>
                <w:tcPr>
                  <w:tcW w:w="787" w:type="pct"/>
                  <w:vMerge w:val="restart"/>
                  <w:vAlign w:val="center"/>
                </w:tcPr>
                <w:p w14:paraId="5751D28B">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szCs w:val="21"/>
                    </w:rPr>
                    <w:t>治理后声级dB(A)</w:t>
                  </w:r>
                </w:p>
              </w:tc>
              <w:tc>
                <w:tcPr>
                  <w:tcW w:w="1037" w:type="pct"/>
                  <w:vMerge w:val="restart"/>
                  <w:vAlign w:val="center"/>
                </w:tcPr>
                <w:p w14:paraId="79070119">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与厂界最近距离</w:t>
                  </w:r>
                </w:p>
              </w:tc>
              <w:tc>
                <w:tcPr>
                  <w:tcW w:w="1331" w:type="pct"/>
                  <w:vAlign w:val="center"/>
                </w:tcPr>
                <w:p w14:paraId="1CC21DC9">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评价量dB(A)</w:t>
                  </w:r>
                </w:p>
              </w:tc>
            </w:tr>
            <w:tr w14:paraId="4A6549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773" w:type="pct"/>
                  <w:vMerge w:val="continue"/>
                  <w:vAlign w:val="center"/>
                </w:tcPr>
                <w:p w14:paraId="5E18CCDF">
                  <w:pPr>
                    <w:autoSpaceDE w:val="0"/>
                    <w:autoSpaceDN w:val="0"/>
                    <w:jc w:val="center"/>
                    <w:rPr>
                      <w:rFonts w:ascii="Times New Roman" w:hAnsi="Times New Roman" w:eastAsia="宋体" w:cs="Times New Roman"/>
                      <w:kern w:val="0"/>
                      <w:szCs w:val="21"/>
                    </w:rPr>
                  </w:pPr>
                </w:p>
              </w:tc>
              <w:tc>
                <w:tcPr>
                  <w:tcW w:w="1072" w:type="pct"/>
                  <w:vMerge w:val="continue"/>
                  <w:vAlign w:val="center"/>
                </w:tcPr>
                <w:p w14:paraId="78787EF8">
                  <w:pPr>
                    <w:autoSpaceDE w:val="0"/>
                    <w:autoSpaceDN w:val="0"/>
                    <w:jc w:val="center"/>
                    <w:rPr>
                      <w:rFonts w:ascii="Times New Roman" w:hAnsi="Times New Roman" w:eastAsia="宋体" w:cs="Times New Roman"/>
                      <w:kern w:val="0"/>
                      <w:szCs w:val="21"/>
                    </w:rPr>
                  </w:pPr>
                </w:p>
              </w:tc>
              <w:tc>
                <w:tcPr>
                  <w:tcW w:w="787" w:type="pct"/>
                  <w:vMerge w:val="continue"/>
                  <w:vAlign w:val="center"/>
                </w:tcPr>
                <w:p w14:paraId="41ABE8E1">
                  <w:pPr>
                    <w:autoSpaceDE w:val="0"/>
                    <w:autoSpaceDN w:val="0"/>
                    <w:jc w:val="center"/>
                    <w:rPr>
                      <w:rFonts w:ascii="Times New Roman" w:hAnsi="Times New Roman" w:eastAsia="宋体" w:cs="Times New Roman"/>
                      <w:kern w:val="0"/>
                      <w:szCs w:val="21"/>
                    </w:rPr>
                  </w:pPr>
                </w:p>
              </w:tc>
              <w:tc>
                <w:tcPr>
                  <w:tcW w:w="1037" w:type="pct"/>
                  <w:vMerge w:val="continue"/>
                  <w:vAlign w:val="center"/>
                </w:tcPr>
                <w:p w14:paraId="7B11D215">
                  <w:pPr>
                    <w:autoSpaceDE w:val="0"/>
                    <w:autoSpaceDN w:val="0"/>
                    <w:jc w:val="center"/>
                    <w:rPr>
                      <w:rFonts w:ascii="Times New Roman" w:hAnsi="Times New Roman" w:eastAsia="宋体" w:cs="Times New Roman"/>
                      <w:kern w:val="0"/>
                      <w:szCs w:val="21"/>
                    </w:rPr>
                  </w:pPr>
                </w:p>
              </w:tc>
              <w:tc>
                <w:tcPr>
                  <w:tcW w:w="1331" w:type="pct"/>
                  <w:vAlign w:val="center"/>
                </w:tcPr>
                <w:p w14:paraId="75B5615E">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贡献值dB(A)</w:t>
                  </w:r>
                </w:p>
              </w:tc>
            </w:tr>
            <w:tr w14:paraId="2E9379F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69" w:hRule="atLeast"/>
                <w:jc w:val="center"/>
              </w:trPr>
              <w:tc>
                <w:tcPr>
                  <w:tcW w:w="773" w:type="pct"/>
                  <w:vAlign w:val="center"/>
                </w:tcPr>
                <w:p w14:paraId="2AB48708">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北侧</w:t>
                  </w:r>
                </w:p>
              </w:tc>
              <w:tc>
                <w:tcPr>
                  <w:tcW w:w="1072" w:type="pct"/>
                  <w:vMerge w:val="restart"/>
                  <w:vAlign w:val="center"/>
                </w:tcPr>
                <w:p w14:paraId="6AAD0F47">
                  <w:pPr>
                    <w:pStyle w:val="56"/>
                    <w:rPr>
                      <w:rFonts w:ascii="Times New Roman" w:hAnsi="Times New Roman" w:eastAsia="宋体" w:cs="Times New Roman"/>
                    </w:rPr>
                  </w:pPr>
                  <w:r>
                    <w:rPr>
                      <w:rFonts w:hint="eastAsia" w:ascii="Times New Roman" w:hAnsi="Times New Roman" w:eastAsia="宋体" w:cs="Times New Roman"/>
                    </w:rPr>
                    <w:t>生产加工</w:t>
                  </w:r>
                  <w:r>
                    <w:rPr>
                      <w:rFonts w:ascii="Times New Roman" w:hAnsi="Times New Roman" w:eastAsia="宋体" w:cs="Times New Roman"/>
                    </w:rPr>
                    <w:t>车间</w:t>
                  </w:r>
                </w:p>
              </w:tc>
              <w:tc>
                <w:tcPr>
                  <w:tcW w:w="787" w:type="pct"/>
                  <w:vAlign w:val="center"/>
                </w:tcPr>
                <w:p w14:paraId="0C2FFAAD">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69.46</w:t>
                  </w:r>
                </w:p>
              </w:tc>
              <w:tc>
                <w:tcPr>
                  <w:tcW w:w="1037" w:type="pct"/>
                  <w:vAlign w:val="center"/>
                </w:tcPr>
                <w:p w14:paraId="27B07732">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102</w:t>
                  </w:r>
                </w:p>
              </w:tc>
              <w:tc>
                <w:tcPr>
                  <w:tcW w:w="1331" w:type="pct"/>
                  <w:vAlign w:val="center"/>
                </w:tcPr>
                <w:p w14:paraId="37D9836B">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29.28</w:t>
                  </w:r>
                </w:p>
              </w:tc>
            </w:tr>
            <w:tr w14:paraId="2E3075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69" w:hRule="atLeast"/>
                <w:jc w:val="center"/>
              </w:trPr>
              <w:tc>
                <w:tcPr>
                  <w:tcW w:w="773" w:type="pct"/>
                  <w:vAlign w:val="center"/>
                </w:tcPr>
                <w:p w14:paraId="6AB9AC66">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东侧</w:t>
                  </w:r>
                </w:p>
              </w:tc>
              <w:tc>
                <w:tcPr>
                  <w:tcW w:w="1072" w:type="pct"/>
                  <w:vMerge w:val="continue"/>
                  <w:vAlign w:val="center"/>
                </w:tcPr>
                <w:p w14:paraId="7017B871">
                  <w:pPr>
                    <w:pStyle w:val="56"/>
                    <w:rPr>
                      <w:rFonts w:ascii="Times New Roman" w:hAnsi="Times New Roman" w:eastAsia="宋体" w:cs="Times New Roman"/>
                    </w:rPr>
                  </w:pPr>
                </w:p>
              </w:tc>
              <w:tc>
                <w:tcPr>
                  <w:tcW w:w="787" w:type="pct"/>
                  <w:vAlign w:val="center"/>
                </w:tcPr>
                <w:p w14:paraId="590BBCC3">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69.46</w:t>
                  </w:r>
                </w:p>
              </w:tc>
              <w:tc>
                <w:tcPr>
                  <w:tcW w:w="1037" w:type="pct"/>
                  <w:vAlign w:val="center"/>
                </w:tcPr>
                <w:p w14:paraId="32556C78">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16</w:t>
                  </w:r>
                </w:p>
              </w:tc>
              <w:tc>
                <w:tcPr>
                  <w:tcW w:w="1331" w:type="pct"/>
                  <w:vAlign w:val="center"/>
                </w:tcPr>
                <w:p w14:paraId="122EF317">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45.37</w:t>
                  </w:r>
                </w:p>
              </w:tc>
            </w:tr>
            <w:tr w14:paraId="1CE14AA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69" w:hRule="atLeast"/>
                <w:jc w:val="center"/>
              </w:trPr>
              <w:tc>
                <w:tcPr>
                  <w:tcW w:w="773" w:type="pct"/>
                  <w:vAlign w:val="center"/>
                </w:tcPr>
                <w:p w14:paraId="1413AA50">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南侧</w:t>
                  </w:r>
                </w:p>
              </w:tc>
              <w:tc>
                <w:tcPr>
                  <w:tcW w:w="1072" w:type="pct"/>
                  <w:vMerge w:val="continue"/>
                  <w:vAlign w:val="center"/>
                </w:tcPr>
                <w:p w14:paraId="517968A6">
                  <w:pPr>
                    <w:pStyle w:val="56"/>
                    <w:rPr>
                      <w:rFonts w:ascii="Times New Roman" w:hAnsi="Times New Roman" w:eastAsia="宋体" w:cs="Times New Roman"/>
                    </w:rPr>
                  </w:pPr>
                </w:p>
              </w:tc>
              <w:tc>
                <w:tcPr>
                  <w:tcW w:w="787" w:type="pct"/>
                  <w:vAlign w:val="center"/>
                </w:tcPr>
                <w:p w14:paraId="39B07AE0">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69.46</w:t>
                  </w:r>
                </w:p>
              </w:tc>
              <w:tc>
                <w:tcPr>
                  <w:tcW w:w="1037" w:type="pct"/>
                  <w:vAlign w:val="center"/>
                </w:tcPr>
                <w:p w14:paraId="4266C3A8">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37</w:t>
                  </w:r>
                </w:p>
              </w:tc>
              <w:tc>
                <w:tcPr>
                  <w:tcW w:w="1331" w:type="pct"/>
                  <w:vAlign w:val="center"/>
                </w:tcPr>
                <w:p w14:paraId="7B6CED87">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39.09</w:t>
                  </w:r>
                </w:p>
              </w:tc>
            </w:tr>
            <w:tr w14:paraId="4908A18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69" w:hRule="atLeast"/>
                <w:jc w:val="center"/>
              </w:trPr>
              <w:tc>
                <w:tcPr>
                  <w:tcW w:w="773" w:type="pct"/>
                  <w:vAlign w:val="center"/>
                </w:tcPr>
                <w:p w14:paraId="09F9D731">
                  <w:pPr>
                    <w:autoSpaceDE w:val="0"/>
                    <w:autoSpaceDN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西侧</w:t>
                  </w:r>
                </w:p>
              </w:tc>
              <w:tc>
                <w:tcPr>
                  <w:tcW w:w="1072" w:type="pct"/>
                  <w:vMerge w:val="continue"/>
                  <w:vAlign w:val="center"/>
                </w:tcPr>
                <w:p w14:paraId="50C12334">
                  <w:pPr>
                    <w:pStyle w:val="56"/>
                    <w:rPr>
                      <w:rFonts w:ascii="Times New Roman" w:hAnsi="Times New Roman" w:eastAsia="宋体" w:cs="Times New Roman"/>
                    </w:rPr>
                  </w:pPr>
                </w:p>
              </w:tc>
              <w:tc>
                <w:tcPr>
                  <w:tcW w:w="787" w:type="pct"/>
                  <w:vAlign w:val="center"/>
                </w:tcPr>
                <w:p w14:paraId="1C7068C5">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69.46</w:t>
                  </w:r>
                </w:p>
              </w:tc>
              <w:tc>
                <w:tcPr>
                  <w:tcW w:w="1037" w:type="pct"/>
                  <w:vAlign w:val="center"/>
                </w:tcPr>
                <w:p w14:paraId="1F70101B">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10</w:t>
                  </w:r>
                </w:p>
              </w:tc>
              <w:tc>
                <w:tcPr>
                  <w:tcW w:w="1331" w:type="pct"/>
                  <w:vAlign w:val="center"/>
                </w:tcPr>
                <w:p w14:paraId="29269AAD">
                  <w:pPr>
                    <w:autoSpaceDE w:val="0"/>
                    <w:autoSpaceDN w:val="0"/>
                    <w:jc w:val="center"/>
                    <w:rPr>
                      <w:rFonts w:ascii="Times New Roman" w:hAnsi="Times New Roman" w:eastAsia="宋体" w:cs="Times New Roman"/>
                      <w:kern w:val="0"/>
                      <w:szCs w:val="21"/>
                    </w:rPr>
                  </w:pPr>
                  <w:r>
                    <w:rPr>
                      <w:rFonts w:ascii="Times New Roman" w:hAnsi="Times New Roman" w:eastAsia="宋体" w:cs="Times New Roman"/>
                      <w:kern w:val="0"/>
                      <w:szCs w:val="21"/>
                    </w:rPr>
                    <w:t>49.46</w:t>
                  </w:r>
                </w:p>
              </w:tc>
            </w:tr>
            <w:tr w14:paraId="11958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69" w:hRule="atLeast"/>
                <w:jc w:val="center"/>
              </w:trPr>
              <w:tc>
                <w:tcPr>
                  <w:tcW w:w="1845" w:type="pct"/>
                  <w:gridSpan w:val="2"/>
                  <w:vAlign w:val="center"/>
                </w:tcPr>
                <w:p w14:paraId="6B29D192">
                  <w:pPr>
                    <w:pStyle w:val="56"/>
                    <w:rPr>
                      <w:rFonts w:ascii="Times New Roman" w:hAnsi="Times New Roman" w:eastAsia="宋体" w:cs="Times New Roman"/>
                    </w:rPr>
                  </w:pPr>
                  <w:r>
                    <w:rPr>
                      <w:rFonts w:ascii="Times New Roman" w:hAnsi="Times New Roman" w:eastAsia="宋体" w:cs="Times New Roman"/>
                    </w:rPr>
                    <w:t>执行标准</w:t>
                  </w:r>
                </w:p>
              </w:tc>
              <w:tc>
                <w:tcPr>
                  <w:tcW w:w="3155" w:type="pct"/>
                  <w:gridSpan w:val="3"/>
                  <w:vAlign w:val="center"/>
                </w:tcPr>
                <w:p w14:paraId="3E59AED9">
                  <w:pPr>
                    <w:autoSpaceDE w:val="0"/>
                    <w:autoSpaceDN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昼间60dB(A)</w:t>
                  </w:r>
                </w:p>
              </w:tc>
            </w:tr>
          </w:tbl>
          <w:p w14:paraId="309DF15E">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t>表7-22表明，建设项目夜间不生产，厂界昼间环境噪声预测值满足《工业企业厂界环境噪声排放标准》（GB12348—2008）中2类标准。故项目运行对周围声环境无明显影响，不会发生扰民现象。</w:t>
            </w:r>
          </w:p>
          <w:p w14:paraId="36416DDA">
            <w:pPr>
              <w:spacing w:line="360" w:lineRule="auto"/>
              <w:jc w:val="center"/>
            </w:pPr>
            <w:r>
              <w:drawing>
                <wp:inline distT="0" distB="0" distL="0" distR="0">
                  <wp:extent cx="5286375" cy="3419475"/>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286375" cy="3419475"/>
                          </a:xfrm>
                          <a:prstGeom prst="rect">
                            <a:avLst/>
                          </a:prstGeom>
                          <a:noFill/>
                          <a:ln>
                            <a:noFill/>
                          </a:ln>
                        </pic:spPr>
                      </pic:pic>
                    </a:graphicData>
                  </a:graphic>
                </wp:inline>
              </w:drawing>
            </w:r>
          </w:p>
          <w:p w14:paraId="072021B6">
            <w:pPr>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为了减少噪声对周围环境的影响，确保厂界声环境达标，维持区域声环境质量状况，建议厂方采取以下措施：</w:t>
            </w:r>
          </w:p>
          <w:p w14:paraId="76B9EA9A">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 1 \* GB3 </w:instrText>
            </w:r>
            <w:r>
              <w:rPr>
                <w:rFonts w:ascii="Times New Roman" w:hAnsi="Times New Roman" w:eastAsia="宋体" w:cs="Times New Roman"/>
                <w:sz w:val="24"/>
                <w:szCs w:val="24"/>
              </w:rPr>
              <w:fldChar w:fldCharType="separate"/>
            </w:r>
            <w:r>
              <w:rPr>
                <w:rFonts w:hint="eastAsia" w:ascii="宋体" w:hAnsi="宋体" w:eastAsia="宋体" w:cs="宋体"/>
                <w:sz w:val="24"/>
                <w:szCs w:val="24"/>
              </w:rPr>
              <w:t>①</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t>厂房内部采用合理的平面布局，尽量使高噪声设备远离厂界布置。</w:t>
            </w:r>
          </w:p>
          <w:p w14:paraId="556A0B95">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 2 \* GB3 </w:instrText>
            </w:r>
            <w:r>
              <w:rPr>
                <w:rFonts w:ascii="Times New Roman" w:hAnsi="Times New Roman" w:eastAsia="宋体" w:cs="Times New Roman"/>
                <w:sz w:val="24"/>
                <w:szCs w:val="24"/>
              </w:rPr>
              <w:fldChar w:fldCharType="separate"/>
            </w:r>
            <w:r>
              <w:rPr>
                <w:rFonts w:hint="eastAsia" w:ascii="宋体" w:hAnsi="宋体" w:eastAsia="宋体" w:cs="宋体"/>
                <w:sz w:val="24"/>
                <w:szCs w:val="24"/>
              </w:rPr>
              <w:t>②</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t>加强设备维修保养，保证设备处于良好的运行状态。</w:t>
            </w:r>
          </w:p>
          <w:p w14:paraId="604B33DC">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 3 \* GB3 </w:instrText>
            </w:r>
            <w:r>
              <w:rPr>
                <w:rFonts w:ascii="Times New Roman" w:hAnsi="Times New Roman" w:eastAsia="宋体" w:cs="Times New Roman"/>
                <w:sz w:val="24"/>
                <w:szCs w:val="24"/>
              </w:rPr>
              <w:fldChar w:fldCharType="separate"/>
            </w:r>
            <w:r>
              <w:rPr>
                <w:rFonts w:hint="eastAsia" w:ascii="宋体" w:hAnsi="宋体" w:eastAsia="宋体" w:cs="宋体"/>
                <w:sz w:val="24"/>
                <w:szCs w:val="24"/>
              </w:rPr>
              <w:t>③</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t>加强生产管理，生产时做到门窗关闭；</w:t>
            </w:r>
          </w:p>
          <w:p w14:paraId="40116BDE">
            <w:pPr>
              <w:spacing w:line="360" w:lineRule="auto"/>
              <w:ind w:firstLine="480"/>
              <w:rPr>
                <w:rFonts w:ascii="Times New Roman" w:hAnsi="Times New Roman" w:eastAsia="宋体" w:cs="Times New Roman"/>
                <w:sz w:val="24"/>
                <w:szCs w:val="24"/>
              </w:rPr>
            </w:pP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 4 \* GB3 </w:instrText>
            </w:r>
            <w:r>
              <w:rPr>
                <w:rFonts w:ascii="Times New Roman" w:hAnsi="Times New Roman" w:eastAsia="宋体" w:cs="Times New Roman"/>
                <w:sz w:val="24"/>
                <w:szCs w:val="24"/>
              </w:rPr>
              <w:fldChar w:fldCharType="separate"/>
            </w:r>
            <w:r>
              <w:rPr>
                <w:rFonts w:hint="eastAsia" w:ascii="宋体" w:hAnsi="宋体" w:eastAsia="宋体" w:cs="宋体"/>
                <w:sz w:val="24"/>
                <w:szCs w:val="24"/>
              </w:rPr>
              <w:t>④</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t>加强车间周边及厂区的绿化</w:t>
            </w:r>
            <w:r>
              <w:rPr>
                <w:rFonts w:hint="eastAsia" w:ascii="Times New Roman" w:hAnsi="Times New Roman" w:eastAsia="宋体" w:cs="Times New Roman"/>
                <w:sz w:val="24"/>
                <w:szCs w:val="24"/>
              </w:rPr>
              <w:t>；</w:t>
            </w:r>
          </w:p>
          <w:p w14:paraId="77640188">
            <w:pPr>
              <w:spacing w:line="360" w:lineRule="auto"/>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rPr>
              <w:t>⑤项目东侧厂界加强围挡措施</w:t>
            </w:r>
            <w:r>
              <w:rPr>
                <w:rFonts w:ascii="Times New Roman" w:hAnsi="Times New Roman" w:eastAsia="宋体" w:cs="Times New Roman"/>
                <w:sz w:val="24"/>
                <w:szCs w:val="24"/>
              </w:rPr>
              <w:t>。</w:t>
            </w:r>
          </w:p>
          <w:p w14:paraId="529BAF19">
            <w:pPr>
              <w:adjustRightInd w:val="0"/>
              <w:snapToGrid w:val="0"/>
              <w:spacing w:line="480" w:lineRule="exact"/>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4、营运期固体废物环境影响分析</w:t>
            </w:r>
          </w:p>
          <w:p w14:paraId="3999331D">
            <w:pPr>
              <w:adjustRightInd w:val="0"/>
              <w:snapToGrid w:val="0"/>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项目运营期产生的污染物为一般固废，主要为生活垃圾、</w:t>
            </w:r>
            <w:r>
              <w:rPr>
                <w:rFonts w:hint="eastAsia" w:ascii="Times New Roman" w:hAnsi="Times New Roman" w:eastAsia="宋体" w:cs="Times New Roman"/>
                <w:sz w:val="24"/>
                <w:szCs w:val="24"/>
              </w:rPr>
              <w:t>磁选废铁渣、分类废料、循环沉淀池淤泥、轮胎冲洗池和雨水沉淀池淤泥、维修废物。磁选废铁渣、分类废料暂存于废料堆场，由废品回收公司回收处理；循环沉淀池淤泥、轮胎冲洗池和雨水沉淀池淤泥经收集</w:t>
            </w:r>
            <w:r>
              <w:rPr>
                <w:rFonts w:ascii="Times New Roman" w:hAnsi="Times New Roman" w:eastAsia="宋体" w:cs="Times New Roman"/>
                <w:sz w:val="24"/>
                <w:szCs w:val="24"/>
              </w:rPr>
              <w:t>清掏后</w:t>
            </w:r>
            <w:r>
              <w:rPr>
                <w:rFonts w:ascii="Times New Roman" w:hAnsi="Times New Roman" w:eastAsia="宋体" w:cs="Times New Roman"/>
                <w:sz w:val="24"/>
              </w:rPr>
              <w:t>一并干化后</w:t>
            </w:r>
            <w:r>
              <w:rPr>
                <w:rFonts w:hint="eastAsia" w:ascii="Times New Roman" w:hAnsi="Times New Roman" w:eastAsia="宋体" w:cs="Times New Roman"/>
                <w:sz w:val="24"/>
                <w:szCs w:val="24"/>
              </w:rPr>
              <w:t>回填中铁十五局弃土场</w:t>
            </w:r>
            <w:r>
              <w:rPr>
                <w:rFonts w:ascii="Times New Roman" w:hAnsi="Times New Roman" w:eastAsia="宋体" w:cs="Times New Roman"/>
                <w:sz w:val="24"/>
                <w:szCs w:val="24"/>
              </w:rPr>
              <w:t>。生活垃圾采用垃圾桶收集后，</w:t>
            </w:r>
            <w:r>
              <w:rPr>
                <w:rFonts w:hint="eastAsia" w:ascii="Times New Roman" w:hAnsi="Times New Roman" w:eastAsia="宋体" w:cs="Times New Roman"/>
                <w:sz w:val="24"/>
                <w:szCs w:val="24"/>
              </w:rPr>
              <w:t>自行清运自垃圾暂存点，</w:t>
            </w:r>
            <w:r>
              <w:rPr>
                <w:rFonts w:ascii="Times New Roman" w:hAnsi="Times New Roman" w:eastAsia="宋体" w:cs="Times New Roman"/>
                <w:sz w:val="24"/>
                <w:szCs w:val="24"/>
              </w:rPr>
              <w:t>定期由环卫部门统一清运处理。</w:t>
            </w:r>
          </w:p>
          <w:p w14:paraId="454AC1FE">
            <w:pPr>
              <w:pStyle w:val="9"/>
              <w:adjustRightInd w:val="0"/>
              <w:snapToGrid w:val="0"/>
              <w:spacing w:line="480" w:lineRule="exact"/>
              <w:ind w:firstLine="480" w:firstLineChars="200"/>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表7</w:t>
            </w:r>
            <w:r>
              <w:rPr>
                <w:rFonts w:ascii="Times New Roman" w:hAnsi="Times New Roman" w:eastAsia="宋体" w:cs="Times New Roman"/>
                <w:sz w:val="24"/>
                <w:szCs w:val="24"/>
              </w:rPr>
              <w:t xml:space="preserve">-23 </w:t>
            </w:r>
            <w:r>
              <w:rPr>
                <w:rFonts w:hint="eastAsia" w:ascii="Times New Roman" w:hAnsi="Times New Roman" w:eastAsia="宋体" w:cs="Times New Roman"/>
                <w:sz w:val="24"/>
                <w:szCs w:val="24"/>
              </w:rPr>
              <w:t>固体废物产生及处置情况表</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725"/>
              <w:gridCol w:w="795"/>
              <w:gridCol w:w="752"/>
              <w:gridCol w:w="668"/>
              <w:gridCol w:w="899"/>
              <w:gridCol w:w="680"/>
              <w:gridCol w:w="705"/>
              <w:gridCol w:w="1943"/>
              <w:gridCol w:w="689"/>
            </w:tblGrid>
            <w:tr w14:paraId="5C88B3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restart"/>
                  <w:shd w:val="clear" w:color="auto" w:fill="auto"/>
                  <w:vAlign w:val="center"/>
                </w:tcPr>
                <w:p w14:paraId="6000FAA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726" w:type="dxa"/>
                  <w:vMerge w:val="restart"/>
                  <w:shd w:val="clear" w:color="auto" w:fill="auto"/>
                  <w:vAlign w:val="center"/>
                </w:tcPr>
                <w:p w14:paraId="209D8AA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固废名称</w:t>
                  </w:r>
                </w:p>
              </w:tc>
              <w:tc>
                <w:tcPr>
                  <w:tcW w:w="797" w:type="dxa"/>
                  <w:vMerge w:val="restart"/>
                  <w:shd w:val="clear" w:color="auto" w:fill="auto"/>
                  <w:vAlign w:val="center"/>
                </w:tcPr>
                <w:p w14:paraId="56DDE1C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产生工序</w:t>
                  </w:r>
                </w:p>
              </w:tc>
              <w:tc>
                <w:tcPr>
                  <w:tcW w:w="757" w:type="dxa"/>
                  <w:vMerge w:val="restart"/>
                  <w:shd w:val="clear" w:color="auto" w:fill="auto"/>
                  <w:vAlign w:val="center"/>
                </w:tcPr>
                <w:p w14:paraId="192C058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形态</w:t>
                  </w:r>
                </w:p>
              </w:tc>
              <w:tc>
                <w:tcPr>
                  <w:tcW w:w="668" w:type="dxa"/>
                  <w:vMerge w:val="restart"/>
                  <w:shd w:val="clear" w:color="auto" w:fill="auto"/>
                  <w:vAlign w:val="center"/>
                </w:tcPr>
                <w:p w14:paraId="48DC211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主要成分</w:t>
                  </w:r>
                </w:p>
              </w:tc>
              <w:tc>
                <w:tcPr>
                  <w:tcW w:w="899" w:type="dxa"/>
                  <w:vMerge w:val="restart"/>
                  <w:shd w:val="clear" w:color="auto" w:fill="auto"/>
                  <w:vAlign w:val="center"/>
                </w:tcPr>
                <w:p w14:paraId="3FEF746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预测产生量</w:t>
                  </w:r>
                </w:p>
              </w:tc>
              <w:tc>
                <w:tcPr>
                  <w:tcW w:w="3336" w:type="dxa"/>
                  <w:gridSpan w:val="3"/>
                  <w:shd w:val="clear" w:color="auto" w:fill="auto"/>
                  <w:vAlign w:val="center"/>
                </w:tcPr>
                <w:p w14:paraId="6050B07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种类判断</w:t>
                  </w:r>
                </w:p>
              </w:tc>
              <w:tc>
                <w:tcPr>
                  <w:tcW w:w="693" w:type="dxa"/>
                  <w:vMerge w:val="restart"/>
                  <w:vAlign w:val="center"/>
                </w:tcPr>
                <w:p w14:paraId="128D948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最终去向</w:t>
                  </w:r>
                </w:p>
              </w:tc>
            </w:tr>
            <w:tr w14:paraId="65A84F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vMerge w:val="continue"/>
                  <w:shd w:val="clear" w:color="auto" w:fill="auto"/>
                  <w:vAlign w:val="center"/>
                </w:tcPr>
                <w:p w14:paraId="03506EEC">
                  <w:pPr>
                    <w:adjustRightInd w:val="0"/>
                    <w:snapToGrid w:val="0"/>
                    <w:jc w:val="center"/>
                    <w:rPr>
                      <w:rFonts w:ascii="Times New Roman" w:hAnsi="Times New Roman" w:eastAsia="宋体" w:cs="Times New Roman"/>
                      <w:szCs w:val="21"/>
                    </w:rPr>
                  </w:pPr>
                </w:p>
              </w:tc>
              <w:tc>
                <w:tcPr>
                  <w:tcW w:w="726" w:type="dxa"/>
                  <w:vMerge w:val="continue"/>
                  <w:shd w:val="clear" w:color="auto" w:fill="auto"/>
                  <w:vAlign w:val="center"/>
                </w:tcPr>
                <w:p w14:paraId="3FBC05B6">
                  <w:pPr>
                    <w:adjustRightInd w:val="0"/>
                    <w:snapToGrid w:val="0"/>
                    <w:jc w:val="center"/>
                    <w:rPr>
                      <w:rFonts w:ascii="Times New Roman" w:hAnsi="Times New Roman" w:eastAsia="宋体" w:cs="Times New Roman"/>
                      <w:szCs w:val="21"/>
                    </w:rPr>
                  </w:pPr>
                </w:p>
              </w:tc>
              <w:tc>
                <w:tcPr>
                  <w:tcW w:w="797" w:type="dxa"/>
                  <w:vMerge w:val="continue"/>
                  <w:shd w:val="clear" w:color="auto" w:fill="auto"/>
                  <w:vAlign w:val="center"/>
                </w:tcPr>
                <w:p w14:paraId="2B33F6E1">
                  <w:pPr>
                    <w:adjustRightInd w:val="0"/>
                    <w:snapToGrid w:val="0"/>
                    <w:jc w:val="center"/>
                    <w:rPr>
                      <w:rFonts w:ascii="Times New Roman" w:hAnsi="Times New Roman" w:eastAsia="宋体" w:cs="Times New Roman"/>
                      <w:szCs w:val="21"/>
                    </w:rPr>
                  </w:pPr>
                </w:p>
              </w:tc>
              <w:tc>
                <w:tcPr>
                  <w:tcW w:w="757" w:type="dxa"/>
                  <w:vMerge w:val="continue"/>
                  <w:shd w:val="clear" w:color="auto" w:fill="auto"/>
                  <w:vAlign w:val="center"/>
                </w:tcPr>
                <w:p w14:paraId="0392E577">
                  <w:pPr>
                    <w:adjustRightInd w:val="0"/>
                    <w:snapToGrid w:val="0"/>
                    <w:jc w:val="center"/>
                    <w:rPr>
                      <w:rFonts w:ascii="Times New Roman" w:hAnsi="Times New Roman" w:eastAsia="宋体" w:cs="Times New Roman"/>
                      <w:szCs w:val="21"/>
                    </w:rPr>
                  </w:pPr>
                </w:p>
              </w:tc>
              <w:tc>
                <w:tcPr>
                  <w:tcW w:w="668" w:type="dxa"/>
                  <w:vMerge w:val="continue"/>
                  <w:shd w:val="clear" w:color="auto" w:fill="auto"/>
                  <w:vAlign w:val="center"/>
                </w:tcPr>
                <w:p w14:paraId="3579C3E6">
                  <w:pPr>
                    <w:adjustRightInd w:val="0"/>
                    <w:snapToGrid w:val="0"/>
                    <w:jc w:val="center"/>
                    <w:rPr>
                      <w:rFonts w:ascii="Times New Roman" w:hAnsi="Times New Roman" w:eastAsia="宋体" w:cs="Times New Roman"/>
                      <w:szCs w:val="21"/>
                    </w:rPr>
                  </w:pPr>
                </w:p>
              </w:tc>
              <w:tc>
                <w:tcPr>
                  <w:tcW w:w="899" w:type="dxa"/>
                  <w:vMerge w:val="continue"/>
                  <w:shd w:val="clear" w:color="auto" w:fill="auto"/>
                  <w:vAlign w:val="center"/>
                </w:tcPr>
                <w:p w14:paraId="1B5D14D7">
                  <w:pPr>
                    <w:adjustRightInd w:val="0"/>
                    <w:snapToGrid w:val="0"/>
                    <w:jc w:val="center"/>
                    <w:rPr>
                      <w:rFonts w:ascii="Times New Roman" w:hAnsi="Times New Roman" w:eastAsia="宋体" w:cs="Times New Roman"/>
                      <w:szCs w:val="21"/>
                    </w:rPr>
                  </w:pPr>
                </w:p>
              </w:tc>
              <w:tc>
                <w:tcPr>
                  <w:tcW w:w="684" w:type="dxa"/>
                  <w:shd w:val="clear" w:color="auto" w:fill="auto"/>
                  <w:vAlign w:val="center"/>
                </w:tcPr>
                <w:p w14:paraId="5CF53E1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固体废物</w:t>
                  </w:r>
                </w:p>
              </w:tc>
              <w:tc>
                <w:tcPr>
                  <w:tcW w:w="709" w:type="dxa"/>
                  <w:shd w:val="clear" w:color="auto" w:fill="auto"/>
                  <w:vAlign w:val="center"/>
                </w:tcPr>
                <w:p w14:paraId="475CDFB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副产品</w:t>
                  </w:r>
                </w:p>
              </w:tc>
              <w:tc>
                <w:tcPr>
                  <w:tcW w:w="1943" w:type="dxa"/>
                  <w:shd w:val="clear" w:color="auto" w:fill="auto"/>
                  <w:vAlign w:val="center"/>
                </w:tcPr>
                <w:p w14:paraId="50FF28A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判定依据</w:t>
                  </w:r>
                </w:p>
              </w:tc>
              <w:tc>
                <w:tcPr>
                  <w:tcW w:w="693" w:type="dxa"/>
                  <w:vMerge w:val="continue"/>
                  <w:vAlign w:val="center"/>
                </w:tcPr>
                <w:p w14:paraId="67C758D8">
                  <w:pPr>
                    <w:adjustRightInd w:val="0"/>
                    <w:snapToGrid w:val="0"/>
                    <w:jc w:val="center"/>
                    <w:rPr>
                      <w:rFonts w:ascii="Times New Roman" w:hAnsi="Times New Roman" w:eastAsia="宋体" w:cs="Times New Roman"/>
                      <w:szCs w:val="21"/>
                    </w:rPr>
                  </w:pPr>
                </w:p>
              </w:tc>
            </w:tr>
            <w:tr w14:paraId="4F8647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shd w:val="clear" w:color="auto" w:fill="auto"/>
                  <w:vAlign w:val="center"/>
                </w:tcPr>
                <w:p w14:paraId="050F21C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726" w:type="dxa"/>
                  <w:shd w:val="clear" w:color="auto" w:fill="auto"/>
                  <w:vAlign w:val="center"/>
                </w:tcPr>
                <w:p w14:paraId="30905BC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磁选废铁渣、分类废料</w:t>
                  </w:r>
                </w:p>
              </w:tc>
              <w:tc>
                <w:tcPr>
                  <w:tcW w:w="797" w:type="dxa"/>
                  <w:shd w:val="clear" w:color="auto" w:fill="auto"/>
                  <w:vAlign w:val="center"/>
                </w:tcPr>
                <w:p w14:paraId="2D1D1AB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bCs/>
                      <w:szCs w:val="21"/>
                    </w:rPr>
                    <w:t>除铁、分类</w:t>
                  </w:r>
                </w:p>
              </w:tc>
              <w:tc>
                <w:tcPr>
                  <w:tcW w:w="757" w:type="dxa"/>
                  <w:shd w:val="clear" w:color="auto" w:fill="auto"/>
                  <w:vAlign w:val="center"/>
                </w:tcPr>
                <w:p w14:paraId="50968DE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固态</w:t>
                  </w:r>
                </w:p>
              </w:tc>
              <w:tc>
                <w:tcPr>
                  <w:tcW w:w="668" w:type="dxa"/>
                  <w:shd w:val="clear" w:color="auto" w:fill="auto"/>
                  <w:vAlign w:val="center"/>
                </w:tcPr>
                <w:p w14:paraId="3ACEFCA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废铁渣、木头</w:t>
                  </w:r>
                </w:p>
              </w:tc>
              <w:tc>
                <w:tcPr>
                  <w:tcW w:w="899" w:type="dxa"/>
                  <w:shd w:val="clear" w:color="auto" w:fill="auto"/>
                  <w:vAlign w:val="center"/>
                </w:tcPr>
                <w:p w14:paraId="31BFB12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5t/a</w:t>
                  </w:r>
                </w:p>
              </w:tc>
              <w:tc>
                <w:tcPr>
                  <w:tcW w:w="684" w:type="dxa"/>
                  <w:shd w:val="clear" w:color="auto" w:fill="auto"/>
                  <w:vAlign w:val="center"/>
                </w:tcPr>
                <w:p w14:paraId="21FB927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709" w:type="dxa"/>
                  <w:shd w:val="clear" w:color="auto" w:fill="auto"/>
                  <w:vAlign w:val="center"/>
                </w:tcPr>
                <w:p w14:paraId="4B2D9CC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943" w:type="dxa"/>
                  <w:vMerge w:val="restart"/>
                  <w:shd w:val="clear" w:color="auto" w:fill="auto"/>
                  <w:vAlign w:val="center"/>
                </w:tcPr>
                <w:p w14:paraId="2FE4E3E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《固态废物鉴别标准 通则》（GB34330-2017）</w:t>
                  </w:r>
                </w:p>
              </w:tc>
              <w:tc>
                <w:tcPr>
                  <w:tcW w:w="693" w:type="dxa"/>
                  <w:vAlign w:val="center"/>
                </w:tcPr>
                <w:p w14:paraId="7B06D0D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废品公司</w:t>
                  </w:r>
                  <w:r>
                    <w:rPr>
                      <w:rFonts w:ascii="Times New Roman" w:hAnsi="Times New Roman" w:eastAsia="宋体" w:cs="Times New Roman"/>
                      <w:szCs w:val="21"/>
                    </w:rPr>
                    <w:t>回收外售</w:t>
                  </w:r>
                </w:p>
              </w:tc>
            </w:tr>
            <w:tr w14:paraId="32191A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shd w:val="clear" w:color="auto" w:fill="auto"/>
                  <w:vAlign w:val="center"/>
                </w:tcPr>
                <w:p w14:paraId="6D77CE9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w:t>
                  </w:r>
                </w:p>
              </w:tc>
              <w:tc>
                <w:tcPr>
                  <w:tcW w:w="726" w:type="dxa"/>
                  <w:shd w:val="clear" w:color="auto" w:fill="auto"/>
                  <w:vAlign w:val="center"/>
                </w:tcPr>
                <w:p w14:paraId="283CAF6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循环沉淀池淤泥</w:t>
                  </w:r>
                </w:p>
              </w:tc>
              <w:tc>
                <w:tcPr>
                  <w:tcW w:w="797" w:type="dxa"/>
                  <w:shd w:val="clear" w:color="auto" w:fill="auto"/>
                  <w:vAlign w:val="center"/>
                </w:tcPr>
                <w:p w14:paraId="3B20C4E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沉淀回用</w:t>
                  </w:r>
                </w:p>
              </w:tc>
              <w:tc>
                <w:tcPr>
                  <w:tcW w:w="757" w:type="dxa"/>
                  <w:shd w:val="clear" w:color="auto" w:fill="auto"/>
                  <w:vAlign w:val="center"/>
                </w:tcPr>
                <w:p w14:paraId="732F83C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固态</w:t>
                  </w:r>
                </w:p>
              </w:tc>
              <w:tc>
                <w:tcPr>
                  <w:tcW w:w="668" w:type="dxa"/>
                  <w:shd w:val="clear" w:color="auto" w:fill="auto"/>
                  <w:vAlign w:val="center"/>
                </w:tcPr>
                <w:p w14:paraId="00DF2E4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淤泥、砂石</w:t>
                  </w:r>
                </w:p>
              </w:tc>
              <w:tc>
                <w:tcPr>
                  <w:tcW w:w="899" w:type="dxa"/>
                  <w:shd w:val="clear" w:color="auto" w:fill="auto"/>
                  <w:vAlign w:val="center"/>
                </w:tcPr>
                <w:p w14:paraId="0D00250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28.86t/a</w:t>
                  </w:r>
                </w:p>
              </w:tc>
              <w:tc>
                <w:tcPr>
                  <w:tcW w:w="684" w:type="dxa"/>
                  <w:shd w:val="clear" w:color="auto" w:fill="auto"/>
                  <w:vAlign w:val="center"/>
                </w:tcPr>
                <w:p w14:paraId="599A3ED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709" w:type="dxa"/>
                  <w:shd w:val="clear" w:color="auto" w:fill="auto"/>
                  <w:vAlign w:val="center"/>
                </w:tcPr>
                <w:p w14:paraId="0D69784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943" w:type="dxa"/>
                  <w:vMerge w:val="continue"/>
                  <w:shd w:val="clear" w:color="auto" w:fill="auto"/>
                  <w:vAlign w:val="center"/>
                </w:tcPr>
                <w:p w14:paraId="22387744">
                  <w:pPr>
                    <w:adjustRightInd w:val="0"/>
                    <w:snapToGrid w:val="0"/>
                    <w:jc w:val="center"/>
                    <w:rPr>
                      <w:rFonts w:ascii="Times New Roman" w:hAnsi="Times New Roman" w:eastAsia="宋体" w:cs="Times New Roman"/>
                      <w:szCs w:val="21"/>
                    </w:rPr>
                  </w:pPr>
                </w:p>
              </w:tc>
              <w:tc>
                <w:tcPr>
                  <w:tcW w:w="693" w:type="dxa"/>
                  <w:vAlign w:val="center"/>
                </w:tcPr>
                <w:p w14:paraId="6B44310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回填中铁十五局弃土场</w:t>
                  </w:r>
                </w:p>
              </w:tc>
            </w:tr>
            <w:tr w14:paraId="27AF78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shd w:val="clear" w:color="auto" w:fill="auto"/>
                  <w:vAlign w:val="center"/>
                </w:tcPr>
                <w:p w14:paraId="081E6FF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w:t>
                  </w:r>
                </w:p>
              </w:tc>
              <w:tc>
                <w:tcPr>
                  <w:tcW w:w="726" w:type="dxa"/>
                  <w:shd w:val="clear" w:color="auto" w:fill="auto"/>
                  <w:vAlign w:val="center"/>
                </w:tcPr>
                <w:p w14:paraId="12BA57C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轮胎冲洗池和雨水沉淀池淤泥</w:t>
                  </w:r>
                </w:p>
              </w:tc>
              <w:tc>
                <w:tcPr>
                  <w:tcW w:w="797" w:type="dxa"/>
                  <w:shd w:val="clear" w:color="auto" w:fill="auto"/>
                  <w:vAlign w:val="center"/>
                </w:tcPr>
                <w:p w14:paraId="11C57F1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轮胎清洗、雨水沉淀</w:t>
                  </w:r>
                </w:p>
              </w:tc>
              <w:tc>
                <w:tcPr>
                  <w:tcW w:w="757" w:type="dxa"/>
                  <w:shd w:val="clear" w:color="auto" w:fill="auto"/>
                  <w:vAlign w:val="center"/>
                </w:tcPr>
                <w:p w14:paraId="60A8CE5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固态</w:t>
                  </w:r>
                </w:p>
              </w:tc>
              <w:tc>
                <w:tcPr>
                  <w:tcW w:w="668" w:type="dxa"/>
                  <w:shd w:val="clear" w:color="auto" w:fill="auto"/>
                  <w:vAlign w:val="center"/>
                </w:tcPr>
                <w:p w14:paraId="4700188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淤泥、砂石</w:t>
                  </w:r>
                </w:p>
              </w:tc>
              <w:tc>
                <w:tcPr>
                  <w:tcW w:w="899" w:type="dxa"/>
                  <w:shd w:val="clear" w:color="auto" w:fill="auto"/>
                  <w:vAlign w:val="center"/>
                </w:tcPr>
                <w:p w14:paraId="69B8B1E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r>
                    <w:rPr>
                      <w:rFonts w:hint="eastAsia" w:ascii="Times New Roman" w:hAnsi="Times New Roman" w:eastAsia="宋体" w:cs="Times New Roman"/>
                      <w:szCs w:val="21"/>
                    </w:rPr>
                    <w:t>t</w:t>
                  </w:r>
                  <w:r>
                    <w:rPr>
                      <w:rFonts w:ascii="Times New Roman" w:hAnsi="Times New Roman" w:eastAsia="宋体" w:cs="Times New Roman"/>
                      <w:szCs w:val="21"/>
                    </w:rPr>
                    <w:t>/</w:t>
                  </w:r>
                  <w:r>
                    <w:rPr>
                      <w:rFonts w:hint="eastAsia" w:ascii="Times New Roman" w:hAnsi="Times New Roman" w:eastAsia="宋体" w:cs="Times New Roman"/>
                      <w:szCs w:val="21"/>
                    </w:rPr>
                    <w:t>a</w:t>
                  </w:r>
                </w:p>
              </w:tc>
              <w:tc>
                <w:tcPr>
                  <w:tcW w:w="684" w:type="dxa"/>
                  <w:shd w:val="clear" w:color="auto" w:fill="auto"/>
                  <w:vAlign w:val="center"/>
                </w:tcPr>
                <w:p w14:paraId="6D8CD43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709" w:type="dxa"/>
                  <w:shd w:val="clear" w:color="auto" w:fill="auto"/>
                  <w:vAlign w:val="center"/>
                </w:tcPr>
                <w:p w14:paraId="4EB6F74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943" w:type="dxa"/>
                  <w:vMerge w:val="continue"/>
                  <w:shd w:val="clear" w:color="auto" w:fill="auto"/>
                  <w:vAlign w:val="center"/>
                </w:tcPr>
                <w:p w14:paraId="5C397E2A">
                  <w:pPr>
                    <w:adjustRightInd w:val="0"/>
                    <w:snapToGrid w:val="0"/>
                    <w:jc w:val="center"/>
                    <w:rPr>
                      <w:rFonts w:ascii="Times New Roman" w:hAnsi="Times New Roman" w:eastAsia="宋体" w:cs="Times New Roman"/>
                      <w:szCs w:val="21"/>
                    </w:rPr>
                  </w:pPr>
                </w:p>
              </w:tc>
              <w:tc>
                <w:tcPr>
                  <w:tcW w:w="693" w:type="dxa"/>
                  <w:vAlign w:val="center"/>
                </w:tcPr>
                <w:p w14:paraId="24A9F88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回填中铁十五局弃土场</w:t>
                  </w:r>
                </w:p>
              </w:tc>
            </w:tr>
            <w:tr w14:paraId="49D90C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shd w:val="clear" w:color="auto" w:fill="auto"/>
                  <w:vAlign w:val="center"/>
                </w:tcPr>
                <w:p w14:paraId="11B2A2E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p>
              </w:tc>
              <w:tc>
                <w:tcPr>
                  <w:tcW w:w="726" w:type="dxa"/>
                  <w:shd w:val="clear" w:color="auto" w:fill="auto"/>
                  <w:vAlign w:val="center"/>
                </w:tcPr>
                <w:p w14:paraId="0D216F6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维修废物</w:t>
                  </w:r>
                </w:p>
              </w:tc>
              <w:tc>
                <w:tcPr>
                  <w:tcW w:w="797" w:type="dxa"/>
                  <w:shd w:val="clear" w:color="auto" w:fill="auto"/>
                  <w:vAlign w:val="center"/>
                </w:tcPr>
                <w:p w14:paraId="56BAE428">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szCs w:val="21"/>
                    </w:rPr>
                    <w:t>设备维修</w:t>
                  </w:r>
                </w:p>
              </w:tc>
              <w:tc>
                <w:tcPr>
                  <w:tcW w:w="757" w:type="dxa"/>
                  <w:shd w:val="clear" w:color="auto" w:fill="auto"/>
                  <w:vAlign w:val="center"/>
                </w:tcPr>
                <w:p w14:paraId="5ACFBF6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固态</w:t>
                  </w:r>
                </w:p>
              </w:tc>
              <w:tc>
                <w:tcPr>
                  <w:tcW w:w="668" w:type="dxa"/>
                  <w:shd w:val="clear" w:color="auto" w:fill="auto"/>
                  <w:vAlign w:val="center"/>
                </w:tcPr>
                <w:p w14:paraId="6EEEA95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机械零件、含油抹布等</w:t>
                  </w:r>
                </w:p>
              </w:tc>
              <w:tc>
                <w:tcPr>
                  <w:tcW w:w="899" w:type="dxa"/>
                  <w:shd w:val="clear" w:color="auto" w:fill="auto"/>
                  <w:vAlign w:val="center"/>
                </w:tcPr>
                <w:p w14:paraId="54E316B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0</w:t>
                  </w:r>
                  <w:r>
                    <w:rPr>
                      <w:rFonts w:ascii="Times New Roman" w:hAnsi="Times New Roman" w:eastAsia="宋体" w:cs="Times New Roman"/>
                      <w:szCs w:val="21"/>
                    </w:rPr>
                    <w:t>.2</w:t>
                  </w:r>
                  <w:r>
                    <w:rPr>
                      <w:rFonts w:hint="eastAsia" w:ascii="Times New Roman" w:hAnsi="Times New Roman" w:eastAsia="宋体" w:cs="Times New Roman"/>
                      <w:szCs w:val="21"/>
                    </w:rPr>
                    <w:t>t</w:t>
                  </w:r>
                  <w:r>
                    <w:rPr>
                      <w:rFonts w:ascii="Times New Roman" w:hAnsi="Times New Roman" w:eastAsia="宋体" w:cs="Times New Roman"/>
                      <w:szCs w:val="21"/>
                    </w:rPr>
                    <w:t>/</w:t>
                  </w:r>
                  <w:r>
                    <w:rPr>
                      <w:rFonts w:hint="eastAsia" w:ascii="Times New Roman" w:hAnsi="Times New Roman" w:eastAsia="宋体" w:cs="Times New Roman"/>
                      <w:szCs w:val="21"/>
                    </w:rPr>
                    <w:t>a</w:t>
                  </w:r>
                </w:p>
              </w:tc>
              <w:tc>
                <w:tcPr>
                  <w:tcW w:w="684" w:type="dxa"/>
                  <w:shd w:val="clear" w:color="auto" w:fill="auto"/>
                  <w:vAlign w:val="center"/>
                </w:tcPr>
                <w:p w14:paraId="26EA650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709" w:type="dxa"/>
                  <w:shd w:val="clear" w:color="auto" w:fill="auto"/>
                  <w:vAlign w:val="center"/>
                </w:tcPr>
                <w:p w14:paraId="0932D0D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943" w:type="dxa"/>
                  <w:vMerge w:val="continue"/>
                  <w:shd w:val="clear" w:color="auto" w:fill="auto"/>
                  <w:vAlign w:val="center"/>
                </w:tcPr>
                <w:p w14:paraId="7D831914">
                  <w:pPr>
                    <w:adjustRightInd w:val="0"/>
                    <w:snapToGrid w:val="0"/>
                    <w:jc w:val="center"/>
                    <w:rPr>
                      <w:rFonts w:ascii="Times New Roman" w:hAnsi="Times New Roman" w:eastAsia="宋体" w:cs="Times New Roman"/>
                      <w:szCs w:val="21"/>
                    </w:rPr>
                  </w:pPr>
                </w:p>
              </w:tc>
              <w:tc>
                <w:tcPr>
                  <w:tcW w:w="693" w:type="dxa"/>
                  <w:vAlign w:val="center"/>
                </w:tcPr>
                <w:p w14:paraId="296604F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环卫部门</w:t>
                  </w:r>
                </w:p>
              </w:tc>
            </w:tr>
            <w:tr w14:paraId="39A12E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shd w:val="clear" w:color="auto" w:fill="auto"/>
                  <w:vAlign w:val="center"/>
                </w:tcPr>
                <w:p w14:paraId="26AF97B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5</w:t>
                  </w:r>
                </w:p>
              </w:tc>
              <w:tc>
                <w:tcPr>
                  <w:tcW w:w="726" w:type="dxa"/>
                  <w:shd w:val="clear" w:color="auto" w:fill="auto"/>
                  <w:vAlign w:val="center"/>
                </w:tcPr>
                <w:p w14:paraId="395C87F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生活垃圾</w:t>
                  </w:r>
                </w:p>
              </w:tc>
              <w:tc>
                <w:tcPr>
                  <w:tcW w:w="797" w:type="dxa"/>
                  <w:shd w:val="clear" w:color="auto" w:fill="auto"/>
                  <w:vAlign w:val="center"/>
                </w:tcPr>
                <w:p w14:paraId="2DD92749">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办公生活区等</w:t>
                  </w:r>
                </w:p>
              </w:tc>
              <w:tc>
                <w:tcPr>
                  <w:tcW w:w="757" w:type="dxa"/>
                  <w:shd w:val="clear" w:color="auto" w:fill="auto"/>
                  <w:vAlign w:val="center"/>
                </w:tcPr>
                <w:p w14:paraId="7EC4EE7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固态</w:t>
                  </w:r>
                </w:p>
              </w:tc>
              <w:tc>
                <w:tcPr>
                  <w:tcW w:w="668" w:type="dxa"/>
                  <w:shd w:val="clear" w:color="auto" w:fill="auto"/>
                  <w:vAlign w:val="center"/>
                </w:tcPr>
                <w:p w14:paraId="63FD27F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塑料、纸等</w:t>
                  </w:r>
                </w:p>
              </w:tc>
              <w:tc>
                <w:tcPr>
                  <w:tcW w:w="899" w:type="dxa"/>
                  <w:shd w:val="clear" w:color="auto" w:fill="auto"/>
                  <w:vAlign w:val="center"/>
                </w:tcPr>
                <w:p w14:paraId="01F4105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0.9t/a</w:t>
                  </w:r>
                </w:p>
              </w:tc>
              <w:tc>
                <w:tcPr>
                  <w:tcW w:w="684" w:type="dxa"/>
                  <w:shd w:val="clear" w:color="auto" w:fill="auto"/>
                  <w:vAlign w:val="center"/>
                </w:tcPr>
                <w:p w14:paraId="0B22D37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709" w:type="dxa"/>
                  <w:shd w:val="clear" w:color="auto" w:fill="auto"/>
                  <w:vAlign w:val="center"/>
                </w:tcPr>
                <w:p w14:paraId="521810A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1943" w:type="dxa"/>
                  <w:vMerge w:val="continue"/>
                  <w:shd w:val="clear" w:color="auto" w:fill="auto"/>
                  <w:vAlign w:val="center"/>
                </w:tcPr>
                <w:p w14:paraId="00435730">
                  <w:pPr>
                    <w:adjustRightInd w:val="0"/>
                    <w:snapToGrid w:val="0"/>
                    <w:jc w:val="center"/>
                    <w:rPr>
                      <w:rFonts w:ascii="Times New Roman" w:hAnsi="Times New Roman" w:eastAsia="宋体" w:cs="Times New Roman"/>
                      <w:szCs w:val="21"/>
                    </w:rPr>
                  </w:pPr>
                </w:p>
              </w:tc>
              <w:tc>
                <w:tcPr>
                  <w:tcW w:w="693" w:type="dxa"/>
                  <w:vAlign w:val="center"/>
                </w:tcPr>
                <w:p w14:paraId="32747B0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环卫部门</w:t>
                  </w:r>
                </w:p>
              </w:tc>
            </w:tr>
          </w:tbl>
          <w:p w14:paraId="7771E917">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综上，项目固废去向明确，处置措施可行，不会产生二次污染。</w:t>
            </w:r>
          </w:p>
          <w:p w14:paraId="68081528">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5、土壤环境环境影响分析</w:t>
            </w:r>
          </w:p>
          <w:p w14:paraId="19209ED6">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（1）项目类型</w:t>
            </w:r>
          </w:p>
          <w:p w14:paraId="137A4286">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本项目查阅《环境影响评价技术导则土壤环境（试行）》（HJ964-2018）附录 A，项目属于</w:t>
            </w:r>
            <w:r>
              <w:rPr>
                <w:rFonts w:hint="eastAsia" w:ascii="Times New Roman" w:hAnsi="Times New Roman" w:eastAsia="宋体" w:cs="Times New Roman"/>
                <w:sz w:val="24"/>
              </w:rPr>
              <w:t>“环境和公共设施管理</w:t>
            </w:r>
            <w:r>
              <w:rPr>
                <w:rFonts w:ascii="Times New Roman" w:hAnsi="Times New Roman" w:eastAsia="宋体" w:cs="Times New Roman"/>
                <w:sz w:val="24"/>
              </w:rPr>
              <w:t>业</w:t>
            </w:r>
            <w:r>
              <w:rPr>
                <w:rFonts w:hint="eastAsia" w:ascii="Times New Roman" w:hAnsi="Times New Roman" w:eastAsia="宋体" w:cs="Times New Roman"/>
                <w:sz w:val="24"/>
              </w:rPr>
              <w:t>”</w:t>
            </w:r>
            <w:r>
              <w:rPr>
                <w:rFonts w:ascii="Times New Roman" w:hAnsi="Times New Roman" w:eastAsia="宋体" w:cs="Times New Roman"/>
                <w:sz w:val="24"/>
              </w:rPr>
              <w:t>中</w:t>
            </w:r>
            <w:r>
              <w:rPr>
                <w:rFonts w:hint="eastAsia" w:ascii="Times New Roman" w:hAnsi="Times New Roman" w:eastAsia="宋体" w:cs="Times New Roman"/>
                <w:sz w:val="24"/>
              </w:rPr>
              <w:t>“废旧资源加工、再生利用”</w:t>
            </w:r>
            <w:r>
              <w:rPr>
                <w:rFonts w:ascii="Times New Roman" w:hAnsi="Times New Roman" w:eastAsia="宋体" w:cs="Times New Roman"/>
                <w:sz w:val="24"/>
              </w:rPr>
              <w:t>，划分为</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3 \* ROMAN </w:instrText>
            </w:r>
            <w:r>
              <w:rPr>
                <w:rFonts w:ascii="Times New Roman" w:hAnsi="Times New Roman" w:eastAsia="宋体" w:cs="Times New Roman"/>
                <w:sz w:val="24"/>
              </w:rPr>
              <w:fldChar w:fldCharType="separate"/>
            </w:r>
            <w:r>
              <w:rPr>
                <w:rFonts w:hint="eastAsia" w:ascii="Times New Roman" w:hAnsi="Times New Roman" w:eastAsia="宋体" w:cs="Times New Roman"/>
                <w:sz w:val="24"/>
                <w:lang w:eastAsia="zh-CN"/>
              </w:rPr>
              <w:t>Ⅲ</w:t>
            </w:r>
            <w:r>
              <w:rPr>
                <w:rFonts w:ascii="Times New Roman" w:hAnsi="Times New Roman" w:eastAsia="宋体" w:cs="Times New Roman"/>
                <w:sz w:val="24"/>
              </w:rPr>
              <w:fldChar w:fldCharType="end"/>
            </w:r>
            <w:r>
              <w:rPr>
                <w:rFonts w:ascii="Times New Roman" w:hAnsi="Times New Roman" w:eastAsia="宋体" w:cs="Times New Roman"/>
                <w:sz w:val="24"/>
              </w:rPr>
              <w:t>类建设项目。</w:t>
            </w:r>
          </w:p>
          <w:p w14:paraId="5456CCCB">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（2）占地规模确定</w:t>
            </w:r>
          </w:p>
          <w:p w14:paraId="20FB77D7">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将建设项目占地规模分为大型（≥50hm</w:t>
            </w:r>
            <w:r>
              <w:rPr>
                <w:rFonts w:ascii="Times New Roman" w:hAnsi="Times New Roman" w:eastAsia="宋体" w:cs="Times New Roman"/>
                <w:sz w:val="24"/>
                <w:vertAlign w:val="superscript"/>
              </w:rPr>
              <w:t>2</w:t>
            </w:r>
            <w:r>
              <w:rPr>
                <w:rFonts w:ascii="Times New Roman" w:hAnsi="Times New Roman" w:eastAsia="宋体" w:cs="Times New Roman"/>
                <w:sz w:val="24"/>
              </w:rPr>
              <w:t>）、中型（5~50hm</w:t>
            </w:r>
            <w:r>
              <w:rPr>
                <w:rFonts w:ascii="Times New Roman" w:hAnsi="Times New Roman" w:eastAsia="宋体" w:cs="Times New Roman"/>
                <w:sz w:val="24"/>
                <w:vertAlign w:val="superscript"/>
              </w:rPr>
              <w:t>2</w:t>
            </w:r>
            <w:r>
              <w:rPr>
                <w:rFonts w:ascii="Times New Roman" w:hAnsi="Times New Roman" w:eastAsia="宋体" w:cs="Times New Roman"/>
                <w:sz w:val="24"/>
              </w:rPr>
              <w:t>）、小型（≤5hm</w:t>
            </w:r>
            <w:r>
              <w:rPr>
                <w:rFonts w:ascii="Times New Roman" w:hAnsi="Times New Roman" w:eastAsia="宋体" w:cs="Times New Roman"/>
                <w:sz w:val="24"/>
                <w:vertAlign w:val="superscript"/>
              </w:rPr>
              <w:t>2</w:t>
            </w:r>
            <w:r>
              <w:rPr>
                <w:rFonts w:ascii="Times New Roman" w:hAnsi="Times New Roman" w:eastAsia="宋体" w:cs="Times New Roman"/>
                <w:sz w:val="24"/>
              </w:rPr>
              <w:t>）。本项目面积约0.8hm</w:t>
            </w:r>
            <w:r>
              <w:rPr>
                <w:rFonts w:ascii="Times New Roman" w:hAnsi="Times New Roman" w:eastAsia="宋体" w:cs="Times New Roman"/>
                <w:sz w:val="24"/>
                <w:vertAlign w:val="superscript"/>
              </w:rPr>
              <w:t>2</w:t>
            </w:r>
            <w:r>
              <w:rPr>
                <w:rFonts w:ascii="Times New Roman" w:hAnsi="Times New Roman" w:eastAsia="宋体" w:cs="Times New Roman"/>
                <w:sz w:val="24"/>
              </w:rPr>
              <w:t>≤5hm</w:t>
            </w:r>
            <w:r>
              <w:rPr>
                <w:rFonts w:ascii="Times New Roman" w:hAnsi="Times New Roman" w:eastAsia="宋体" w:cs="Times New Roman"/>
                <w:sz w:val="24"/>
                <w:vertAlign w:val="superscript"/>
              </w:rPr>
              <w:t>2</w:t>
            </w:r>
            <w:r>
              <w:rPr>
                <w:rFonts w:ascii="Times New Roman" w:hAnsi="Times New Roman" w:eastAsia="宋体" w:cs="Times New Roman"/>
                <w:sz w:val="24"/>
              </w:rPr>
              <w:t>，属于小型占地规模。</w:t>
            </w:r>
          </w:p>
          <w:p w14:paraId="6A3142C1">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（3）项目所在地周边土壤环境敏感程度</w:t>
            </w:r>
          </w:p>
          <w:p w14:paraId="7EDAC32C">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项目用地属于</w:t>
            </w:r>
            <w:r>
              <w:rPr>
                <w:rFonts w:hint="eastAsia" w:ascii="Times New Roman" w:hAnsi="Times New Roman" w:eastAsia="宋体" w:cs="Times New Roman"/>
                <w:sz w:val="24"/>
              </w:rPr>
              <w:t>临时建设用地</w:t>
            </w:r>
            <w:r>
              <w:rPr>
                <w:rFonts w:ascii="Times New Roman" w:hAnsi="Times New Roman" w:eastAsia="宋体" w:cs="Times New Roman"/>
                <w:sz w:val="24"/>
              </w:rPr>
              <w:t>，项目周边调查范围内土壤皆为</w:t>
            </w:r>
            <w:r>
              <w:rPr>
                <w:rFonts w:hint="eastAsia" w:ascii="Times New Roman" w:hAnsi="Times New Roman" w:eastAsia="宋体" w:cs="Times New Roman"/>
                <w:sz w:val="24"/>
              </w:rPr>
              <w:t>林地及其他临时建设用地</w:t>
            </w:r>
            <w:r>
              <w:rPr>
                <w:rFonts w:ascii="Times New Roman" w:hAnsi="Times New Roman" w:eastAsia="宋体" w:cs="Times New Roman"/>
                <w:sz w:val="24"/>
              </w:rPr>
              <w:t>环境敏感程度为不敏感。</w:t>
            </w:r>
          </w:p>
          <w:p w14:paraId="297E5FC1">
            <w:pPr>
              <w:adjustRightInd w:val="0"/>
              <w:snapToGrid w:val="0"/>
              <w:spacing w:line="480" w:lineRule="exact"/>
              <w:jc w:val="center"/>
              <w:rPr>
                <w:rFonts w:ascii="Times New Roman" w:hAnsi="Times New Roman" w:eastAsia="宋体" w:cs="Times New Roman"/>
                <w:bCs/>
                <w:sz w:val="24"/>
              </w:rPr>
            </w:pPr>
            <w:r>
              <w:rPr>
                <w:rFonts w:ascii="Times New Roman" w:hAnsi="Times New Roman" w:eastAsia="宋体" w:cs="Times New Roman"/>
                <w:bCs/>
                <w:sz w:val="24"/>
              </w:rPr>
              <w:t>表7-24  污染影响型敏感程度分级表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029"/>
              <w:gridCol w:w="4285"/>
              <w:gridCol w:w="1968"/>
            </w:tblGrid>
            <w:tr w14:paraId="0B2867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25" w:type="pct"/>
                  <w:vAlign w:val="center"/>
                </w:tcPr>
                <w:p w14:paraId="702C30D3">
                  <w:pPr>
                    <w:jc w:val="center"/>
                    <w:rPr>
                      <w:rFonts w:ascii="Times New Roman" w:hAnsi="Times New Roman" w:eastAsia="宋体" w:cs="Times New Roman"/>
                      <w:szCs w:val="21"/>
                    </w:rPr>
                  </w:pPr>
                  <w:r>
                    <w:rPr>
                      <w:rFonts w:ascii="Times New Roman" w:hAnsi="Times New Roman" w:eastAsia="宋体" w:cs="Times New Roman"/>
                      <w:szCs w:val="21"/>
                    </w:rPr>
                    <w:t>敏感程度</w:t>
                  </w:r>
                </w:p>
              </w:tc>
              <w:tc>
                <w:tcPr>
                  <w:tcW w:w="2587" w:type="pct"/>
                  <w:vAlign w:val="center"/>
                </w:tcPr>
                <w:p w14:paraId="6A59F3F4">
                  <w:pPr>
                    <w:jc w:val="center"/>
                    <w:rPr>
                      <w:rFonts w:ascii="Times New Roman" w:hAnsi="Times New Roman" w:eastAsia="宋体" w:cs="Times New Roman"/>
                      <w:szCs w:val="21"/>
                    </w:rPr>
                  </w:pPr>
                  <w:r>
                    <w:rPr>
                      <w:rFonts w:ascii="Times New Roman" w:hAnsi="Times New Roman" w:eastAsia="宋体" w:cs="Times New Roman"/>
                      <w:szCs w:val="21"/>
                    </w:rPr>
                    <w:t>判别依据</w:t>
                  </w:r>
                </w:p>
              </w:tc>
              <w:tc>
                <w:tcPr>
                  <w:tcW w:w="1188" w:type="pct"/>
                  <w:vAlign w:val="center"/>
                </w:tcPr>
                <w:p w14:paraId="17F0C7A9">
                  <w:pPr>
                    <w:jc w:val="center"/>
                    <w:rPr>
                      <w:rFonts w:ascii="Times New Roman" w:hAnsi="Times New Roman" w:eastAsia="宋体" w:cs="Times New Roman"/>
                      <w:szCs w:val="21"/>
                    </w:rPr>
                  </w:pPr>
                  <w:r>
                    <w:rPr>
                      <w:rFonts w:ascii="Times New Roman" w:hAnsi="Times New Roman" w:eastAsia="宋体" w:cs="Times New Roman"/>
                      <w:szCs w:val="21"/>
                    </w:rPr>
                    <w:t>本项目</w:t>
                  </w:r>
                </w:p>
              </w:tc>
            </w:tr>
            <w:tr w14:paraId="5C5DF4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25" w:type="pct"/>
                  <w:vAlign w:val="center"/>
                </w:tcPr>
                <w:p w14:paraId="28072516">
                  <w:pPr>
                    <w:jc w:val="center"/>
                    <w:rPr>
                      <w:rFonts w:ascii="Times New Roman" w:hAnsi="Times New Roman" w:eastAsia="宋体" w:cs="Times New Roman"/>
                      <w:szCs w:val="21"/>
                    </w:rPr>
                  </w:pPr>
                  <w:r>
                    <w:rPr>
                      <w:rFonts w:ascii="Times New Roman" w:hAnsi="Times New Roman" w:eastAsia="宋体" w:cs="Times New Roman"/>
                      <w:szCs w:val="21"/>
                    </w:rPr>
                    <w:t>敏感</w:t>
                  </w:r>
                </w:p>
              </w:tc>
              <w:tc>
                <w:tcPr>
                  <w:tcW w:w="2587" w:type="pct"/>
                  <w:vAlign w:val="center"/>
                </w:tcPr>
                <w:p w14:paraId="35268706">
                  <w:pPr>
                    <w:rPr>
                      <w:rFonts w:ascii="Times New Roman" w:hAnsi="Times New Roman" w:eastAsia="宋体" w:cs="Times New Roman"/>
                      <w:szCs w:val="21"/>
                    </w:rPr>
                  </w:pPr>
                  <w:r>
                    <w:rPr>
                      <w:rFonts w:ascii="Times New Roman" w:hAnsi="Times New Roman" w:eastAsia="宋体" w:cs="Times New Roman"/>
                      <w:szCs w:val="21"/>
                    </w:rPr>
                    <w:t>建设项目周边存在耕地、园地、牧草地、饮用水源地或居民区、学校、医院、疗养院、养老院等土壤环境敏感目标</w:t>
                  </w:r>
                </w:p>
              </w:tc>
              <w:tc>
                <w:tcPr>
                  <w:tcW w:w="1188" w:type="pct"/>
                  <w:vMerge w:val="restart"/>
                  <w:vAlign w:val="center"/>
                </w:tcPr>
                <w:p w14:paraId="2216B657">
                  <w:pPr>
                    <w:rPr>
                      <w:rFonts w:ascii="Times New Roman" w:hAnsi="Times New Roman" w:eastAsia="宋体" w:cs="Times New Roman"/>
                      <w:szCs w:val="21"/>
                    </w:rPr>
                  </w:pPr>
                  <w:r>
                    <w:rPr>
                      <w:rFonts w:ascii="Times New Roman" w:hAnsi="Times New Roman" w:eastAsia="宋体" w:cs="Times New Roman"/>
                      <w:szCs w:val="21"/>
                    </w:rPr>
                    <w:t>根据现场调查，项目</w:t>
                  </w:r>
                  <w:r>
                    <w:rPr>
                      <w:rFonts w:hint="eastAsia" w:ascii="Times New Roman" w:hAnsi="Times New Roman" w:eastAsia="宋体" w:cs="Times New Roman"/>
                      <w:szCs w:val="21"/>
                    </w:rPr>
                    <w:t>周边0</w:t>
                  </w:r>
                  <w:r>
                    <w:rPr>
                      <w:rFonts w:ascii="Times New Roman" w:hAnsi="Times New Roman" w:eastAsia="宋体" w:cs="Times New Roman"/>
                      <w:szCs w:val="21"/>
                    </w:rPr>
                    <w:t>.05</w:t>
                  </w:r>
                  <w:r>
                    <w:rPr>
                      <w:rFonts w:hint="eastAsia" w:ascii="Times New Roman" w:hAnsi="Times New Roman" w:eastAsia="宋体" w:cs="Times New Roman"/>
                      <w:szCs w:val="21"/>
                    </w:rPr>
                    <w:t>km调查范围内为林地</w:t>
                  </w:r>
                  <w:r>
                    <w:rPr>
                      <w:rFonts w:ascii="Times New Roman" w:hAnsi="Times New Roman" w:eastAsia="宋体" w:cs="Times New Roman"/>
                      <w:szCs w:val="21"/>
                    </w:rPr>
                    <w:t>，</w:t>
                  </w:r>
                  <w:r>
                    <w:rPr>
                      <w:rFonts w:hint="eastAsia" w:ascii="Times New Roman" w:hAnsi="Times New Roman" w:eastAsia="宋体" w:cs="Times New Roman"/>
                      <w:szCs w:val="21"/>
                    </w:rPr>
                    <w:t>调查范围外为林地及其他临时建设用地，</w:t>
                  </w:r>
                  <w:r>
                    <w:rPr>
                      <w:rFonts w:ascii="Times New Roman" w:hAnsi="Times New Roman" w:eastAsia="宋体" w:cs="Times New Roman"/>
                      <w:szCs w:val="21"/>
                    </w:rPr>
                    <w:t>因此本项目周边土壤环境敏感程度为</w:t>
                  </w:r>
                  <w:r>
                    <w:rPr>
                      <w:rFonts w:hint="eastAsia" w:ascii="Times New Roman" w:hAnsi="Times New Roman" w:eastAsia="宋体" w:cs="Times New Roman"/>
                      <w:b/>
                      <w:szCs w:val="21"/>
                    </w:rPr>
                    <w:t>不</w:t>
                  </w:r>
                  <w:r>
                    <w:rPr>
                      <w:rFonts w:ascii="Times New Roman" w:hAnsi="Times New Roman" w:eastAsia="宋体" w:cs="Times New Roman"/>
                      <w:b/>
                      <w:szCs w:val="21"/>
                    </w:rPr>
                    <w:t>敏感</w:t>
                  </w:r>
                  <w:r>
                    <w:rPr>
                      <w:rFonts w:hint="eastAsia" w:ascii="Times New Roman" w:hAnsi="Times New Roman" w:eastAsia="宋体" w:cs="Times New Roman"/>
                      <w:b/>
                      <w:szCs w:val="21"/>
                    </w:rPr>
                    <w:t>。</w:t>
                  </w:r>
                </w:p>
              </w:tc>
            </w:tr>
            <w:tr w14:paraId="5DB372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25" w:type="pct"/>
                  <w:vAlign w:val="center"/>
                </w:tcPr>
                <w:p w14:paraId="1B6D7AFB">
                  <w:pPr>
                    <w:jc w:val="center"/>
                    <w:rPr>
                      <w:rFonts w:ascii="Times New Roman" w:hAnsi="Times New Roman" w:eastAsia="宋体" w:cs="Times New Roman"/>
                      <w:szCs w:val="21"/>
                    </w:rPr>
                  </w:pPr>
                  <w:r>
                    <w:rPr>
                      <w:rFonts w:ascii="Times New Roman" w:hAnsi="Times New Roman" w:eastAsia="宋体" w:cs="Times New Roman"/>
                      <w:szCs w:val="21"/>
                    </w:rPr>
                    <w:t>较敏感</w:t>
                  </w:r>
                </w:p>
              </w:tc>
              <w:tc>
                <w:tcPr>
                  <w:tcW w:w="2587" w:type="pct"/>
                  <w:vAlign w:val="center"/>
                </w:tcPr>
                <w:p w14:paraId="5213A2BC">
                  <w:pPr>
                    <w:rPr>
                      <w:rFonts w:ascii="Times New Roman" w:hAnsi="Times New Roman" w:eastAsia="宋体" w:cs="Times New Roman"/>
                      <w:szCs w:val="21"/>
                    </w:rPr>
                  </w:pPr>
                  <w:r>
                    <w:rPr>
                      <w:rFonts w:ascii="Times New Roman" w:hAnsi="Times New Roman" w:eastAsia="宋体" w:cs="Times New Roman"/>
                      <w:szCs w:val="21"/>
                    </w:rPr>
                    <w:t>建设项目周边存在其他土壤环境敏感目标</w:t>
                  </w:r>
                </w:p>
              </w:tc>
              <w:tc>
                <w:tcPr>
                  <w:tcW w:w="1188" w:type="pct"/>
                  <w:vMerge w:val="continue"/>
                  <w:vAlign w:val="center"/>
                </w:tcPr>
                <w:p w14:paraId="5656DEF0">
                  <w:pPr>
                    <w:rPr>
                      <w:rFonts w:ascii="Times New Roman" w:hAnsi="Times New Roman" w:eastAsia="宋体" w:cs="Times New Roman"/>
                      <w:szCs w:val="21"/>
                    </w:rPr>
                  </w:pPr>
                </w:p>
              </w:tc>
            </w:tr>
            <w:tr w14:paraId="4CC8FA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25" w:type="pct"/>
                  <w:vAlign w:val="center"/>
                </w:tcPr>
                <w:p w14:paraId="483AC11A">
                  <w:pPr>
                    <w:jc w:val="center"/>
                    <w:rPr>
                      <w:rFonts w:ascii="Times New Roman" w:hAnsi="Times New Roman" w:eastAsia="宋体" w:cs="Times New Roman"/>
                      <w:szCs w:val="21"/>
                    </w:rPr>
                  </w:pPr>
                  <w:r>
                    <w:rPr>
                      <w:rFonts w:ascii="Times New Roman" w:hAnsi="Times New Roman" w:eastAsia="宋体" w:cs="Times New Roman"/>
                      <w:szCs w:val="21"/>
                    </w:rPr>
                    <w:t>不敏感</w:t>
                  </w:r>
                </w:p>
              </w:tc>
              <w:tc>
                <w:tcPr>
                  <w:tcW w:w="2587" w:type="pct"/>
                  <w:vAlign w:val="center"/>
                </w:tcPr>
                <w:p w14:paraId="110EF10B">
                  <w:pPr>
                    <w:rPr>
                      <w:rFonts w:ascii="Times New Roman" w:hAnsi="Times New Roman" w:eastAsia="宋体" w:cs="Times New Roman"/>
                      <w:szCs w:val="21"/>
                    </w:rPr>
                  </w:pPr>
                  <w:r>
                    <w:rPr>
                      <w:rFonts w:ascii="Times New Roman" w:hAnsi="Times New Roman" w:eastAsia="宋体" w:cs="Times New Roman"/>
                      <w:szCs w:val="21"/>
                    </w:rPr>
                    <w:t>其他情况</w:t>
                  </w:r>
                </w:p>
              </w:tc>
              <w:tc>
                <w:tcPr>
                  <w:tcW w:w="1188" w:type="pct"/>
                  <w:vMerge w:val="continue"/>
                  <w:vAlign w:val="center"/>
                </w:tcPr>
                <w:p w14:paraId="0541EA5F">
                  <w:pPr>
                    <w:rPr>
                      <w:rFonts w:ascii="Times New Roman" w:hAnsi="Times New Roman" w:eastAsia="宋体" w:cs="Times New Roman"/>
                      <w:szCs w:val="21"/>
                    </w:rPr>
                  </w:pPr>
                </w:p>
              </w:tc>
            </w:tr>
          </w:tbl>
          <w:p w14:paraId="554E5931">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（4）评价等级确认</w:t>
            </w:r>
          </w:p>
          <w:p w14:paraId="39C08E82">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根据《环境影响评价技术导则土壤环境（试行）》（HJ964-2018），根据土壤环境影响评价项目类别、占地规模与敏感程度划分评价工作等级，详见下表：</w:t>
            </w:r>
          </w:p>
          <w:p w14:paraId="2B27E5AC">
            <w:pPr>
              <w:adjustRightInd w:val="0"/>
              <w:snapToGrid w:val="0"/>
              <w:spacing w:line="480" w:lineRule="exact"/>
              <w:jc w:val="center"/>
              <w:rPr>
                <w:rFonts w:ascii="Times New Roman" w:hAnsi="Times New Roman" w:eastAsia="宋体" w:cs="Times New Roman"/>
                <w:bCs/>
                <w:sz w:val="24"/>
              </w:rPr>
            </w:pPr>
            <w:r>
              <w:rPr>
                <w:rFonts w:ascii="Times New Roman" w:hAnsi="Times New Roman" w:eastAsia="宋体" w:cs="Times New Roman"/>
                <w:bCs/>
                <w:sz w:val="24"/>
              </w:rPr>
              <w:t>表7-25  污染影响型评价工作等级划分表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92"/>
              <w:gridCol w:w="691"/>
              <w:gridCol w:w="691"/>
              <w:gridCol w:w="691"/>
              <w:gridCol w:w="691"/>
              <w:gridCol w:w="825"/>
              <w:gridCol w:w="823"/>
              <w:gridCol w:w="825"/>
              <w:gridCol w:w="691"/>
              <w:gridCol w:w="762"/>
            </w:tblGrid>
            <w:tr w14:paraId="5BBC3E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c>
                <w:tcPr>
                  <w:tcW w:w="962" w:type="pct"/>
                  <w:vMerge w:val="restart"/>
                  <w:vAlign w:val="center"/>
                </w:tcPr>
                <w:p w14:paraId="34A2C629">
                  <w:pPr>
                    <w:jc w:val="center"/>
                    <w:rPr>
                      <w:rFonts w:ascii="Times New Roman" w:hAnsi="Times New Roman" w:eastAsia="宋体" w:cs="Times New Roman"/>
                      <w:szCs w:val="21"/>
                    </w:rPr>
                  </w:pPr>
                  <w:r>
                    <w:rPr>
                      <w:rFonts w:ascii="Times New Roman" w:hAnsi="Times New Roman" w:eastAsia="宋体" w:cs="Times New Roman"/>
                      <w:szCs w:val="21"/>
                    </w:rPr>
                    <w:t>项目</w:t>
                  </w:r>
                </w:p>
              </w:tc>
              <w:tc>
                <w:tcPr>
                  <w:tcW w:w="1251" w:type="pct"/>
                  <w:gridSpan w:val="3"/>
                  <w:vAlign w:val="center"/>
                </w:tcPr>
                <w:p w14:paraId="6398E218">
                  <w:pPr>
                    <w:jc w:val="center"/>
                    <w:rPr>
                      <w:rFonts w:ascii="Times New Roman" w:hAnsi="Times New Roman" w:eastAsia="宋体" w:cs="Times New Roman"/>
                      <w:szCs w:val="21"/>
                    </w:rPr>
                  </w:pPr>
                  <w:r>
                    <w:rPr>
                      <w:rFonts w:ascii="Times New Roman" w:hAnsi="Times New Roman" w:eastAsia="宋体" w:cs="Times New Roman"/>
                      <w:szCs w:val="21"/>
                    </w:rPr>
                    <w:t>Ⅰ</w:t>
                  </w:r>
                </w:p>
              </w:tc>
              <w:tc>
                <w:tcPr>
                  <w:tcW w:w="1412" w:type="pct"/>
                  <w:gridSpan w:val="3"/>
                  <w:vAlign w:val="center"/>
                </w:tcPr>
                <w:p w14:paraId="7B268C54">
                  <w:pPr>
                    <w:jc w:val="center"/>
                    <w:rPr>
                      <w:rFonts w:ascii="Times New Roman" w:hAnsi="Times New Roman" w:eastAsia="宋体" w:cs="Times New Roman"/>
                      <w:szCs w:val="21"/>
                    </w:rPr>
                  </w:pPr>
                  <w:r>
                    <w:rPr>
                      <w:rFonts w:ascii="Times New Roman" w:hAnsi="Times New Roman" w:eastAsia="宋体" w:cs="Times New Roman"/>
                      <w:szCs w:val="21"/>
                    </w:rPr>
                    <w:t>Ⅱ</w:t>
                  </w:r>
                </w:p>
              </w:tc>
              <w:tc>
                <w:tcPr>
                  <w:tcW w:w="1375" w:type="pct"/>
                  <w:gridSpan w:val="3"/>
                  <w:vAlign w:val="center"/>
                </w:tcPr>
                <w:p w14:paraId="10E27C03">
                  <w:pPr>
                    <w:jc w:val="center"/>
                    <w:rPr>
                      <w:rFonts w:ascii="Times New Roman" w:hAnsi="Times New Roman" w:eastAsia="宋体" w:cs="Times New Roman"/>
                      <w:szCs w:val="21"/>
                    </w:rPr>
                  </w:pPr>
                  <w:r>
                    <w:rPr>
                      <w:rFonts w:ascii="Times New Roman" w:hAnsi="Times New Roman" w:eastAsia="宋体" w:cs="Times New Roman"/>
                      <w:szCs w:val="21"/>
                    </w:rPr>
                    <w:t>Ⅲ</w:t>
                  </w:r>
                </w:p>
              </w:tc>
            </w:tr>
            <w:tr w14:paraId="76337F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62" w:type="pct"/>
                  <w:vMerge w:val="continue"/>
                  <w:vAlign w:val="center"/>
                </w:tcPr>
                <w:p w14:paraId="5FB8A1A7">
                  <w:pPr>
                    <w:jc w:val="center"/>
                    <w:rPr>
                      <w:rFonts w:ascii="Times New Roman" w:hAnsi="Times New Roman" w:eastAsia="宋体" w:cs="Times New Roman"/>
                      <w:szCs w:val="21"/>
                    </w:rPr>
                  </w:pPr>
                </w:p>
              </w:tc>
              <w:tc>
                <w:tcPr>
                  <w:tcW w:w="417" w:type="pct"/>
                  <w:vAlign w:val="center"/>
                </w:tcPr>
                <w:p w14:paraId="491E7C3A">
                  <w:pPr>
                    <w:jc w:val="center"/>
                    <w:rPr>
                      <w:rFonts w:ascii="Times New Roman" w:hAnsi="Times New Roman" w:eastAsia="宋体" w:cs="Times New Roman"/>
                      <w:szCs w:val="21"/>
                    </w:rPr>
                  </w:pPr>
                  <w:r>
                    <w:rPr>
                      <w:rFonts w:ascii="Times New Roman" w:hAnsi="Times New Roman" w:eastAsia="宋体" w:cs="Times New Roman"/>
                      <w:szCs w:val="21"/>
                    </w:rPr>
                    <w:t>大</w:t>
                  </w:r>
                </w:p>
              </w:tc>
              <w:tc>
                <w:tcPr>
                  <w:tcW w:w="417" w:type="pct"/>
                  <w:vAlign w:val="center"/>
                </w:tcPr>
                <w:p w14:paraId="3190A0E0">
                  <w:pPr>
                    <w:jc w:val="center"/>
                    <w:rPr>
                      <w:rFonts w:ascii="Times New Roman" w:hAnsi="Times New Roman" w:eastAsia="宋体" w:cs="Times New Roman"/>
                      <w:szCs w:val="21"/>
                    </w:rPr>
                  </w:pPr>
                  <w:r>
                    <w:rPr>
                      <w:rFonts w:ascii="Times New Roman" w:hAnsi="Times New Roman" w:eastAsia="宋体" w:cs="Times New Roman"/>
                      <w:szCs w:val="21"/>
                    </w:rPr>
                    <w:t>中</w:t>
                  </w:r>
                </w:p>
              </w:tc>
              <w:tc>
                <w:tcPr>
                  <w:tcW w:w="417" w:type="pct"/>
                  <w:vAlign w:val="center"/>
                </w:tcPr>
                <w:p w14:paraId="1478891E">
                  <w:pPr>
                    <w:jc w:val="center"/>
                    <w:rPr>
                      <w:rFonts w:ascii="Times New Roman" w:hAnsi="Times New Roman" w:eastAsia="宋体" w:cs="Times New Roman"/>
                      <w:szCs w:val="21"/>
                    </w:rPr>
                  </w:pPr>
                  <w:r>
                    <w:rPr>
                      <w:rFonts w:ascii="Times New Roman" w:hAnsi="Times New Roman" w:eastAsia="宋体" w:cs="Times New Roman"/>
                      <w:szCs w:val="21"/>
                    </w:rPr>
                    <w:t>小</w:t>
                  </w:r>
                </w:p>
              </w:tc>
              <w:tc>
                <w:tcPr>
                  <w:tcW w:w="417" w:type="pct"/>
                  <w:vAlign w:val="center"/>
                </w:tcPr>
                <w:p w14:paraId="6F311245">
                  <w:pPr>
                    <w:jc w:val="center"/>
                    <w:rPr>
                      <w:rFonts w:ascii="Times New Roman" w:hAnsi="Times New Roman" w:eastAsia="宋体" w:cs="Times New Roman"/>
                      <w:szCs w:val="21"/>
                    </w:rPr>
                  </w:pPr>
                  <w:r>
                    <w:rPr>
                      <w:rFonts w:ascii="Times New Roman" w:hAnsi="Times New Roman" w:eastAsia="宋体" w:cs="Times New Roman"/>
                      <w:szCs w:val="21"/>
                    </w:rPr>
                    <w:t>大</w:t>
                  </w:r>
                </w:p>
              </w:tc>
              <w:tc>
                <w:tcPr>
                  <w:tcW w:w="498" w:type="pct"/>
                  <w:vAlign w:val="center"/>
                </w:tcPr>
                <w:p w14:paraId="4896E11E">
                  <w:pPr>
                    <w:jc w:val="center"/>
                    <w:rPr>
                      <w:rFonts w:ascii="Times New Roman" w:hAnsi="Times New Roman" w:eastAsia="宋体" w:cs="Times New Roman"/>
                      <w:szCs w:val="21"/>
                    </w:rPr>
                  </w:pPr>
                  <w:r>
                    <w:rPr>
                      <w:rFonts w:ascii="Times New Roman" w:hAnsi="Times New Roman" w:eastAsia="宋体" w:cs="Times New Roman"/>
                      <w:szCs w:val="21"/>
                    </w:rPr>
                    <w:t>中</w:t>
                  </w:r>
                </w:p>
              </w:tc>
              <w:tc>
                <w:tcPr>
                  <w:tcW w:w="497" w:type="pct"/>
                  <w:vAlign w:val="center"/>
                </w:tcPr>
                <w:p w14:paraId="5F472612">
                  <w:pPr>
                    <w:jc w:val="center"/>
                    <w:rPr>
                      <w:rFonts w:ascii="Times New Roman" w:hAnsi="Times New Roman" w:eastAsia="宋体" w:cs="Times New Roman"/>
                      <w:szCs w:val="21"/>
                    </w:rPr>
                  </w:pPr>
                  <w:r>
                    <w:rPr>
                      <w:rFonts w:ascii="Times New Roman" w:hAnsi="Times New Roman" w:eastAsia="宋体" w:cs="Times New Roman"/>
                      <w:szCs w:val="21"/>
                    </w:rPr>
                    <w:t>小</w:t>
                  </w:r>
                </w:p>
              </w:tc>
              <w:tc>
                <w:tcPr>
                  <w:tcW w:w="498" w:type="pct"/>
                  <w:vAlign w:val="center"/>
                </w:tcPr>
                <w:p w14:paraId="478C6924">
                  <w:pPr>
                    <w:jc w:val="center"/>
                    <w:rPr>
                      <w:rFonts w:ascii="Times New Roman" w:hAnsi="Times New Roman" w:eastAsia="宋体" w:cs="Times New Roman"/>
                      <w:szCs w:val="21"/>
                    </w:rPr>
                  </w:pPr>
                  <w:r>
                    <w:rPr>
                      <w:rFonts w:ascii="Times New Roman" w:hAnsi="Times New Roman" w:eastAsia="宋体" w:cs="Times New Roman"/>
                      <w:szCs w:val="21"/>
                    </w:rPr>
                    <w:t>大</w:t>
                  </w:r>
                </w:p>
              </w:tc>
              <w:tc>
                <w:tcPr>
                  <w:tcW w:w="417" w:type="pct"/>
                  <w:vAlign w:val="center"/>
                </w:tcPr>
                <w:p w14:paraId="70AA536E">
                  <w:pPr>
                    <w:jc w:val="center"/>
                    <w:rPr>
                      <w:rFonts w:ascii="Times New Roman" w:hAnsi="Times New Roman" w:eastAsia="宋体" w:cs="Times New Roman"/>
                      <w:szCs w:val="21"/>
                    </w:rPr>
                  </w:pPr>
                  <w:r>
                    <w:rPr>
                      <w:rFonts w:ascii="Times New Roman" w:hAnsi="Times New Roman" w:eastAsia="宋体" w:cs="Times New Roman"/>
                      <w:szCs w:val="21"/>
                    </w:rPr>
                    <w:t>中</w:t>
                  </w:r>
                </w:p>
              </w:tc>
              <w:tc>
                <w:tcPr>
                  <w:tcW w:w="460" w:type="pct"/>
                  <w:vAlign w:val="center"/>
                </w:tcPr>
                <w:p w14:paraId="514F9C7E">
                  <w:pPr>
                    <w:jc w:val="center"/>
                    <w:rPr>
                      <w:rFonts w:ascii="Times New Roman" w:hAnsi="Times New Roman" w:eastAsia="宋体" w:cs="Times New Roman"/>
                      <w:szCs w:val="21"/>
                    </w:rPr>
                  </w:pPr>
                  <w:r>
                    <w:rPr>
                      <w:rFonts w:ascii="Times New Roman" w:hAnsi="Times New Roman" w:eastAsia="宋体" w:cs="Times New Roman"/>
                      <w:szCs w:val="21"/>
                    </w:rPr>
                    <w:t>小</w:t>
                  </w:r>
                </w:p>
              </w:tc>
            </w:tr>
            <w:tr w14:paraId="24F6E2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62" w:type="pct"/>
                  <w:vAlign w:val="center"/>
                </w:tcPr>
                <w:p w14:paraId="30B29A53">
                  <w:pPr>
                    <w:jc w:val="center"/>
                    <w:rPr>
                      <w:rFonts w:ascii="Times New Roman" w:hAnsi="Times New Roman" w:eastAsia="宋体" w:cs="Times New Roman"/>
                      <w:szCs w:val="21"/>
                    </w:rPr>
                  </w:pPr>
                  <w:r>
                    <w:rPr>
                      <w:rFonts w:ascii="Times New Roman" w:hAnsi="Times New Roman" w:eastAsia="宋体" w:cs="Times New Roman"/>
                      <w:szCs w:val="21"/>
                    </w:rPr>
                    <w:t>敏感</w:t>
                  </w:r>
                </w:p>
              </w:tc>
              <w:tc>
                <w:tcPr>
                  <w:tcW w:w="417" w:type="pct"/>
                  <w:vAlign w:val="center"/>
                </w:tcPr>
                <w:p w14:paraId="4ED72D4E">
                  <w:pPr>
                    <w:jc w:val="center"/>
                    <w:rPr>
                      <w:rFonts w:ascii="Times New Roman" w:hAnsi="Times New Roman" w:eastAsia="宋体" w:cs="Times New Roman"/>
                      <w:szCs w:val="21"/>
                    </w:rPr>
                  </w:pPr>
                  <w:r>
                    <w:rPr>
                      <w:rFonts w:ascii="Times New Roman" w:hAnsi="Times New Roman" w:eastAsia="宋体" w:cs="Times New Roman"/>
                      <w:szCs w:val="21"/>
                    </w:rPr>
                    <w:t>一级</w:t>
                  </w:r>
                </w:p>
              </w:tc>
              <w:tc>
                <w:tcPr>
                  <w:tcW w:w="417" w:type="pct"/>
                  <w:vAlign w:val="center"/>
                </w:tcPr>
                <w:p w14:paraId="2FF1EA4B">
                  <w:pPr>
                    <w:jc w:val="center"/>
                    <w:rPr>
                      <w:rFonts w:ascii="Times New Roman" w:hAnsi="Times New Roman" w:eastAsia="宋体" w:cs="Times New Roman"/>
                      <w:szCs w:val="21"/>
                    </w:rPr>
                  </w:pPr>
                  <w:r>
                    <w:rPr>
                      <w:rFonts w:ascii="Times New Roman" w:hAnsi="Times New Roman" w:eastAsia="宋体" w:cs="Times New Roman"/>
                      <w:szCs w:val="21"/>
                    </w:rPr>
                    <w:t>一级</w:t>
                  </w:r>
                </w:p>
              </w:tc>
              <w:tc>
                <w:tcPr>
                  <w:tcW w:w="417" w:type="pct"/>
                  <w:vAlign w:val="center"/>
                </w:tcPr>
                <w:p w14:paraId="6EB61ABB">
                  <w:pPr>
                    <w:jc w:val="center"/>
                    <w:rPr>
                      <w:rFonts w:ascii="Times New Roman" w:hAnsi="Times New Roman" w:eastAsia="宋体" w:cs="Times New Roman"/>
                      <w:szCs w:val="21"/>
                    </w:rPr>
                  </w:pPr>
                  <w:r>
                    <w:rPr>
                      <w:rFonts w:ascii="Times New Roman" w:hAnsi="Times New Roman" w:eastAsia="宋体" w:cs="Times New Roman"/>
                      <w:szCs w:val="21"/>
                    </w:rPr>
                    <w:t>一级</w:t>
                  </w:r>
                </w:p>
              </w:tc>
              <w:tc>
                <w:tcPr>
                  <w:tcW w:w="417" w:type="pct"/>
                  <w:vAlign w:val="center"/>
                </w:tcPr>
                <w:p w14:paraId="5B2C6FD1">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98" w:type="pct"/>
                  <w:vAlign w:val="center"/>
                </w:tcPr>
                <w:p w14:paraId="52CA96BE">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97" w:type="pct"/>
                  <w:vAlign w:val="center"/>
                </w:tcPr>
                <w:p w14:paraId="4105CD7E">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98" w:type="pct"/>
                  <w:vAlign w:val="center"/>
                </w:tcPr>
                <w:p w14:paraId="16A925C8">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17" w:type="pct"/>
                  <w:shd w:val="clear" w:color="auto" w:fill="auto"/>
                  <w:vAlign w:val="center"/>
                </w:tcPr>
                <w:p w14:paraId="721B1650">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60" w:type="pct"/>
                  <w:shd w:val="clear" w:color="auto" w:fill="FFFFFF"/>
                  <w:vAlign w:val="center"/>
                </w:tcPr>
                <w:p w14:paraId="1433DECC">
                  <w:pPr>
                    <w:jc w:val="center"/>
                    <w:rPr>
                      <w:rFonts w:ascii="Times New Roman" w:hAnsi="Times New Roman" w:eastAsia="宋体" w:cs="Times New Roman"/>
                      <w:szCs w:val="21"/>
                    </w:rPr>
                  </w:pPr>
                  <w:r>
                    <w:rPr>
                      <w:rFonts w:ascii="Times New Roman" w:hAnsi="Times New Roman" w:eastAsia="宋体" w:cs="Times New Roman"/>
                      <w:szCs w:val="21"/>
                    </w:rPr>
                    <w:t>三级</w:t>
                  </w:r>
                </w:p>
              </w:tc>
            </w:tr>
            <w:tr w14:paraId="465D83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62" w:type="pct"/>
                  <w:shd w:val="clear" w:color="auto" w:fill="auto"/>
                  <w:vAlign w:val="center"/>
                </w:tcPr>
                <w:p w14:paraId="2E5FBAAF">
                  <w:pPr>
                    <w:jc w:val="center"/>
                    <w:rPr>
                      <w:rFonts w:ascii="Times New Roman" w:hAnsi="Times New Roman" w:eastAsia="宋体" w:cs="Times New Roman"/>
                      <w:szCs w:val="21"/>
                    </w:rPr>
                  </w:pPr>
                  <w:r>
                    <w:rPr>
                      <w:rFonts w:ascii="Times New Roman" w:hAnsi="Times New Roman" w:eastAsia="宋体" w:cs="Times New Roman"/>
                      <w:szCs w:val="21"/>
                    </w:rPr>
                    <w:t>较敏感</w:t>
                  </w:r>
                </w:p>
              </w:tc>
              <w:tc>
                <w:tcPr>
                  <w:tcW w:w="417" w:type="pct"/>
                  <w:shd w:val="clear" w:color="auto" w:fill="auto"/>
                  <w:vAlign w:val="center"/>
                </w:tcPr>
                <w:p w14:paraId="2989A0C5">
                  <w:pPr>
                    <w:jc w:val="center"/>
                    <w:rPr>
                      <w:rFonts w:ascii="Times New Roman" w:hAnsi="Times New Roman" w:eastAsia="宋体" w:cs="Times New Roman"/>
                      <w:szCs w:val="21"/>
                    </w:rPr>
                  </w:pPr>
                  <w:r>
                    <w:rPr>
                      <w:rFonts w:ascii="Times New Roman" w:hAnsi="Times New Roman" w:eastAsia="宋体" w:cs="Times New Roman"/>
                      <w:szCs w:val="21"/>
                    </w:rPr>
                    <w:t>一级</w:t>
                  </w:r>
                </w:p>
              </w:tc>
              <w:tc>
                <w:tcPr>
                  <w:tcW w:w="417" w:type="pct"/>
                  <w:shd w:val="clear" w:color="auto" w:fill="auto"/>
                  <w:vAlign w:val="center"/>
                </w:tcPr>
                <w:p w14:paraId="1FE96D33">
                  <w:pPr>
                    <w:jc w:val="center"/>
                    <w:rPr>
                      <w:rFonts w:ascii="Times New Roman" w:hAnsi="Times New Roman" w:eastAsia="宋体" w:cs="Times New Roman"/>
                      <w:szCs w:val="21"/>
                    </w:rPr>
                  </w:pPr>
                  <w:r>
                    <w:rPr>
                      <w:rFonts w:ascii="Times New Roman" w:hAnsi="Times New Roman" w:eastAsia="宋体" w:cs="Times New Roman"/>
                      <w:szCs w:val="21"/>
                    </w:rPr>
                    <w:t>一级</w:t>
                  </w:r>
                </w:p>
              </w:tc>
              <w:tc>
                <w:tcPr>
                  <w:tcW w:w="417" w:type="pct"/>
                  <w:shd w:val="clear" w:color="auto" w:fill="auto"/>
                  <w:vAlign w:val="center"/>
                </w:tcPr>
                <w:p w14:paraId="590F09E1">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17" w:type="pct"/>
                  <w:shd w:val="clear" w:color="auto" w:fill="auto"/>
                  <w:vAlign w:val="center"/>
                </w:tcPr>
                <w:p w14:paraId="30FADA1A">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98" w:type="pct"/>
                  <w:shd w:val="clear" w:color="auto" w:fill="auto"/>
                  <w:vAlign w:val="center"/>
                </w:tcPr>
                <w:p w14:paraId="228DD75C">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97" w:type="pct"/>
                  <w:shd w:val="clear" w:color="auto" w:fill="auto"/>
                  <w:vAlign w:val="center"/>
                </w:tcPr>
                <w:p w14:paraId="368BBBF0">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98" w:type="pct"/>
                  <w:shd w:val="clear" w:color="auto" w:fill="auto"/>
                  <w:vAlign w:val="center"/>
                </w:tcPr>
                <w:p w14:paraId="29B5C606">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17" w:type="pct"/>
                  <w:shd w:val="clear" w:color="auto" w:fill="auto"/>
                  <w:vAlign w:val="center"/>
                </w:tcPr>
                <w:p w14:paraId="3D7A93DF">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60" w:type="pct"/>
                  <w:shd w:val="clear" w:color="auto" w:fill="auto"/>
                  <w:vAlign w:val="center"/>
                </w:tcPr>
                <w:p w14:paraId="228794A0">
                  <w:pPr>
                    <w:jc w:val="center"/>
                    <w:rPr>
                      <w:rFonts w:ascii="Times New Roman" w:hAnsi="Times New Roman" w:eastAsia="宋体" w:cs="Times New Roman"/>
                      <w:szCs w:val="21"/>
                    </w:rPr>
                  </w:pPr>
                  <w:r>
                    <w:rPr>
                      <w:rFonts w:ascii="Times New Roman" w:hAnsi="Times New Roman" w:eastAsia="宋体" w:cs="Times New Roman"/>
                      <w:szCs w:val="21"/>
                    </w:rPr>
                    <w:t>-</w:t>
                  </w:r>
                </w:p>
              </w:tc>
            </w:tr>
            <w:tr w14:paraId="4B7002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62" w:type="pct"/>
                  <w:vAlign w:val="center"/>
                </w:tcPr>
                <w:p w14:paraId="0C9C32F0">
                  <w:pPr>
                    <w:jc w:val="center"/>
                    <w:rPr>
                      <w:rFonts w:ascii="Times New Roman" w:hAnsi="Times New Roman" w:eastAsia="宋体" w:cs="Times New Roman"/>
                      <w:szCs w:val="21"/>
                    </w:rPr>
                  </w:pPr>
                  <w:r>
                    <w:rPr>
                      <w:rFonts w:ascii="Times New Roman" w:hAnsi="Times New Roman" w:eastAsia="宋体" w:cs="Times New Roman"/>
                      <w:szCs w:val="21"/>
                    </w:rPr>
                    <w:t>不敏感</w:t>
                  </w:r>
                </w:p>
              </w:tc>
              <w:tc>
                <w:tcPr>
                  <w:tcW w:w="417" w:type="pct"/>
                  <w:vAlign w:val="center"/>
                </w:tcPr>
                <w:p w14:paraId="5F5AC800">
                  <w:pPr>
                    <w:jc w:val="center"/>
                    <w:rPr>
                      <w:rFonts w:ascii="Times New Roman" w:hAnsi="Times New Roman" w:eastAsia="宋体" w:cs="Times New Roman"/>
                      <w:szCs w:val="21"/>
                    </w:rPr>
                  </w:pPr>
                  <w:r>
                    <w:rPr>
                      <w:rFonts w:ascii="Times New Roman" w:hAnsi="Times New Roman" w:eastAsia="宋体" w:cs="Times New Roman"/>
                      <w:szCs w:val="21"/>
                    </w:rPr>
                    <w:t>一级</w:t>
                  </w:r>
                </w:p>
              </w:tc>
              <w:tc>
                <w:tcPr>
                  <w:tcW w:w="417" w:type="pct"/>
                  <w:vAlign w:val="center"/>
                </w:tcPr>
                <w:p w14:paraId="38B78549">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17" w:type="pct"/>
                  <w:vAlign w:val="center"/>
                </w:tcPr>
                <w:p w14:paraId="738120D3">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17" w:type="pct"/>
                  <w:vAlign w:val="center"/>
                </w:tcPr>
                <w:p w14:paraId="3BD540A7">
                  <w:pPr>
                    <w:jc w:val="center"/>
                    <w:rPr>
                      <w:rFonts w:ascii="Times New Roman" w:hAnsi="Times New Roman" w:eastAsia="宋体" w:cs="Times New Roman"/>
                      <w:szCs w:val="21"/>
                    </w:rPr>
                  </w:pPr>
                  <w:r>
                    <w:rPr>
                      <w:rFonts w:ascii="Times New Roman" w:hAnsi="Times New Roman" w:eastAsia="宋体" w:cs="Times New Roman"/>
                      <w:szCs w:val="21"/>
                    </w:rPr>
                    <w:t>二级</w:t>
                  </w:r>
                </w:p>
              </w:tc>
              <w:tc>
                <w:tcPr>
                  <w:tcW w:w="498" w:type="pct"/>
                  <w:vAlign w:val="center"/>
                </w:tcPr>
                <w:p w14:paraId="7F1E2633">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97" w:type="pct"/>
                  <w:vAlign w:val="center"/>
                </w:tcPr>
                <w:p w14:paraId="42AC6312">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98" w:type="pct"/>
                  <w:vAlign w:val="center"/>
                </w:tcPr>
                <w:p w14:paraId="6A617CC8">
                  <w:pPr>
                    <w:jc w:val="center"/>
                    <w:rPr>
                      <w:rFonts w:ascii="Times New Roman" w:hAnsi="Times New Roman" w:eastAsia="宋体" w:cs="Times New Roman"/>
                      <w:szCs w:val="21"/>
                    </w:rPr>
                  </w:pPr>
                  <w:r>
                    <w:rPr>
                      <w:rFonts w:ascii="Times New Roman" w:hAnsi="Times New Roman" w:eastAsia="宋体" w:cs="Times New Roman"/>
                      <w:szCs w:val="21"/>
                    </w:rPr>
                    <w:t>三级</w:t>
                  </w:r>
                </w:p>
              </w:tc>
              <w:tc>
                <w:tcPr>
                  <w:tcW w:w="417" w:type="pct"/>
                  <w:shd w:val="clear" w:color="auto" w:fill="auto"/>
                  <w:vAlign w:val="center"/>
                </w:tcPr>
                <w:p w14:paraId="38FCFD4B">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460" w:type="pct"/>
                  <w:shd w:val="clear" w:color="auto" w:fill="AEAAAA"/>
                  <w:vAlign w:val="center"/>
                </w:tcPr>
                <w:p w14:paraId="5C8DEAA7">
                  <w:pPr>
                    <w:jc w:val="center"/>
                    <w:rPr>
                      <w:rFonts w:ascii="Times New Roman" w:hAnsi="Times New Roman" w:eastAsia="宋体" w:cs="Times New Roman"/>
                      <w:szCs w:val="21"/>
                    </w:rPr>
                  </w:pPr>
                  <w:r>
                    <w:rPr>
                      <w:rFonts w:ascii="Times New Roman" w:hAnsi="Times New Roman" w:eastAsia="宋体" w:cs="Times New Roman"/>
                      <w:szCs w:val="21"/>
                    </w:rPr>
                    <w:t>-</w:t>
                  </w:r>
                </w:p>
              </w:tc>
            </w:tr>
            <w:tr w14:paraId="7FE4D2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000" w:type="pct"/>
                  <w:gridSpan w:val="10"/>
                  <w:vAlign w:val="center"/>
                </w:tcPr>
                <w:p w14:paraId="23228F6B">
                  <w:pPr>
                    <w:jc w:val="left"/>
                    <w:rPr>
                      <w:rFonts w:ascii="Times New Roman" w:hAnsi="Times New Roman" w:eastAsia="宋体" w:cs="Times New Roman"/>
                      <w:szCs w:val="21"/>
                    </w:rPr>
                  </w:pPr>
                  <w:r>
                    <w:rPr>
                      <w:rFonts w:ascii="Times New Roman" w:hAnsi="Times New Roman" w:eastAsia="宋体" w:cs="Times New Roman"/>
                      <w:szCs w:val="21"/>
                    </w:rPr>
                    <w:t>注：“</w:t>
                  </w:r>
                  <w:r>
                    <w:rPr>
                      <w:rFonts w:hint="eastAsia" w:ascii="Times New Roman" w:hAnsi="Times New Roman" w:eastAsia="宋体" w:cs="Times New Roman"/>
                      <w:szCs w:val="21"/>
                      <w:lang w:eastAsia="zh-CN"/>
                    </w:rPr>
                    <w:t>－</w:t>
                  </w:r>
                  <w:r>
                    <w:rPr>
                      <w:rFonts w:ascii="Times New Roman" w:hAnsi="Times New Roman" w:eastAsia="宋体" w:cs="Times New Roman"/>
                      <w:szCs w:val="21"/>
                    </w:rPr>
                    <w:t>”表示可不开展土壤环境影响评价工作。</w:t>
                  </w:r>
                </w:p>
              </w:tc>
            </w:tr>
          </w:tbl>
          <w:p w14:paraId="085A9F21">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因此，本项目不需要开展土壤环境影响评价。</w:t>
            </w:r>
          </w:p>
          <w:p w14:paraId="17977235">
            <w:pPr>
              <w:spacing w:before="120" w:after="120" w:line="480" w:lineRule="exact"/>
              <w:rPr>
                <w:rFonts w:ascii="Times New Roman" w:hAnsi="Times New Roman" w:eastAsia="宋体" w:cs="Times New Roman"/>
                <w:sz w:val="24"/>
                <w:szCs w:val="24"/>
              </w:rPr>
            </w:pPr>
            <w:r>
              <w:rPr>
                <w:rFonts w:ascii="Times New Roman" w:hAnsi="Times New Roman" w:eastAsia="宋体" w:cs="Times New Roman"/>
                <w:b/>
                <w:sz w:val="28"/>
                <w:szCs w:val="28"/>
              </w:rPr>
              <w:t>三、环境风险影响分析</w:t>
            </w:r>
          </w:p>
          <w:p w14:paraId="28051E17">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1、风险调查及评价等级</w:t>
            </w:r>
          </w:p>
          <w:p w14:paraId="67603317">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本项目使用的原辅材料主要有</w:t>
            </w:r>
            <w:r>
              <w:rPr>
                <w:rFonts w:hint="eastAsia" w:ascii="Times New Roman" w:hAnsi="Times New Roman" w:eastAsia="宋体" w:cs="Times New Roman"/>
                <w:kern w:val="0"/>
                <w:sz w:val="24"/>
                <w:szCs w:val="24"/>
              </w:rPr>
              <w:t>建筑垃圾、水、机油</w:t>
            </w:r>
            <w:r>
              <w:rPr>
                <w:rFonts w:ascii="Times New Roman" w:hAnsi="Times New Roman" w:eastAsia="宋体" w:cs="Times New Roman"/>
                <w:kern w:val="0"/>
                <w:sz w:val="24"/>
                <w:szCs w:val="24"/>
              </w:rPr>
              <w:t>等，本项目涉及《建设项目环境风险评价技术导则》（HJ169-2018）和《危险化学品重大危险源辨识》（GB18218-2018）中危险物质</w:t>
            </w:r>
            <w:r>
              <w:rPr>
                <w:rFonts w:hint="eastAsia" w:ascii="Times New Roman" w:hAnsi="Times New Roman" w:eastAsia="宋体" w:cs="Times New Roman"/>
                <w:kern w:val="0"/>
                <w:sz w:val="24"/>
                <w:szCs w:val="24"/>
              </w:rPr>
              <w:t>为机油</w:t>
            </w:r>
            <w:r>
              <w:rPr>
                <w:rFonts w:ascii="Times New Roman" w:hAnsi="Times New Roman" w:eastAsia="宋体" w:cs="Times New Roman"/>
                <w:kern w:val="0"/>
                <w:sz w:val="24"/>
                <w:szCs w:val="24"/>
              </w:rPr>
              <w:t>。</w:t>
            </w:r>
          </w:p>
          <w:p w14:paraId="7094F848">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根据《建设项目环境风险评价技术导则》（HJ169-2018）附录C和《危险化学品重大危险源辨识》（GB18218-2018），</w:t>
            </w:r>
            <w:r>
              <w:rPr>
                <w:rFonts w:hint="eastAsia" w:ascii="Times New Roman" w:hAnsi="Times New Roman" w:eastAsia="宋体" w:cs="Times New Roman"/>
                <w:kern w:val="0"/>
                <w:sz w:val="24"/>
                <w:szCs w:val="24"/>
              </w:rPr>
              <w:t>油类物质临界量为2</w:t>
            </w:r>
            <w:r>
              <w:rPr>
                <w:rFonts w:ascii="Times New Roman" w:hAnsi="Times New Roman" w:eastAsia="宋体" w:cs="Times New Roman"/>
                <w:kern w:val="0"/>
                <w:sz w:val="24"/>
                <w:szCs w:val="24"/>
              </w:rPr>
              <w:t>500</w:t>
            </w:r>
            <w:r>
              <w:rPr>
                <w:rFonts w:hint="eastAsia" w:ascii="Times New Roman" w:hAnsi="Times New Roman" w:eastAsia="宋体" w:cs="Times New Roman"/>
                <w:kern w:val="0"/>
                <w:sz w:val="24"/>
                <w:szCs w:val="24"/>
              </w:rPr>
              <w:t>t，项目机油最大储存量为0</w:t>
            </w:r>
            <w:r>
              <w:rPr>
                <w:rFonts w:ascii="Times New Roman" w:hAnsi="Times New Roman" w:eastAsia="宋体" w:cs="Times New Roman"/>
                <w:kern w:val="0"/>
                <w:sz w:val="24"/>
                <w:szCs w:val="24"/>
              </w:rPr>
              <w:t>.1</w:t>
            </w:r>
            <w:r>
              <w:rPr>
                <w:rFonts w:hint="eastAsia" w:ascii="Times New Roman" w:hAnsi="Times New Roman" w:eastAsia="宋体" w:cs="Times New Roman"/>
                <w:kern w:val="0"/>
                <w:sz w:val="24"/>
                <w:szCs w:val="24"/>
              </w:rPr>
              <w:t>t，</w:t>
            </w:r>
            <w:r>
              <w:rPr>
                <w:rFonts w:ascii="Times New Roman" w:hAnsi="Times New Roman" w:eastAsia="宋体" w:cs="Times New Roman"/>
                <w:kern w:val="0"/>
                <w:sz w:val="24"/>
                <w:szCs w:val="24"/>
              </w:rPr>
              <w:t>该项目Q＜1，环境风险潜势为Ⅰ。</w:t>
            </w:r>
          </w:p>
          <w:p w14:paraId="1E05D6D2">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根据《建设项目环境风险评价技术导则》（HJ 169-2018），建设项目环境风险评价工作等级划分原则详见下表7-26。</w:t>
            </w:r>
          </w:p>
          <w:p w14:paraId="610F0915">
            <w:pPr>
              <w:adjustRightInd w:val="0"/>
              <w:snapToGrid w:val="0"/>
              <w:spacing w:line="480" w:lineRule="exact"/>
              <w:jc w:val="center"/>
              <w:rPr>
                <w:rFonts w:ascii="Times New Roman" w:hAnsi="Times New Roman" w:eastAsia="宋体" w:cs="Times New Roman"/>
                <w:bCs/>
                <w:sz w:val="24"/>
              </w:rPr>
            </w:pPr>
            <w:r>
              <w:rPr>
                <w:rFonts w:ascii="Times New Roman" w:hAnsi="Times New Roman" w:eastAsia="宋体" w:cs="Times New Roman"/>
                <w:bCs/>
                <w:sz w:val="24"/>
              </w:rPr>
              <w:t>表7-26  评价工作等级划分</w:t>
            </w:r>
          </w:p>
          <w:tbl>
            <w:tblPr>
              <w:tblStyle w:val="26"/>
              <w:tblW w:w="8012"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654"/>
              <w:gridCol w:w="1683"/>
              <w:gridCol w:w="1655"/>
              <w:gridCol w:w="1655"/>
              <w:gridCol w:w="1365"/>
            </w:tblGrid>
            <w:tr w14:paraId="5EECDC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56" w:hRule="atLeast"/>
                <w:jc w:val="center"/>
              </w:trPr>
              <w:tc>
                <w:tcPr>
                  <w:tcW w:w="1654" w:type="dxa"/>
                  <w:shd w:val="clear" w:color="auto" w:fill="auto"/>
                  <w:vAlign w:val="center"/>
                </w:tcPr>
                <w:p w14:paraId="18DC5FD2">
                  <w:pPr>
                    <w:adjustRightInd w:val="0"/>
                    <w:snapToGrid w:val="0"/>
                    <w:jc w:val="center"/>
                    <w:rPr>
                      <w:rFonts w:ascii="Times New Roman" w:hAnsi="Times New Roman" w:eastAsia="宋体" w:cs="Times New Roman"/>
                      <w:b/>
                      <w:spacing w:val="-2"/>
                    </w:rPr>
                  </w:pPr>
                  <w:r>
                    <w:rPr>
                      <w:rFonts w:ascii="Times New Roman" w:hAnsi="Times New Roman" w:eastAsia="宋体" w:cs="Times New Roman"/>
                      <w:b/>
                      <w:spacing w:val="-2"/>
                    </w:rPr>
                    <w:t>环境风险潜势</w:t>
                  </w:r>
                </w:p>
              </w:tc>
              <w:tc>
                <w:tcPr>
                  <w:tcW w:w="1683" w:type="dxa"/>
                  <w:shd w:val="clear" w:color="auto" w:fill="auto"/>
                  <w:vAlign w:val="center"/>
                </w:tcPr>
                <w:p w14:paraId="5954B20F">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Ⅳ、Ⅳ</w:t>
                  </w:r>
                  <w:r>
                    <w:rPr>
                      <w:rFonts w:ascii="Times New Roman" w:hAnsi="Times New Roman" w:eastAsia="宋体" w:cs="Times New Roman"/>
                      <w:bCs/>
                      <w:spacing w:val="-2"/>
                      <w:vertAlign w:val="superscript"/>
                    </w:rPr>
                    <w:t>+</w:t>
                  </w:r>
                </w:p>
              </w:tc>
              <w:tc>
                <w:tcPr>
                  <w:tcW w:w="1655" w:type="dxa"/>
                  <w:shd w:val="clear" w:color="auto" w:fill="auto"/>
                  <w:vAlign w:val="center"/>
                </w:tcPr>
                <w:p w14:paraId="213FE130">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Ⅲ</w:t>
                  </w:r>
                </w:p>
              </w:tc>
              <w:tc>
                <w:tcPr>
                  <w:tcW w:w="1655" w:type="dxa"/>
                  <w:shd w:val="clear" w:color="auto" w:fill="auto"/>
                  <w:vAlign w:val="center"/>
                </w:tcPr>
                <w:p w14:paraId="2AAEABF5">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Ⅱ</w:t>
                  </w:r>
                </w:p>
              </w:tc>
              <w:tc>
                <w:tcPr>
                  <w:tcW w:w="1365" w:type="dxa"/>
                  <w:shd w:val="clear" w:color="auto" w:fill="BEBEBE"/>
                  <w:vAlign w:val="center"/>
                </w:tcPr>
                <w:p w14:paraId="0A078E5B">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Ⅰ</w:t>
                  </w:r>
                </w:p>
              </w:tc>
            </w:tr>
            <w:tr w14:paraId="7F79315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7" w:hRule="atLeast"/>
                <w:jc w:val="center"/>
              </w:trPr>
              <w:tc>
                <w:tcPr>
                  <w:tcW w:w="1654" w:type="dxa"/>
                  <w:shd w:val="clear" w:color="auto" w:fill="auto"/>
                  <w:vAlign w:val="center"/>
                </w:tcPr>
                <w:p w14:paraId="3FE53057">
                  <w:pPr>
                    <w:adjustRightInd w:val="0"/>
                    <w:snapToGrid w:val="0"/>
                    <w:jc w:val="center"/>
                    <w:rPr>
                      <w:rFonts w:ascii="Times New Roman" w:hAnsi="Times New Roman" w:eastAsia="宋体" w:cs="Times New Roman"/>
                      <w:b/>
                      <w:spacing w:val="-2"/>
                    </w:rPr>
                  </w:pPr>
                  <w:r>
                    <w:rPr>
                      <w:rFonts w:ascii="Times New Roman" w:hAnsi="Times New Roman" w:eastAsia="宋体" w:cs="Times New Roman"/>
                      <w:b/>
                      <w:spacing w:val="-2"/>
                    </w:rPr>
                    <w:t>评价工作等级</w:t>
                  </w:r>
                </w:p>
              </w:tc>
              <w:tc>
                <w:tcPr>
                  <w:tcW w:w="1683" w:type="dxa"/>
                  <w:shd w:val="clear" w:color="auto" w:fill="auto"/>
                  <w:vAlign w:val="center"/>
                </w:tcPr>
                <w:p w14:paraId="567C602E">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一</w:t>
                  </w:r>
                </w:p>
              </w:tc>
              <w:tc>
                <w:tcPr>
                  <w:tcW w:w="1655" w:type="dxa"/>
                  <w:shd w:val="clear" w:color="auto" w:fill="auto"/>
                  <w:vAlign w:val="center"/>
                </w:tcPr>
                <w:p w14:paraId="7C82B819">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二</w:t>
                  </w:r>
                </w:p>
              </w:tc>
              <w:tc>
                <w:tcPr>
                  <w:tcW w:w="1655" w:type="dxa"/>
                  <w:shd w:val="clear" w:color="auto" w:fill="auto"/>
                  <w:vAlign w:val="center"/>
                </w:tcPr>
                <w:p w14:paraId="3DDD8CCB">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三</w:t>
                  </w:r>
                </w:p>
              </w:tc>
              <w:tc>
                <w:tcPr>
                  <w:tcW w:w="1365" w:type="dxa"/>
                  <w:shd w:val="clear" w:color="auto" w:fill="BEBEBE"/>
                  <w:vAlign w:val="center"/>
                </w:tcPr>
                <w:p w14:paraId="776F2F5E">
                  <w:pPr>
                    <w:adjustRightInd w:val="0"/>
                    <w:snapToGrid w:val="0"/>
                    <w:jc w:val="center"/>
                    <w:rPr>
                      <w:rFonts w:ascii="Times New Roman" w:hAnsi="Times New Roman" w:eastAsia="宋体" w:cs="Times New Roman"/>
                      <w:bCs/>
                      <w:spacing w:val="-2"/>
                    </w:rPr>
                  </w:pPr>
                  <w:r>
                    <w:rPr>
                      <w:rFonts w:ascii="Times New Roman" w:hAnsi="Times New Roman" w:eastAsia="宋体" w:cs="Times New Roman"/>
                      <w:bCs/>
                      <w:spacing w:val="-2"/>
                    </w:rPr>
                    <w:t>简单分析</w:t>
                  </w:r>
                  <w:r>
                    <w:rPr>
                      <w:rFonts w:ascii="Times New Roman" w:hAnsi="Times New Roman" w:eastAsia="宋体" w:cs="Times New Roman"/>
                      <w:bCs/>
                      <w:spacing w:val="-2"/>
                      <w:vertAlign w:val="superscript"/>
                    </w:rPr>
                    <w:t>a</w:t>
                  </w:r>
                </w:p>
              </w:tc>
            </w:tr>
            <w:tr w14:paraId="131778A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29" w:hRule="atLeast"/>
                <w:jc w:val="center"/>
              </w:trPr>
              <w:tc>
                <w:tcPr>
                  <w:tcW w:w="8012" w:type="dxa"/>
                  <w:gridSpan w:val="5"/>
                  <w:vAlign w:val="center"/>
                </w:tcPr>
                <w:p w14:paraId="6767C5AD">
                  <w:pPr>
                    <w:adjustRightInd w:val="0"/>
                    <w:snapToGrid w:val="0"/>
                    <w:jc w:val="left"/>
                    <w:rPr>
                      <w:rFonts w:ascii="Times New Roman" w:hAnsi="Times New Roman" w:eastAsia="宋体" w:cs="Times New Roman"/>
                      <w:b/>
                      <w:spacing w:val="-2"/>
                    </w:rPr>
                  </w:pPr>
                  <w:r>
                    <w:rPr>
                      <w:rFonts w:ascii="Times New Roman" w:hAnsi="Times New Roman" w:eastAsia="宋体" w:cs="Times New Roman"/>
                      <w:bCs/>
                      <w:spacing w:val="-2"/>
                      <w:vertAlign w:val="superscript"/>
                    </w:rPr>
                    <w:t xml:space="preserve">a </w:t>
                  </w:r>
                  <w:r>
                    <w:rPr>
                      <w:rFonts w:ascii="Times New Roman" w:hAnsi="Times New Roman" w:eastAsia="宋体" w:cs="Times New Roman"/>
                      <w:bCs/>
                      <w:spacing w:val="-2"/>
                    </w:rPr>
                    <w:t>是相对于详细评价工作内容而言，在描述危险物质、换金影响途径、环境危害后果、风险防范措施等方面给出定性的说明。</w:t>
                  </w:r>
                </w:p>
              </w:tc>
            </w:tr>
          </w:tbl>
          <w:p w14:paraId="067C93B6">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确定本项目环境风险等级为简单分析。</w:t>
            </w:r>
          </w:p>
          <w:p w14:paraId="743B55F3">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2、环境敏感目标概况</w:t>
            </w:r>
          </w:p>
          <w:p w14:paraId="235D4B42">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项目用地为</w:t>
            </w:r>
            <w:r>
              <w:rPr>
                <w:rFonts w:hint="eastAsia" w:ascii="Times New Roman" w:hAnsi="Times New Roman" w:eastAsia="宋体" w:cs="Times New Roman"/>
                <w:kern w:val="0"/>
                <w:sz w:val="24"/>
                <w:szCs w:val="24"/>
              </w:rPr>
              <w:t>临时建设用地</w:t>
            </w:r>
            <w:r>
              <w:rPr>
                <w:rFonts w:ascii="Times New Roman" w:hAnsi="Times New Roman" w:eastAsia="宋体" w:cs="Times New Roman"/>
                <w:kern w:val="0"/>
                <w:sz w:val="24"/>
                <w:szCs w:val="24"/>
              </w:rPr>
              <w:t>，周边</w:t>
            </w:r>
            <w:r>
              <w:rPr>
                <w:rFonts w:hint="eastAsia" w:ascii="Times New Roman" w:hAnsi="Times New Roman" w:eastAsia="宋体" w:cs="Times New Roman"/>
                <w:kern w:val="0"/>
                <w:sz w:val="24"/>
                <w:szCs w:val="24"/>
              </w:rPr>
              <w:t>为林地、其他临时建设用地</w:t>
            </w:r>
            <w:r>
              <w:rPr>
                <w:rFonts w:ascii="Times New Roman" w:hAnsi="Times New Roman" w:eastAsia="宋体" w:cs="Times New Roman"/>
                <w:kern w:val="0"/>
                <w:sz w:val="24"/>
                <w:szCs w:val="24"/>
              </w:rPr>
              <w:t>和少量散居居民</w:t>
            </w:r>
            <w:r>
              <w:rPr>
                <w:rFonts w:hint="eastAsia" w:ascii="Times New Roman" w:hAnsi="Times New Roman" w:eastAsia="宋体" w:cs="Times New Roman"/>
                <w:kern w:val="0"/>
                <w:sz w:val="24"/>
                <w:szCs w:val="24"/>
              </w:rPr>
              <w:t>，距离最近河流为白沙河</w:t>
            </w:r>
            <w:r>
              <w:rPr>
                <w:rFonts w:ascii="Times New Roman" w:hAnsi="Times New Roman" w:eastAsia="宋体" w:cs="Times New Roman"/>
                <w:kern w:val="0"/>
                <w:sz w:val="24"/>
                <w:szCs w:val="24"/>
              </w:rPr>
              <w:t>，距离</w:t>
            </w:r>
            <w:r>
              <w:rPr>
                <w:rFonts w:hint="eastAsia" w:ascii="Times New Roman" w:hAnsi="Times New Roman" w:eastAsia="宋体" w:cs="Times New Roman"/>
                <w:kern w:val="0"/>
                <w:sz w:val="24"/>
                <w:szCs w:val="24"/>
              </w:rPr>
              <w:t>最近</w:t>
            </w:r>
            <w:r>
              <w:rPr>
                <w:rFonts w:ascii="Times New Roman" w:hAnsi="Times New Roman" w:eastAsia="宋体" w:cs="Times New Roman"/>
                <w:kern w:val="0"/>
                <w:sz w:val="24"/>
                <w:szCs w:val="24"/>
              </w:rPr>
              <w:t>居民约180m，其中有</w:t>
            </w:r>
            <w:r>
              <w:rPr>
                <w:rFonts w:hint="eastAsia" w:ascii="Times New Roman" w:hAnsi="Times New Roman" w:eastAsia="宋体" w:cs="Times New Roman"/>
                <w:kern w:val="0"/>
                <w:sz w:val="24"/>
                <w:szCs w:val="24"/>
              </w:rPr>
              <w:t>车间及</w:t>
            </w:r>
            <w:r>
              <w:rPr>
                <w:rFonts w:ascii="Times New Roman" w:hAnsi="Times New Roman" w:eastAsia="宋体" w:cs="Times New Roman"/>
                <w:kern w:val="0"/>
                <w:sz w:val="24"/>
                <w:szCs w:val="24"/>
              </w:rPr>
              <w:t>厂房</w:t>
            </w:r>
            <w:r>
              <w:rPr>
                <w:rFonts w:hint="eastAsia" w:ascii="Times New Roman" w:hAnsi="Times New Roman" w:eastAsia="宋体" w:cs="Times New Roman"/>
                <w:kern w:val="0"/>
                <w:sz w:val="24"/>
                <w:szCs w:val="24"/>
              </w:rPr>
              <w:t>墙体</w:t>
            </w:r>
            <w:r>
              <w:rPr>
                <w:rFonts w:ascii="Times New Roman" w:hAnsi="Times New Roman" w:eastAsia="宋体" w:cs="Times New Roman"/>
                <w:kern w:val="0"/>
                <w:sz w:val="24"/>
                <w:szCs w:val="24"/>
              </w:rPr>
              <w:t>间隔。</w:t>
            </w:r>
          </w:p>
          <w:p w14:paraId="4D1CDFBE">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3、环境风险识别</w:t>
            </w:r>
          </w:p>
          <w:p w14:paraId="67C061C6">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项目主要危险物质为</w:t>
            </w:r>
            <w:r>
              <w:rPr>
                <w:rFonts w:hint="eastAsia" w:ascii="Times New Roman" w:hAnsi="Times New Roman" w:eastAsia="宋体" w:cs="Times New Roman"/>
                <w:kern w:val="0"/>
                <w:sz w:val="24"/>
                <w:szCs w:val="24"/>
              </w:rPr>
              <w:t>机油、生产废水</w:t>
            </w:r>
            <w:r>
              <w:rPr>
                <w:rFonts w:ascii="Times New Roman" w:hAnsi="Times New Roman" w:eastAsia="宋体" w:cs="Times New Roman"/>
                <w:kern w:val="0"/>
                <w:sz w:val="24"/>
                <w:szCs w:val="24"/>
              </w:rPr>
              <w:t>及生活污水，主要存在于</w:t>
            </w:r>
            <w:r>
              <w:rPr>
                <w:rFonts w:hint="eastAsia" w:ascii="Times New Roman" w:hAnsi="Times New Roman" w:eastAsia="宋体" w:cs="Times New Roman"/>
                <w:kern w:val="0"/>
                <w:sz w:val="24"/>
                <w:szCs w:val="24"/>
              </w:rPr>
              <w:t>机油暂存间</w:t>
            </w:r>
            <w:r>
              <w:rPr>
                <w:rFonts w:ascii="Times New Roman" w:hAnsi="Times New Roman" w:eastAsia="宋体" w:cs="Times New Roman"/>
                <w:kern w:val="0"/>
                <w:sz w:val="24"/>
                <w:szCs w:val="24"/>
              </w:rPr>
              <w:t>、</w:t>
            </w:r>
            <w:r>
              <w:rPr>
                <w:rFonts w:hint="eastAsia" w:ascii="Times New Roman" w:hAnsi="Times New Roman" w:eastAsia="宋体" w:cs="Times New Roman"/>
                <w:kern w:val="0"/>
                <w:sz w:val="24"/>
                <w:szCs w:val="24"/>
              </w:rPr>
              <w:t>循环沉淀池、二级生化处理设施</w:t>
            </w:r>
            <w:r>
              <w:rPr>
                <w:rFonts w:ascii="Times New Roman" w:hAnsi="Times New Roman" w:eastAsia="宋体" w:cs="Times New Roman"/>
                <w:kern w:val="0"/>
                <w:sz w:val="24"/>
                <w:szCs w:val="24"/>
              </w:rPr>
              <w:t>，可能产生的环境污染为泄漏及事故废水等。</w:t>
            </w:r>
          </w:p>
          <w:p w14:paraId="5A73DC65">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4、环境风险分析</w:t>
            </w:r>
          </w:p>
          <w:p w14:paraId="29DAE503">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①</w:t>
            </w:r>
            <w:r>
              <w:rPr>
                <w:rFonts w:ascii="Times New Roman" w:hAnsi="Times New Roman" w:eastAsia="宋体" w:cs="Times New Roman"/>
                <w:kern w:val="0"/>
                <w:sz w:val="24"/>
                <w:szCs w:val="24"/>
              </w:rPr>
              <w:t>因环保设施失灵，废水泄漏进入土壤、水体，导致外环境污染物质超标。</w:t>
            </w:r>
          </w:p>
          <w:p w14:paraId="4D906128">
            <w:pPr>
              <w:pStyle w:val="6"/>
              <w:adjustRightInd w:val="0"/>
              <w:snapToGrid w:val="0"/>
              <w:spacing w:line="480" w:lineRule="exact"/>
              <w:ind w:firstLine="480" w:firstLineChars="200"/>
              <w:rPr>
                <w:rFonts w:ascii="宋体" w:hAnsi="宋体" w:eastAsia="宋体" w:cs="宋体"/>
                <w:kern w:val="0"/>
                <w:sz w:val="24"/>
                <w:szCs w:val="24"/>
              </w:rPr>
            </w:pPr>
            <w:r>
              <w:rPr>
                <w:rFonts w:hint="eastAsia" w:ascii="宋体" w:hAnsi="宋体" w:eastAsia="宋体" w:cs="宋体"/>
                <w:kern w:val="0"/>
                <w:sz w:val="24"/>
                <w:szCs w:val="24"/>
              </w:rPr>
              <w:t>②危险化学品、危险废物泄漏</w:t>
            </w:r>
            <w:r>
              <w:rPr>
                <w:rFonts w:ascii="Times New Roman" w:hAnsi="Times New Roman" w:eastAsia="宋体" w:cs="Times New Roman"/>
                <w:kern w:val="0"/>
                <w:sz w:val="24"/>
                <w:szCs w:val="24"/>
              </w:rPr>
              <w:t>进入土壤、水体，导致外环境污染物质超标。</w:t>
            </w:r>
          </w:p>
          <w:p w14:paraId="36EC16CB">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③</w:t>
            </w:r>
            <w:r>
              <w:rPr>
                <w:rFonts w:ascii="Times New Roman" w:hAnsi="Times New Roman" w:eastAsia="宋体" w:cs="Times New Roman"/>
                <w:kern w:val="0"/>
                <w:sz w:val="24"/>
                <w:szCs w:val="24"/>
              </w:rPr>
              <w:t>火灾事故导致大气污染，火灾产生的消防水进入水体、土壤导致污染。</w:t>
            </w:r>
          </w:p>
          <w:p w14:paraId="1A334CBB">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④</w:t>
            </w:r>
            <w:r>
              <w:rPr>
                <w:rFonts w:ascii="Times New Roman" w:hAnsi="Times New Roman" w:eastAsia="宋体" w:cs="Times New Roman"/>
                <w:kern w:val="0"/>
                <w:sz w:val="24"/>
                <w:szCs w:val="24"/>
              </w:rPr>
              <w:t>原料堆放过高导致坍塌、滑坡，在暴雨灾害天气下事故造成泥沙随地表径流进入水体。</w:t>
            </w:r>
          </w:p>
          <w:p w14:paraId="3D135363">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5、环境风险防范措施及应急要求</w:t>
            </w:r>
          </w:p>
          <w:p w14:paraId="2972D24F">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bCs/>
                <w:sz w:val="24"/>
              </w:rPr>
              <w:t>1</w:t>
            </w:r>
            <w:r>
              <w:rPr>
                <w:rFonts w:ascii="Times New Roman" w:hAnsi="Times New Roman" w:eastAsia="宋体" w:cs="Times New Roman"/>
                <w:kern w:val="0"/>
                <w:sz w:val="24"/>
                <w:szCs w:val="24"/>
              </w:rPr>
              <w:t>）火灾的防范措施</w:t>
            </w:r>
          </w:p>
          <w:p w14:paraId="34FAF645">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根据项目特点，项目电气设备等操作不当或故障易燃，本次评价对项目提出以下防火要求：</w:t>
            </w:r>
          </w:p>
          <w:p w14:paraId="1AC6792E">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①</w:t>
            </w:r>
            <w:r>
              <w:rPr>
                <w:rFonts w:ascii="Times New Roman" w:hAnsi="Times New Roman" w:eastAsia="宋体" w:cs="Times New Roman"/>
                <w:kern w:val="0"/>
                <w:sz w:val="24"/>
                <w:szCs w:val="24"/>
              </w:rPr>
              <w:t>生产人员上岗前要进行三级安全培训，并会熟练使用岗位配置的灭火设施；</w:t>
            </w:r>
          </w:p>
          <w:p w14:paraId="4B239175">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②</w:t>
            </w:r>
            <w:r>
              <w:rPr>
                <w:rFonts w:ascii="Times New Roman" w:hAnsi="Times New Roman" w:eastAsia="宋体" w:cs="Times New Roman"/>
                <w:kern w:val="0"/>
                <w:sz w:val="24"/>
                <w:szCs w:val="24"/>
              </w:rPr>
              <w:t>所有进入车间、库房的人员，不得携带火种进入，厂区内严禁吸烟、用火。</w:t>
            </w:r>
          </w:p>
          <w:p w14:paraId="2E9014BD">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③</w:t>
            </w:r>
            <w:r>
              <w:rPr>
                <w:rFonts w:ascii="Times New Roman" w:hAnsi="Times New Roman" w:eastAsia="宋体" w:cs="Times New Roman"/>
                <w:kern w:val="0"/>
                <w:sz w:val="24"/>
                <w:szCs w:val="24"/>
              </w:rPr>
              <w:t>项目使用电气设备经常检查，发现可能引起打火、短路、发热和绝缘不良等情况时，必须立即修理。</w:t>
            </w:r>
          </w:p>
          <w:p w14:paraId="68786B54">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④</w:t>
            </w:r>
            <w:r>
              <w:rPr>
                <w:rFonts w:ascii="Times New Roman" w:hAnsi="Times New Roman" w:eastAsia="宋体" w:cs="Times New Roman"/>
                <w:kern w:val="0"/>
                <w:sz w:val="24"/>
                <w:szCs w:val="24"/>
              </w:rPr>
              <w:t>车间、仓库内配置的灭火器、消防设施周围严禁对方其它物品，消防器材设备派专人负责管理，定期检查维修，保证完整好用。</w:t>
            </w:r>
          </w:p>
          <w:p w14:paraId="6EBA5918">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⑤</w:t>
            </w:r>
            <w:r>
              <w:rPr>
                <w:rFonts w:ascii="Times New Roman" w:hAnsi="Times New Roman" w:eastAsia="宋体" w:cs="Times New Roman"/>
                <w:kern w:val="0"/>
                <w:sz w:val="24"/>
                <w:szCs w:val="24"/>
              </w:rPr>
              <w:t>每日应对车间及仓库内物资进行巡视检查，发现火种、火源、电源及库内环境存在与防火安全相抵触的问题要及时发现，及时消除。</w:t>
            </w:r>
          </w:p>
          <w:p w14:paraId="7DF8D6EA">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⑥</w:t>
            </w:r>
            <w:r>
              <w:rPr>
                <w:rFonts w:ascii="Times New Roman" w:hAnsi="Times New Roman" w:eastAsia="宋体" w:cs="Times New Roman"/>
                <w:kern w:val="0"/>
                <w:sz w:val="24"/>
                <w:szCs w:val="24"/>
              </w:rPr>
              <w:t>保持设备的清洁卫生，坚持每月的系统的维护，确保机器设备的正常运作。</w:t>
            </w:r>
          </w:p>
          <w:p w14:paraId="4E59D01C">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2）环保设施失灵泄漏风险防范措施</w:t>
            </w:r>
          </w:p>
          <w:p w14:paraId="66919ACF">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①</w:t>
            </w:r>
            <w:r>
              <w:rPr>
                <w:rFonts w:ascii="Times New Roman" w:hAnsi="Times New Roman" w:eastAsia="宋体" w:cs="Times New Roman"/>
                <w:kern w:val="0"/>
                <w:sz w:val="24"/>
                <w:szCs w:val="24"/>
              </w:rPr>
              <w:t>为了减小环保设备故障的频率，定期对喷雾降尘设施进行检查，防治堵塞。</w:t>
            </w:r>
          </w:p>
          <w:p w14:paraId="7AECF2D4">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②</w:t>
            </w:r>
            <w:r>
              <w:rPr>
                <w:rFonts w:ascii="Times New Roman" w:hAnsi="Times New Roman" w:eastAsia="宋体" w:cs="Times New Roman"/>
                <w:kern w:val="0"/>
                <w:sz w:val="24"/>
                <w:szCs w:val="24"/>
              </w:rPr>
              <w:t>本项目废水处理设施为沉淀池，当沉淀池泥沙较多时，会有发生溢流的可能性，要求建设单位定期对泥沙进行清理，保证沉淀池的有效容积，防治溢流对地表水造成影响。加强管理，及时清理维护保证有效容积。</w:t>
            </w:r>
            <w:r>
              <w:rPr>
                <w:rFonts w:hint="eastAsia" w:ascii="Times New Roman" w:hAnsi="Times New Roman" w:eastAsia="宋体" w:cs="Times New Roman"/>
                <w:color w:val="FF0000"/>
                <w:kern w:val="0"/>
                <w:sz w:val="24"/>
                <w:szCs w:val="24"/>
              </w:rPr>
              <w:t>同时，设置事故应急池，事故应急池容积不小于废水池容积的3</w:t>
            </w:r>
            <w:r>
              <w:rPr>
                <w:rFonts w:ascii="Times New Roman" w:hAnsi="Times New Roman" w:eastAsia="宋体" w:cs="Times New Roman"/>
                <w:color w:val="FF0000"/>
                <w:kern w:val="0"/>
                <w:sz w:val="24"/>
                <w:szCs w:val="24"/>
              </w:rPr>
              <w:t>0</w:t>
            </w:r>
            <w:r>
              <w:rPr>
                <w:rFonts w:hint="eastAsia" w:ascii="Times New Roman" w:hAnsi="Times New Roman" w:eastAsia="宋体" w:cs="Times New Roman"/>
                <w:color w:val="FF0000"/>
                <w:kern w:val="0"/>
                <w:sz w:val="24"/>
                <w:szCs w:val="24"/>
              </w:rPr>
              <w:t>%。</w:t>
            </w:r>
          </w:p>
          <w:p w14:paraId="6F2CA3FA">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3）</w:t>
            </w:r>
            <w:r>
              <w:rPr>
                <w:rFonts w:hint="eastAsia" w:ascii="Times New Roman" w:hAnsi="Times New Roman" w:eastAsia="宋体" w:cs="Times New Roman"/>
                <w:kern w:val="0"/>
                <w:sz w:val="24"/>
                <w:szCs w:val="24"/>
              </w:rPr>
              <w:t>危险化学品泄漏</w:t>
            </w:r>
          </w:p>
          <w:p w14:paraId="1E9B9C7E">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项目使用的</w:t>
            </w:r>
            <w:r>
              <w:rPr>
                <w:rFonts w:hint="eastAsia" w:ascii="Times New Roman" w:hAnsi="Times New Roman" w:eastAsia="宋体" w:cs="Times New Roman"/>
                <w:kern w:val="0"/>
                <w:sz w:val="24"/>
                <w:szCs w:val="24"/>
              </w:rPr>
              <w:t>机油</w:t>
            </w:r>
            <w:r>
              <w:rPr>
                <w:rFonts w:ascii="Times New Roman" w:hAnsi="Times New Roman" w:eastAsia="宋体" w:cs="Times New Roman"/>
                <w:kern w:val="0"/>
                <w:sz w:val="24"/>
                <w:szCs w:val="24"/>
              </w:rPr>
              <w:t>等发生泄露，进入土壤中，将会对土壤、地下水、地表水甚至生态环境造成污染，因此，项目生产过程中必须加强管理，加强防渗，避免化学品泄露的发生。</w:t>
            </w:r>
          </w:p>
          <w:p w14:paraId="52CF4C30">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rPr>
              <w:t>4）</w:t>
            </w:r>
            <w:r>
              <w:rPr>
                <w:rFonts w:ascii="Times New Roman" w:hAnsi="Times New Roman" w:eastAsia="宋体" w:cs="Times New Roman"/>
                <w:kern w:val="0"/>
                <w:sz w:val="24"/>
                <w:szCs w:val="24"/>
              </w:rPr>
              <w:t>建立健全安全环境管理制度</w:t>
            </w:r>
          </w:p>
          <w:p w14:paraId="75AAB30A">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①</w:t>
            </w:r>
            <w:r>
              <w:rPr>
                <w:rFonts w:ascii="Times New Roman" w:hAnsi="Times New Roman" w:eastAsia="宋体" w:cs="Times New Roman"/>
                <w:kern w:val="0"/>
                <w:sz w:val="24"/>
                <w:szCs w:val="24"/>
              </w:rPr>
              <w:t>火灾：本项目生产中操作不当、管理不善发生电线短路等现象，可引发火灾，导致人员伤害。</w:t>
            </w:r>
          </w:p>
          <w:p w14:paraId="30A36C29">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②</w:t>
            </w:r>
            <w:r>
              <w:rPr>
                <w:rFonts w:ascii="Times New Roman" w:hAnsi="Times New Roman" w:eastAsia="宋体" w:cs="Times New Roman"/>
                <w:kern w:val="0"/>
                <w:sz w:val="24"/>
                <w:szCs w:val="24"/>
              </w:rPr>
              <w:t>机械伤害：生产装置中有电动传输设备，因此存有机械伤害危险。生产过程中，设备安全操作规程不完善或设备操作人员没有严格按照操作规程进行操作，则有可能发生安全事故，对操作人员或车间其他人员造成人身伤害。</w:t>
            </w:r>
          </w:p>
          <w:p w14:paraId="08793F88">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针对上述风险，应采取以下劳动安全卫生措施：</w:t>
            </w:r>
          </w:p>
          <w:p w14:paraId="2E8707B1">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①</w:t>
            </w:r>
            <w:r>
              <w:rPr>
                <w:rFonts w:ascii="Times New Roman" w:hAnsi="Times New Roman" w:eastAsia="宋体" w:cs="Times New Roman"/>
                <w:kern w:val="0"/>
                <w:sz w:val="24"/>
                <w:szCs w:val="24"/>
              </w:rPr>
              <w:t>制定切实可行的安全操作规程和工艺规程，按照《中华人民共和国劳动法》的有关规定，制定切实可行的劳动保护措施。</w:t>
            </w:r>
          </w:p>
          <w:p w14:paraId="0D3EEF7D">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②</w:t>
            </w:r>
            <w:r>
              <w:rPr>
                <w:rFonts w:ascii="Times New Roman" w:hAnsi="Times New Roman" w:eastAsia="宋体" w:cs="Times New Roman"/>
                <w:kern w:val="0"/>
                <w:sz w:val="24"/>
                <w:szCs w:val="24"/>
              </w:rPr>
              <w:t>严格规范设备的操作过程，定期检修。</w:t>
            </w:r>
          </w:p>
          <w:p w14:paraId="42764E40">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③</w:t>
            </w:r>
            <w:r>
              <w:rPr>
                <w:rFonts w:ascii="Times New Roman" w:hAnsi="Times New Roman" w:eastAsia="宋体" w:cs="Times New Roman"/>
                <w:kern w:val="0"/>
                <w:sz w:val="24"/>
                <w:szCs w:val="24"/>
              </w:rPr>
              <w:t>车间应设置强制排风设备，改善车间空气环境。</w:t>
            </w:r>
          </w:p>
          <w:p w14:paraId="4FA4BDCC">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④</w:t>
            </w:r>
            <w:r>
              <w:rPr>
                <w:rFonts w:ascii="Times New Roman" w:hAnsi="Times New Roman" w:eastAsia="宋体" w:cs="Times New Roman"/>
                <w:kern w:val="0"/>
                <w:sz w:val="24"/>
                <w:szCs w:val="24"/>
              </w:rPr>
              <w:t>为了防范雷电和暴雨，要求厂区按规定设防雷接地装置，同时厂房内的地面高出室外地面。防止暴雨造成的积水进入。</w:t>
            </w:r>
          </w:p>
          <w:p w14:paraId="7E121F0F">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⑤</w:t>
            </w:r>
            <w:r>
              <w:rPr>
                <w:rFonts w:ascii="Times New Roman" w:hAnsi="Times New Roman" w:eastAsia="宋体" w:cs="Times New Roman"/>
                <w:kern w:val="0"/>
                <w:sz w:val="24"/>
                <w:szCs w:val="24"/>
              </w:rPr>
              <w:t>对有危险的机械设备加装防护装置，所有电气设备的安全距离、漏电保护设施拘设计均应符合有关标准、规范的要求。</w:t>
            </w:r>
          </w:p>
          <w:p w14:paraId="183E8E7E">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⑥</w:t>
            </w:r>
            <w:r>
              <w:rPr>
                <w:rFonts w:ascii="Times New Roman" w:hAnsi="Times New Roman" w:eastAsia="宋体" w:cs="Times New Roman"/>
                <w:kern w:val="0"/>
                <w:sz w:val="24"/>
                <w:szCs w:val="24"/>
              </w:rPr>
              <w:t>建立健全安全技术规程、工艺操作规程，并上墙明示。</w:t>
            </w:r>
          </w:p>
          <w:p w14:paraId="32ED3DFB">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⑦</w:t>
            </w:r>
            <w:r>
              <w:rPr>
                <w:rFonts w:ascii="Times New Roman" w:hAnsi="Times New Roman" w:eastAsia="宋体" w:cs="Times New Roman"/>
                <w:kern w:val="0"/>
                <w:sz w:val="24"/>
                <w:szCs w:val="24"/>
              </w:rPr>
              <w:t>按工作岗位的性质，配备劳保用品和各种防护器材。</w:t>
            </w:r>
          </w:p>
          <w:p w14:paraId="526FA797">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⑧</w:t>
            </w:r>
            <w:r>
              <w:rPr>
                <w:rFonts w:ascii="Times New Roman" w:hAnsi="Times New Roman" w:eastAsia="宋体" w:cs="Times New Roman"/>
                <w:kern w:val="0"/>
                <w:sz w:val="24"/>
                <w:szCs w:val="24"/>
              </w:rPr>
              <w:t>厂门前设置入场须知和安全警示牌。</w:t>
            </w:r>
          </w:p>
          <w:p w14:paraId="207D2ACB">
            <w:pPr>
              <w:pStyle w:val="6"/>
              <w:adjustRightInd w:val="0"/>
              <w:snapToGrid w:val="0"/>
              <w:spacing w:line="480" w:lineRule="exact"/>
              <w:ind w:firstLine="480" w:firstLineChars="200"/>
              <w:rPr>
                <w:rFonts w:ascii="Times New Roman" w:hAnsi="Times New Roman" w:eastAsia="宋体" w:cs="Times New Roman"/>
                <w:kern w:val="0"/>
                <w:sz w:val="24"/>
                <w:szCs w:val="24"/>
              </w:rPr>
            </w:pPr>
            <w:r>
              <w:rPr>
                <w:rFonts w:hint="eastAsia" w:ascii="宋体" w:hAnsi="宋体" w:eastAsia="宋体" w:cs="宋体"/>
                <w:kern w:val="0"/>
                <w:sz w:val="24"/>
                <w:szCs w:val="24"/>
              </w:rPr>
              <w:t>⑨</w:t>
            </w:r>
            <w:r>
              <w:rPr>
                <w:rFonts w:ascii="Times New Roman" w:hAnsi="Times New Roman" w:eastAsia="宋体" w:cs="Times New Roman"/>
                <w:kern w:val="0"/>
                <w:sz w:val="24"/>
                <w:szCs w:val="24"/>
              </w:rPr>
              <w:t>加强安全管理、安全教育工作，经常对全厂职工进行安全教育和职业卫生教育，增强职工的安全意识和自我保护意识。</w:t>
            </w:r>
          </w:p>
          <w:p w14:paraId="7CDF668A">
            <w:pPr>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6、应急预案</w:t>
            </w:r>
          </w:p>
          <w:p w14:paraId="216DB033">
            <w:pPr>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fldChar w:fldCharType="begin"/>
            </w:r>
            <w:r>
              <w:rPr>
                <w:rFonts w:ascii="Times New Roman" w:hAnsi="Times New Roman" w:eastAsia="宋体" w:cs="Times New Roman"/>
                <w:kern w:val="0"/>
                <w:sz w:val="24"/>
                <w:szCs w:val="24"/>
              </w:rPr>
              <w:instrText xml:space="preserve"> = 1 \* GB3 </w:instrText>
            </w:r>
            <w:r>
              <w:rPr>
                <w:rFonts w:ascii="Times New Roman" w:hAnsi="Times New Roman" w:eastAsia="宋体" w:cs="Times New Roman"/>
                <w:kern w:val="0"/>
                <w:sz w:val="24"/>
                <w:szCs w:val="24"/>
              </w:rPr>
              <w:fldChar w:fldCharType="separate"/>
            </w:r>
            <w:r>
              <w:rPr>
                <w:rFonts w:hint="eastAsia" w:ascii="宋体" w:hAnsi="宋体" w:eastAsia="宋体" w:cs="宋体"/>
                <w:kern w:val="0"/>
                <w:sz w:val="24"/>
                <w:szCs w:val="24"/>
              </w:rPr>
              <w:t>①</w:t>
            </w:r>
            <w:r>
              <w:rPr>
                <w:rFonts w:ascii="Times New Roman" w:hAnsi="Times New Roman" w:eastAsia="宋体" w:cs="Times New Roman"/>
                <w:kern w:val="0"/>
                <w:sz w:val="24"/>
                <w:szCs w:val="24"/>
              </w:rPr>
              <w:fldChar w:fldCharType="end"/>
            </w:r>
            <w:r>
              <w:rPr>
                <w:rFonts w:ascii="Times New Roman" w:hAnsi="Times New Roman" w:eastAsia="宋体" w:cs="Times New Roman"/>
                <w:kern w:val="0"/>
                <w:sz w:val="24"/>
                <w:szCs w:val="24"/>
              </w:rPr>
              <w:t>制定风险事故应急预案的目的</w:t>
            </w:r>
          </w:p>
          <w:p w14:paraId="080D55F2">
            <w:pPr>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认真贯彻落实党中央、国务院领导的指示精神，高度重视污染事故的防范和处理，消除污染事故隐患，加强环境监管，保障环境安全，维护群众环境权益。</w:t>
            </w:r>
          </w:p>
          <w:p w14:paraId="02A6C7FC">
            <w:pPr>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fldChar w:fldCharType="begin"/>
            </w:r>
            <w:r>
              <w:rPr>
                <w:rFonts w:ascii="Times New Roman" w:hAnsi="Times New Roman" w:eastAsia="宋体" w:cs="Times New Roman"/>
                <w:kern w:val="0"/>
                <w:sz w:val="24"/>
                <w:szCs w:val="24"/>
              </w:rPr>
              <w:instrText xml:space="preserve"> = 2 \* GB3 </w:instrText>
            </w:r>
            <w:r>
              <w:rPr>
                <w:rFonts w:ascii="Times New Roman" w:hAnsi="Times New Roman" w:eastAsia="宋体" w:cs="Times New Roman"/>
                <w:kern w:val="0"/>
                <w:sz w:val="24"/>
                <w:szCs w:val="24"/>
              </w:rPr>
              <w:fldChar w:fldCharType="separate"/>
            </w:r>
            <w:r>
              <w:rPr>
                <w:rFonts w:hint="eastAsia" w:ascii="宋体" w:hAnsi="宋体" w:eastAsia="宋体" w:cs="宋体"/>
                <w:kern w:val="0"/>
                <w:sz w:val="24"/>
                <w:szCs w:val="24"/>
              </w:rPr>
              <w:t>②</w:t>
            </w:r>
            <w:r>
              <w:rPr>
                <w:rFonts w:ascii="Times New Roman" w:hAnsi="Times New Roman" w:eastAsia="宋体" w:cs="Times New Roman"/>
                <w:kern w:val="0"/>
                <w:sz w:val="24"/>
                <w:szCs w:val="24"/>
              </w:rPr>
              <w:fldChar w:fldCharType="end"/>
            </w:r>
            <w:r>
              <w:rPr>
                <w:rFonts w:ascii="Times New Roman" w:hAnsi="Times New Roman" w:eastAsia="宋体" w:cs="Times New Roman"/>
                <w:kern w:val="0"/>
                <w:sz w:val="24"/>
                <w:szCs w:val="24"/>
              </w:rPr>
              <w:t>应急预案内容</w:t>
            </w:r>
          </w:p>
          <w:p w14:paraId="5352C252">
            <w:pPr>
              <w:adjustRightInd w:val="0"/>
              <w:snapToGrid w:val="0"/>
              <w:spacing w:line="480" w:lineRule="exact"/>
              <w:ind w:firstLine="480" w:firstLineChars="200"/>
              <w:rPr>
                <w:rFonts w:ascii="Times New Roman" w:hAnsi="Times New Roman" w:eastAsia="宋体" w:cs="Times New Roman"/>
                <w:kern w:val="0"/>
                <w:sz w:val="24"/>
                <w:szCs w:val="24"/>
              </w:rPr>
            </w:pPr>
            <w:r>
              <w:rPr>
                <w:rFonts w:ascii="Times New Roman" w:hAnsi="Times New Roman" w:eastAsia="宋体" w:cs="Times New Roman"/>
                <w:kern w:val="0"/>
                <w:sz w:val="24"/>
                <w:szCs w:val="24"/>
              </w:rPr>
              <w:t>根据《建设项目环境风险评价技术导则》（HJ169-2018）要求，参照《危险废物经营单位编制应急预案指南》，制定企业环境风险应急预案，并向有关部门备案。建设单位应在生产前自行编制或委托有资质的单位编制项目突发环境事件应急预案与风险评估报告，并进行评估，报有关部门备案，一旦发生风险事故，应立即启动预案计划。</w:t>
            </w:r>
          </w:p>
          <w:p w14:paraId="28F5B157">
            <w:pPr>
              <w:spacing w:line="480" w:lineRule="exact"/>
              <w:jc w:val="center"/>
              <w:rPr>
                <w:rFonts w:ascii="Times New Roman" w:hAnsi="Times New Roman" w:eastAsia="黑体" w:cs="Times New Roman"/>
                <w:bCs/>
                <w:sz w:val="24"/>
              </w:rPr>
            </w:pPr>
            <w:r>
              <w:rPr>
                <w:rFonts w:ascii="Times New Roman" w:hAnsi="Times New Roman" w:eastAsia="黑体" w:cs="Times New Roman"/>
                <w:bCs/>
                <w:sz w:val="24"/>
              </w:rPr>
              <w:t>表7-27  项目环境风险应急预案内容表</w:t>
            </w:r>
          </w:p>
          <w:tbl>
            <w:tblPr>
              <w:tblStyle w:val="26"/>
              <w:tblW w:w="8382"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92"/>
              <w:gridCol w:w="2037"/>
              <w:gridCol w:w="5653"/>
            </w:tblGrid>
            <w:tr w14:paraId="43AA16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tblHeader/>
                <w:jc w:val="center"/>
              </w:trPr>
              <w:tc>
                <w:tcPr>
                  <w:tcW w:w="692" w:type="dxa"/>
                  <w:vAlign w:val="center"/>
                </w:tcPr>
                <w:p w14:paraId="74A11026">
                  <w:pPr>
                    <w:jc w:val="center"/>
                    <w:rPr>
                      <w:rFonts w:ascii="Times New Roman" w:hAnsi="Times New Roman" w:eastAsia="宋体" w:cs="Times New Roman"/>
                      <w:kern w:val="28"/>
                    </w:rPr>
                  </w:pPr>
                  <w:r>
                    <w:rPr>
                      <w:rFonts w:ascii="Times New Roman" w:hAnsi="Times New Roman" w:eastAsia="宋体" w:cs="Times New Roman"/>
                      <w:kern w:val="28"/>
                    </w:rPr>
                    <w:t>序号</w:t>
                  </w:r>
                </w:p>
              </w:tc>
              <w:tc>
                <w:tcPr>
                  <w:tcW w:w="2037" w:type="dxa"/>
                  <w:vAlign w:val="center"/>
                </w:tcPr>
                <w:p w14:paraId="61F56ED3">
                  <w:pPr>
                    <w:jc w:val="center"/>
                    <w:rPr>
                      <w:rFonts w:ascii="Times New Roman" w:hAnsi="Times New Roman" w:eastAsia="宋体" w:cs="Times New Roman"/>
                      <w:kern w:val="28"/>
                    </w:rPr>
                  </w:pPr>
                  <w:r>
                    <w:rPr>
                      <w:rFonts w:ascii="Times New Roman" w:hAnsi="Times New Roman" w:eastAsia="宋体" w:cs="Times New Roman"/>
                      <w:kern w:val="28"/>
                    </w:rPr>
                    <w:t>项目</w:t>
                  </w:r>
                </w:p>
              </w:tc>
              <w:tc>
                <w:tcPr>
                  <w:tcW w:w="5653" w:type="dxa"/>
                  <w:vAlign w:val="center"/>
                </w:tcPr>
                <w:p w14:paraId="1FA97995">
                  <w:pPr>
                    <w:jc w:val="center"/>
                    <w:rPr>
                      <w:rFonts w:ascii="Times New Roman" w:hAnsi="Times New Roman" w:eastAsia="宋体" w:cs="Times New Roman"/>
                      <w:kern w:val="28"/>
                    </w:rPr>
                  </w:pPr>
                  <w:r>
                    <w:rPr>
                      <w:rFonts w:ascii="Times New Roman" w:hAnsi="Times New Roman" w:eastAsia="宋体" w:cs="Times New Roman"/>
                      <w:kern w:val="28"/>
                    </w:rPr>
                    <w:t>内容及要求</w:t>
                  </w:r>
                </w:p>
              </w:tc>
            </w:tr>
            <w:tr w14:paraId="0D1E75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692" w:type="dxa"/>
                  <w:vAlign w:val="center"/>
                </w:tcPr>
                <w:p w14:paraId="6F268B9E">
                  <w:pPr>
                    <w:jc w:val="center"/>
                    <w:rPr>
                      <w:rFonts w:ascii="Times New Roman" w:hAnsi="Times New Roman" w:eastAsia="宋体" w:cs="Times New Roman"/>
                      <w:kern w:val="28"/>
                    </w:rPr>
                  </w:pPr>
                  <w:r>
                    <w:rPr>
                      <w:rFonts w:ascii="Times New Roman" w:hAnsi="Times New Roman" w:eastAsia="宋体" w:cs="Times New Roman"/>
                      <w:kern w:val="28"/>
                    </w:rPr>
                    <w:t>1</w:t>
                  </w:r>
                </w:p>
              </w:tc>
              <w:tc>
                <w:tcPr>
                  <w:tcW w:w="2037" w:type="dxa"/>
                  <w:vAlign w:val="center"/>
                </w:tcPr>
                <w:p w14:paraId="34C73212">
                  <w:pPr>
                    <w:jc w:val="center"/>
                    <w:rPr>
                      <w:rFonts w:ascii="Times New Roman" w:hAnsi="Times New Roman" w:eastAsia="宋体" w:cs="Times New Roman"/>
                      <w:kern w:val="28"/>
                    </w:rPr>
                  </w:pPr>
                  <w:r>
                    <w:rPr>
                      <w:rFonts w:ascii="Times New Roman" w:hAnsi="Times New Roman" w:eastAsia="宋体" w:cs="Times New Roman"/>
                      <w:kern w:val="28"/>
                    </w:rPr>
                    <w:t>应急计划区</w:t>
                  </w:r>
                </w:p>
              </w:tc>
              <w:tc>
                <w:tcPr>
                  <w:tcW w:w="5653" w:type="dxa"/>
                  <w:vAlign w:val="center"/>
                </w:tcPr>
                <w:p w14:paraId="58D8B82D">
                  <w:pPr>
                    <w:rPr>
                      <w:rFonts w:ascii="Times New Roman" w:hAnsi="Times New Roman" w:eastAsia="宋体" w:cs="Times New Roman"/>
                      <w:kern w:val="28"/>
                    </w:rPr>
                  </w:pPr>
                  <w:r>
                    <w:rPr>
                      <w:rFonts w:ascii="Times New Roman" w:hAnsi="Times New Roman" w:eastAsia="宋体" w:cs="Times New Roman"/>
                      <w:kern w:val="28"/>
                    </w:rPr>
                    <w:t>危险目标：</w:t>
                  </w:r>
                  <w:r>
                    <w:rPr>
                      <w:rFonts w:hint="eastAsia" w:ascii="Times New Roman" w:hAnsi="Times New Roman" w:eastAsia="宋体" w:cs="Times New Roman"/>
                      <w:kern w:val="28"/>
                    </w:rPr>
                    <w:t>危险化学品、</w:t>
                  </w:r>
                  <w:r>
                    <w:rPr>
                      <w:rFonts w:ascii="Times New Roman" w:hAnsi="Times New Roman" w:eastAsia="宋体" w:cs="Times New Roman"/>
                      <w:kern w:val="28"/>
                    </w:rPr>
                    <w:t>废水收集处理设施</w:t>
                  </w:r>
                </w:p>
              </w:tc>
            </w:tr>
            <w:tr w14:paraId="24704E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692" w:type="dxa"/>
                  <w:vAlign w:val="center"/>
                </w:tcPr>
                <w:p w14:paraId="649A4968">
                  <w:pPr>
                    <w:jc w:val="center"/>
                    <w:rPr>
                      <w:rFonts w:ascii="Times New Roman" w:hAnsi="Times New Roman" w:eastAsia="宋体" w:cs="Times New Roman"/>
                      <w:kern w:val="28"/>
                    </w:rPr>
                  </w:pPr>
                  <w:r>
                    <w:rPr>
                      <w:rFonts w:ascii="Times New Roman" w:hAnsi="Times New Roman" w:eastAsia="宋体" w:cs="Times New Roman"/>
                      <w:kern w:val="28"/>
                    </w:rPr>
                    <w:t>2</w:t>
                  </w:r>
                </w:p>
              </w:tc>
              <w:tc>
                <w:tcPr>
                  <w:tcW w:w="2037" w:type="dxa"/>
                  <w:vAlign w:val="center"/>
                </w:tcPr>
                <w:p w14:paraId="0DFF185D">
                  <w:pPr>
                    <w:jc w:val="center"/>
                    <w:rPr>
                      <w:rFonts w:ascii="Times New Roman" w:hAnsi="Times New Roman" w:eastAsia="宋体" w:cs="Times New Roman"/>
                      <w:kern w:val="28"/>
                    </w:rPr>
                  </w:pPr>
                  <w:r>
                    <w:rPr>
                      <w:rFonts w:ascii="Times New Roman" w:hAnsi="Times New Roman" w:eastAsia="宋体" w:cs="Times New Roman"/>
                      <w:kern w:val="28"/>
                    </w:rPr>
                    <w:t>应急组织机构和人员</w:t>
                  </w:r>
                </w:p>
              </w:tc>
              <w:tc>
                <w:tcPr>
                  <w:tcW w:w="5653" w:type="dxa"/>
                  <w:vAlign w:val="center"/>
                </w:tcPr>
                <w:p w14:paraId="0E566BC0">
                  <w:pPr>
                    <w:rPr>
                      <w:rFonts w:ascii="Times New Roman" w:hAnsi="Times New Roman" w:eastAsia="宋体" w:cs="Times New Roman"/>
                      <w:kern w:val="28"/>
                    </w:rPr>
                  </w:pPr>
                  <w:r>
                    <w:rPr>
                      <w:rFonts w:ascii="Times New Roman" w:hAnsi="Times New Roman" w:eastAsia="宋体" w:cs="Times New Roman"/>
                      <w:kern w:val="28"/>
                    </w:rPr>
                    <w:t>公司应急委员会和员工、开发区环境风险应急组织机构和人员。公司应急委员会应成立环境风险应急处置小组，包括环境风险源控制组、救援组、警戒和疏散组、环境监测组等，并任命专人负责事故的记录和报告。</w:t>
                  </w:r>
                </w:p>
              </w:tc>
            </w:tr>
            <w:tr w14:paraId="50BF25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692" w:type="dxa"/>
                  <w:vAlign w:val="center"/>
                </w:tcPr>
                <w:p w14:paraId="0382AB6E">
                  <w:pPr>
                    <w:jc w:val="center"/>
                    <w:rPr>
                      <w:rFonts w:ascii="Times New Roman" w:hAnsi="Times New Roman" w:eastAsia="宋体" w:cs="Times New Roman"/>
                      <w:kern w:val="28"/>
                    </w:rPr>
                  </w:pPr>
                  <w:r>
                    <w:rPr>
                      <w:rFonts w:ascii="Times New Roman" w:hAnsi="Times New Roman" w:eastAsia="宋体" w:cs="Times New Roman"/>
                      <w:kern w:val="28"/>
                    </w:rPr>
                    <w:t>3</w:t>
                  </w:r>
                </w:p>
              </w:tc>
              <w:tc>
                <w:tcPr>
                  <w:tcW w:w="2037" w:type="dxa"/>
                  <w:vAlign w:val="center"/>
                </w:tcPr>
                <w:p w14:paraId="46F74884">
                  <w:pPr>
                    <w:jc w:val="center"/>
                    <w:rPr>
                      <w:rFonts w:ascii="Times New Roman" w:hAnsi="Times New Roman" w:eastAsia="宋体" w:cs="Times New Roman"/>
                      <w:kern w:val="28"/>
                    </w:rPr>
                  </w:pPr>
                  <w:r>
                    <w:rPr>
                      <w:rFonts w:ascii="Times New Roman" w:hAnsi="Times New Roman" w:eastAsia="宋体" w:cs="Times New Roman"/>
                      <w:kern w:val="28"/>
                    </w:rPr>
                    <w:t>预案分级响应条件</w:t>
                  </w:r>
                </w:p>
              </w:tc>
              <w:tc>
                <w:tcPr>
                  <w:tcW w:w="5653" w:type="dxa"/>
                  <w:vAlign w:val="center"/>
                </w:tcPr>
                <w:p w14:paraId="17A5DA94">
                  <w:pPr>
                    <w:rPr>
                      <w:rFonts w:ascii="Times New Roman" w:hAnsi="Times New Roman" w:eastAsia="宋体" w:cs="Times New Roman"/>
                      <w:kern w:val="28"/>
                    </w:rPr>
                  </w:pPr>
                  <w:r>
                    <w:rPr>
                      <w:rFonts w:ascii="Times New Roman" w:hAnsi="Times New Roman" w:eastAsia="宋体" w:cs="Times New Roman"/>
                      <w:kern w:val="28"/>
                    </w:rPr>
                    <w:t>规定预案的级别及分级响应程序，根据环境风险事故可能产生的环境影响，对事故预警进行分级，并根据事态发展调整事故应急响应程序。应急响应程序启动后应按照应急预案的规定内容开展应急处置并及时报告相关情况。</w:t>
                  </w:r>
                </w:p>
              </w:tc>
            </w:tr>
            <w:tr w14:paraId="0E7D64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692" w:type="dxa"/>
                  <w:vAlign w:val="center"/>
                </w:tcPr>
                <w:p w14:paraId="500C83C5">
                  <w:pPr>
                    <w:jc w:val="center"/>
                    <w:rPr>
                      <w:rFonts w:ascii="Times New Roman" w:hAnsi="Times New Roman" w:eastAsia="宋体" w:cs="Times New Roman"/>
                      <w:kern w:val="28"/>
                    </w:rPr>
                  </w:pPr>
                  <w:r>
                    <w:rPr>
                      <w:rFonts w:ascii="Times New Roman" w:hAnsi="Times New Roman" w:eastAsia="宋体" w:cs="Times New Roman"/>
                      <w:kern w:val="28"/>
                    </w:rPr>
                    <w:t>4</w:t>
                  </w:r>
                </w:p>
              </w:tc>
              <w:tc>
                <w:tcPr>
                  <w:tcW w:w="2037" w:type="dxa"/>
                  <w:vAlign w:val="center"/>
                </w:tcPr>
                <w:p w14:paraId="0B27F1FD">
                  <w:pPr>
                    <w:jc w:val="center"/>
                    <w:rPr>
                      <w:rFonts w:ascii="Times New Roman" w:hAnsi="Times New Roman" w:eastAsia="宋体" w:cs="Times New Roman"/>
                      <w:kern w:val="28"/>
                    </w:rPr>
                  </w:pPr>
                  <w:r>
                    <w:rPr>
                      <w:rFonts w:ascii="Times New Roman" w:hAnsi="Times New Roman" w:eastAsia="宋体" w:cs="Times New Roman"/>
                      <w:kern w:val="28"/>
                    </w:rPr>
                    <w:t>应急救援保障</w:t>
                  </w:r>
                </w:p>
              </w:tc>
              <w:tc>
                <w:tcPr>
                  <w:tcW w:w="5653" w:type="dxa"/>
                  <w:vAlign w:val="center"/>
                </w:tcPr>
                <w:p w14:paraId="167B2D16">
                  <w:pPr>
                    <w:rPr>
                      <w:rFonts w:ascii="Times New Roman" w:hAnsi="Times New Roman" w:eastAsia="宋体" w:cs="Times New Roman"/>
                      <w:kern w:val="28"/>
                    </w:rPr>
                  </w:pPr>
                  <w:r>
                    <w:rPr>
                      <w:rFonts w:ascii="Times New Roman" w:hAnsi="Times New Roman" w:eastAsia="宋体" w:cs="Times New Roman"/>
                      <w:kern w:val="28"/>
                    </w:rPr>
                    <w:t>倒水池、沙袋等</w:t>
                  </w:r>
                </w:p>
              </w:tc>
            </w:tr>
            <w:tr w14:paraId="412E4F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692" w:type="dxa"/>
                  <w:vAlign w:val="center"/>
                </w:tcPr>
                <w:p w14:paraId="7B97CFAA">
                  <w:pPr>
                    <w:jc w:val="center"/>
                    <w:rPr>
                      <w:rFonts w:ascii="Times New Roman" w:hAnsi="Times New Roman" w:eastAsia="宋体" w:cs="Times New Roman"/>
                      <w:kern w:val="28"/>
                    </w:rPr>
                  </w:pPr>
                  <w:r>
                    <w:rPr>
                      <w:rFonts w:ascii="Times New Roman" w:hAnsi="Times New Roman" w:eastAsia="宋体" w:cs="Times New Roman"/>
                      <w:kern w:val="28"/>
                    </w:rPr>
                    <w:t>5</w:t>
                  </w:r>
                </w:p>
              </w:tc>
              <w:tc>
                <w:tcPr>
                  <w:tcW w:w="2037" w:type="dxa"/>
                  <w:vAlign w:val="center"/>
                </w:tcPr>
                <w:p w14:paraId="0A06AED6">
                  <w:pPr>
                    <w:jc w:val="center"/>
                    <w:rPr>
                      <w:rFonts w:ascii="Times New Roman" w:hAnsi="Times New Roman" w:eastAsia="宋体" w:cs="Times New Roman"/>
                      <w:kern w:val="28"/>
                    </w:rPr>
                  </w:pPr>
                  <w:r>
                    <w:rPr>
                      <w:rFonts w:ascii="Times New Roman" w:hAnsi="Times New Roman" w:eastAsia="宋体" w:cs="Times New Roman"/>
                      <w:kern w:val="28"/>
                    </w:rPr>
                    <w:t>报警、通讯联络方式</w:t>
                  </w:r>
                </w:p>
              </w:tc>
              <w:tc>
                <w:tcPr>
                  <w:tcW w:w="5653" w:type="dxa"/>
                  <w:vAlign w:val="center"/>
                </w:tcPr>
                <w:p w14:paraId="3D6E07CE">
                  <w:pPr>
                    <w:rPr>
                      <w:rFonts w:ascii="Times New Roman" w:hAnsi="Times New Roman" w:eastAsia="宋体" w:cs="Times New Roman"/>
                      <w:kern w:val="28"/>
                    </w:rPr>
                  </w:pPr>
                  <w:r>
                    <w:rPr>
                      <w:rFonts w:ascii="Times New Roman" w:hAnsi="Times New Roman" w:eastAsia="宋体" w:cs="Times New Roman"/>
                      <w:kern w:val="28"/>
                    </w:rPr>
                    <w:t>规定应急状态下的报警通讯方式、通知方式和交通保障、管制</w:t>
                  </w:r>
                </w:p>
              </w:tc>
            </w:tr>
            <w:tr w14:paraId="7BD690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692" w:type="dxa"/>
                  <w:vAlign w:val="center"/>
                </w:tcPr>
                <w:p w14:paraId="28A4A17A">
                  <w:pPr>
                    <w:jc w:val="center"/>
                    <w:rPr>
                      <w:rFonts w:ascii="Times New Roman" w:hAnsi="Times New Roman" w:eastAsia="宋体" w:cs="Times New Roman"/>
                      <w:kern w:val="28"/>
                    </w:rPr>
                  </w:pPr>
                  <w:r>
                    <w:rPr>
                      <w:rFonts w:ascii="Times New Roman" w:hAnsi="Times New Roman" w:eastAsia="宋体" w:cs="Times New Roman"/>
                      <w:kern w:val="28"/>
                    </w:rPr>
                    <w:t>6</w:t>
                  </w:r>
                </w:p>
              </w:tc>
              <w:tc>
                <w:tcPr>
                  <w:tcW w:w="2037" w:type="dxa"/>
                  <w:vAlign w:val="center"/>
                </w:tcPr>
                <w:p w14:paraId="4ED385C2">
                  <w:pPr>
                    <w:jc w:val="center"/>
                    <w:rPr>
                      <w:rFonts w:ascii="Times New Roman" w:hAnsi="Times New Roman" w:eastAsia="宋体" w:cs="Times New Roman"/>
                      <w:kern w:val="28"/>
                    </w:rPr>
                  </w:pPr>
                  <w:r>
                    <w:rPr>
                      <w:rFonts w:ascii="Times New Roman" w:hAnsi="Times New Roman" w:eastAsia="宋体" w:cs="Times New Roman"/>
                      <w:kern w:val="28"/>
                    </w:rPr>
                    <w:t>应急环境监测、抢险、救援及控制措施</w:t>
                  </w:r>
                </w:p>
              </w:tc>
              <w:tc>
                <w:tcPr>
                  <w:tcW w:w="5653" w:type="dxa"/>
                  <w:vAlign w:val="center"/>
                </w:tcPr>
                <w:p w14:paraId="23BF4569">
                  <w:pPr>
                    <w:rPr>
                      <w:rFonts w:ascii="Times New Roman" w:hAnsi="Times New Roman" w:eastAsia="宋体" w:cs="Times New Roman"/>
                      <w:kern w:val="28"/>
                    </w:rPr>
                  </w:pPr>
                  <w:r>
                    <w:rPr>
                      <w:rFonts w:ascii="Times New Roman" w:hAnsi="Times New Roman" w:eastAsia="宋体" w:cs="Times New Roman"/>
                      <w:kern w:val="28"/>
                    </w:rPr>
                    <w:t>由市、区环境监测站负责对事故现场进行侦察监测，对事故性质、参数与后果进行评估，为指挥部门提供决策依据</w:t>
                  </w:r>
                </w:p>
              </w:tc>
            </w:tr>
            <w:tr w14:paraId="1DEAB8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692" w:type="dxa"/>
                  <w:vAlign w:val="center"/>
                </w:tcPr>
                <w:p w14:paraId="71642AA9">
                  <w:pPr>
                    <w:jc w:val="center"/>
                    <w:rPr>
                      <w:rFonts w:ascii="Times New Roman" w:hAnsi="Times New Roman" w:eastAsia="宋体" w:cs="Times New Roman"/>
                      <w:kern w:val="28"/>
                    </w:rPr>
                  </w:pPr>
                  <w:r>
                    <w:rPr>
                      <w:rFonts w:ascii="Times New Roman" w:hAnsi="Times New Roman" w:eastAsia="宋体" w:cs="Times New Roman"/>
                      <w:kern w:val="28"/>
                    </w:rPr>
                    <w:t>7</w:t>
                  </w:r>
                </w:p>
              </w:tc>
              <w:tc>
                <w:tcPr>
                  <w:tcW w:w="2037" w:type="dxa"/>
                  <w:vAlign w:val="center"/>
                </w:tcPr>
                <w:p w14:paraId="2AC58C28">
                  <w:pPr>
                    <w:jc w:val="center"/>
                    <w:rPr>
                      <w:rFonts w:ascii="Times New Roman" w:hAnsi="Times New Roman" w:eastAsia="宋体" w:cs="Times New Roman"/>
                      <w:kern w:val="28"/>
                    </w:rPr>
                  </w:pPr>
                  <w:r>
                    <w:rPr>
                      <w:rFonts w:ascii="Times New Roman" w:hAnsi="Times New Roman" w:eastAsia="宋体" w:cs="Times New Roman"/>
                      <w:kern w:val="28"/>
                    </w:rPr>
                    <w:t>应急检测、防护措施、清除泄漏措施和器材</w:t>
                  </w:r>
                </w:p>
              </w:tc>
              <w:tc>
                <w:tcPr>
                  <w:tcW w:w="5653" w:type="dxa"/>
                  <w:vAlign w:val="center"/>
                </w:tcPr>
                <w:p w14:paraId="779EB09F">
                  <w:pPr>
                    <w:rPr>
                      <w:rFonts w:ascii="Times New Roman" w:hAnsi="Times New Roman" w:eastAsia="宋体" w:cs="Times New Roman"/>
                      <w:kern w:val="28"/>
                    </w:rPr>
                  </w:pPr>
                  <w:r>
                    <w:rPr>
                      <w:rFonts w:ascii="Times New Roman" w:hAnsi="Times New Roman" w:eastAsia="宋体" w:cs="Times New Roman"/>
                      <w:kern w:val="28"/>
                    </w:rPr>
                    <w:t>事故现场、邻近区域，控制和清除污染措施及相应设备</w:t>
                  </w:r>
                </w:p>
              </w:tc>
            </w:tr>
            <w:tr w14:paraId="3B57A3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692" w:type="dxa"/>
                  <w:vAlign w:val="center"/>
                </w:tcPr>
                <w:p w14:paraId="50BA9FEE">
                  <w:pPr>
                    <w:jc w:val="center"/>
                    <w:rPr>
                      <w:rFonts w:ascii="Times New Roman" w:hAnsi="Times New Roman" w:eastAsia="宋体" w:cs="Times New Roman"/>
                      <w:kern w:val="28"/>
                    </w:rPr>
                  </w:pPr>
                  <w:r>
                    <w:rPr>
                      <w:rFonts w:ascii="Times New Roman" w:hAnsi="Times New Roman" w:eastAsia="宋体" w:cs="Times New Roman"/>
                      <w:kern w:val="28"/>
                    </w:rPr>
                    <w:t>8</w:t>
                  </w:r>
                </w:p>
              </w:tc>
              <w:tc>
                <w:tcPr>
                  <w:tcW w:w="2037" w:type="dxa"/>
                  <w:vAlign w:val="center"/>
                </w:tcPr>
                <w:p w14:paraId="22964F52">
                  <w:pPr>
                    <w:jc w:val="center"/>
                    <w:rPr>
                      <w:rFonts w:ascii="Times New Roman" w:hAnsi="Times New Roman" w:eastAsia="宋体" w:cs="Times New Roman"/>
                      <w:kern w:val="28"/>
                    </w:rPr>
                  </w:pPr>
                  <w:r>
                    <w:rPr>
                      <w:rFonts w:ascii="Times New Roman" w:hAnsi="Times New Roman" w:eastAsia="宋体" w:cs="Times New Roman"/>
                      <w:kern w:val="28"/>
                    </w:rPr>
                    <w:t>人员紧急撤离、疏散，应急剂量控制、撤离组织计划</w:t>
                  </w:r>
                </w:p>
              </w:tc>
              <w:tc>
                <w:tcPr>
                  <w:tcW w:w="5653" w:type="dxa"/>
                  <w:vAlign w:val="center"/>
                </w:tcPr>
                <w:p w14:paraId="7B6DB8CE">
                  <w:pPr>
                    <w:rPr>
                      <w:rFonts w:ascii="Times New Roman" w:hAnsi="Times New Roman" w:eastAsia="宋体" w:cs="Times New Roman"/>
                      <w:kern w:val="28"/>
                    </w:rPr>
                  </w:pPr>
                  <w:r>
                    <w:rPr>
                      <w:rFonts w:ascii="Times New Roman" w:hAnsi="Times New Roman" w:eastAsia="宋体" w:cs="Times New Roman"/>
                      <w:kern w:val="28"/>
                    </w:rPr>
                    <w:t>事故现场、项目邻近区、</w:t>
                  </w:r>
                  <w:r>
                    <w:rPr>
                      <w:rFonts w:hint="eastAsia" w:ascii="Times New Roman" w:hAnsi="Times New Roman" w:eastAsia="宋体" w:cs="Times New Roman"/>
                      <w:kern w:val="28"/>
                    </w:rPr>
                    <w:t>白沙河</w:t>
                  </w:r>
                  <w:r>
                    <w:rPr>
                      <w:rFonts w:ascii="Times New Roman" w:hAnsi="Times New Roman" w:eastAsia="宋体" w:cs="Times New Roman"/>
                      <w:kern w:val="28"/>
                    </w:rPr>
                    <w:t>水质控制规定</w:t>
                  </w:r>
                </w:p>
              </w:tc>
            </w:tr>
            <w:tr w14:paraId="7F1BDF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692" w:type="dxa"/>
                  <w:vAlign w:val="center"/>
                </w:tcPr>
                <w:p w14:paraId="2C2D4DCD">
                  <w:pPr>
                    <w:jc w:val="center"/>
                    <w:rPr>
                      <w:rFonts w:ascii="Times New Roman" w:hAnsi="Times New Roman" w:eastAsia="宋体" w:cs="Times New Roman"/>
                      <w:kern w:val="28"/>
                    </w:rPr>
                  </w:pPr>
                  <w:r>
                    <w:rPr>
                      <w:rFonts w:ascii="Times New Roman" w:hAnsi="Times New Roman" w:eastAsia="宋体" w:cs="Times New Roman"/>
                      <w:kern w:val="28"/>
                    </w:rPr>
                    <w:t>9</w:t>
                  </w:r>
                </w:p>
              </w:tc>
              <w:tc>
                <w:tcPr>
                  <w:tcW w:w="2037" w:type="dxa"/>
                  <w:vAlign w:val="center"/>
                </w:tcPr>
                <w:p w14:paraId="610E840B">
                  <w:pPr>
                    <w:jc w:val="center"/>
                    <w:rPr>
                      <w:rFonts w:ascii="Times New Roman" w:hAnsi="Times New Roman" w:eastAsia="宋体" w:cs="Times New Roman"/>
                      <w:kern w:val="28"/>
                    </w:rPr>
                  </w:pPr>
                  <w:r>
                    <w:rPr>
                      <w:rFonts w:ascii="Times New Roman" w:hAnsi="Times New Roman" w:eastAsia="宋体" w:cs="Times New Roman"/>
                      <w:kern w:val="28"/>
                    </w:rPr>
                    <w:t>事故应急救援关闭程序与恢复措施</w:t>
                  </w:r>
                </w:p>
              </w:tc>
              <w:tc>
                <w:tcPr>
                  <w:tcW w:w="5653" w:type="dxa"/>
                  <w:vAlign w:val="center"/>
                </w:tcPr>
                <w:p w14:paraId="04EC7A48">
                  <w:pPr>
                    <w:rPr>
                      <w:rFonts w:ascii="Times New Roman" w:hAnsi="Times New Roman" w:eastAsia="宋体" w:cs="Times New Roman"/>
                      <w:kern w:val="28"/>
                    </w:rPr>
                  </w:pPr>
                  <w:r>
                    <w:rPr>
                      <w:rFonts w:ascii="Times New Roman" w:hAnsi="Times New Roman" w:eastAsia="宋体" w:cs="Times New Roman"/>
                      <w:kern w:val="28"/>
                    </w:rPr>
                    <w:t>规定应急状态终止程序事故现场善后处理，恢复措施邻近区域解除事故警戒及善后恢复措施</w:t>
                  </w:r>
                </w:p>
              </w:tc>
            </w:tr>
            <w:tr w14:paraId="636C1D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692" w:type="dxa"/>
                  <w:vAlign w:val="center"/>
                </w:tcPr>
                <w:p w14:paraId="6B52107E">
                  <w:pPr>
                    <w:jc w:val="center"/>
                    <w:rPr>
                      <w:rFonts w:ascii="Times New Roman" w:hAnsi="Times New Roman" w:eastAsia="宋体" w:cs="Times New Roman"/>
                      <w:kern w:val="28"/>
                    </w:rPr>
                  </w:pPr>
                  <w:r>
                    <w:rPr>
                      <w:rFonts w:ascii="Times New Roman" w:hAnsi="Times New Roman" w:eastAsia="宋体" w:cs="Times New Roman"/>
                      <w:kern w:val="28"/>
                    </w:rPr>
                    <w:t>10</w:t>
                  </w:r>
                </w:p>
              </w:tc>
              <w:tc>
                <w:tcPr>
                  <w:tcW w:w="2037" w:type="dxa"/>
                  <w:vAlign w:val="center"/>
                </w:tcPr>
                <w:p w14:paraId="464FA04B">
                  <w:pPr>
                    <w:jc w:val="center"/>
                    <w:rPr>
                      <w:rFonts w:ascii="Times New Roman" w:hAnsi="Times New Roman" w:eastAsia="宋体" w:cs="Times New Roman"/>
                      <w:kern w:val="28"/>
                    </w:rPr>
                  </w:pPr>
                  <w:r>
                    <w:rPr>
                      <w:rFonts w:ascii="Times New Roman" w:hAnsi="Times New Roman" w:eastAsia="宋体" w:cs="Times New Roman"/>
                      <w:kern w:val="28"/>
                    </w:rPr>
                    <w:t>应急培训计划</w:t>
                  </w:r>
                </w:p>
              </w:tc>
              <w:tc>
                <w:tcPr>
                  <w:tcW w:w="5653" w:type="dxa"/>
                  <w:vAlign w:val="center"/>
                </w:tcPr>
                <w:p w14:paraId="77C53416">
                  <w:pPr>
                    <w:rPr>
                      <w:rFonts w:ascii="Times New Roman" w:hAnsi="Times New Roman" w:eastAsia="宋体" w:cs="Times New Roman"/>
                      <w:kern w:val="28"/>
                    </w:rPr>
                  </w:pPr>
                  <w:r>
                    <w:rPr>
                      <w:rFonts w:ascii="Times New Roman" w:hAnsi="Times New Roman" w:eastAsia="宋体" w:cs="Times New Roman"/>
                      <w:kern w:val="28"/>
                    </w:rPr>
                    <w:t>应急计划制定后，平时安排人员培训与演练</w:t>
                  </w:r>
                </w:p>
              </w:tc>
            </w:tr>
            <w:tr w14:paraId="50F648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692" w:type="dxa"/>
                  <w:vAlign w:val="center"/>
                </w:tcPr>
                <w:p w14:paraId="45C17FAC">
                  <w:pPr>
                    <w:jc w:val="center"/>
                    <w:rPr>
                      <w:rFonts w:ascii="Times New Roman" w:hAnsi="Times New Roman" w:eastAsia="宋体" w:cs="Times New Roman"/>
                      <w:kern w:val="28"/>
                    </w:rPr>
                  </w:pPr>
                  <w:r>
                    <w:rPr>
                      <w:rFonts w:ascii="Times New Roman" w:hAnsi="Times New Roman" w:eastAsia="宋体" w:cs="Times New Roman"/>
                      <w:kern w:val="28"/>
                    </w:rPr>
                    <w:t>11</w:t>
                  </w:r>
                </w:p>
              </w:tc>
              <w:tc>
                <w:tcPr>
                  <w:tcW w:w="2037" w:type="dxa"/>
                  <w:vAlign w:val="center"/>
                </w:tcPr>
                <w:p w14:paraId="2B4BB6A9">
                  <w:pPr>
                    <w:jc w:val="center"/>
                    <w:rPr>
                      <w:rFonts w:ascii="Times New Roman" w:hAnsi="Times New Roman" w:eastAsia="宋体" w:cs="Times New Roman"/>
                      <w:kern w:val="28"/>
                    </w:rPr>
                  </w:pPr>
                  <w:r>
                    <w:rPr>
                      <w:rFonts w:ascii="Times New Roman" w:hAnsi="Times New Roman" w:eastAsia="宋体" w:cs="Times New Roman"/>
                      <w:kern w:val="28"/>
                    </w:rPr>
                    <w:t>公众教育和信息</w:t>
                  </w:r>
                </w:p>
              </w:tc>
              <w:tc>
                <w:tcPr>
                  <w:tcW w:w="5653" w:type="dxa"/>
                  <w:vAlign w:val="center"/>
                </w:tcPr>
                <w:p w14:paraId="12AB4EAF">
                  <w:pPr>
                    <w:rPr>
                      <w:rFonts w:ascii="Times New Roman" w:hAnsi="Times New Roman" w:eastAsia="宋体" w:cs="Times New Roman"/>
                      <w:kern w:val="28"/>
                    </w:rPr>
                  </w:pPr>
                  <w:r>
                    <w:rPr>
                      <w:rFonts w:ascii="Times New Roman" w:hAnsi="Times New Roman" w:eastAsia="宋体" w:cs="Times New Roman"/>
                      <w:kern w:val="28"/>
                    </w:rPr>
                    <w:t>对项目邻近地区开展公众教育、培训和发布有关信息</w:t>
                  </w:r>
                </w:p>
              </w:tc>
            </w:tr>
            <w:tr w14:paraId="5258B1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692" w:type="dxa"/>
                  <w:vAlign w:val="center"/>
                </w:tcPr>
                <w:p w14:paraId="1348F1F5">
                  <w:pPr>
                    <w:jc w:val="center"/>
                    <w:rPr>
                      <w:rFonts w:ascii="Times New Roman" w:hAnsi="Times New Roman" w:eastAsia="宋体" w:cs="Times New Roman"/>
                      <w:kern w:val="28"/>
                    </w:rPr>
                  </w:pPr>
                  <w:r>
                    <w:rPr>
                      <w:rFonts w:ascii="Times New Roman" w:hAnsi="Times New Roman" w:eastAsia="宋体" w:cs="Times New Roman"/>
                      <w:kern w:val="28"/>
                    </w:rPr>
                    <w:t>12</w:t>
                  </w:r>
                </w:p>
              </w:tc>
              <w:tc>
                <w:tcPr>
                  <w:tcW w:w="2037" w:type="dxa"/>
                  <w:vAlign w:val="center"/>
                </w:tcPr>
                <w:p w14:paraId="7076FD19">
                  <w:pPr>
                    <w:jc w:val="center"/>
                    <w:rPr>
                      <w:rFonts w:ascii="Times New Roman" w:hAnsi="Times New Roman" w:eastAsia="宋体" w:cs="Times New Roman"/>
                      <w:kern w:val="28"/>
                    </w:rPr>
                  </w:pPr>
                  <w:r>
                    <w:rPr>
                      <w:rFonts w:ascii="Times New Roman" w:hAnsi="Times New Roman" w:eastAsia="宋体" w:cs="Times New Roman"/>
                      <w:kern w:val="28"/>
                    </w:rPr>
                    <w:t>记录和报告</w:t>
                  </w:r>
                </w:p>
              </w:tc>
              <w:tc>
                <w:tcPr>
                  <w:tcW w:w="5653" w:type="dxa"/>
                  <w:vAlign w:val="center"/>
                </w:tcPr>
                <w:p w14:paraId="1FD891A9">
                  <w:pPr>
                    <w:rPr>
                      <w:rFonts w:ascii="Times New Roman" w:hAnsi="Times New Roman" w:eastAsia="宋体" w:cs="Times New Roman"/>
                      <w:kern w:val="28"/>
                    </w:rPr>
                  </w:pPr>
                  <w:r>
                    <w:rPr>
                      <w:rFonts w:ascii="Times New Roman" w:hAnsi="Times New Roman" w:eastAsia="宋体" w:cs="Times New Roman"/>
                      <w:kern w:val="28"/>
                    </w:rPr>
                    <w:t>设置环境风险事故应急处置记录，建立档案和报告制度，设专门人员负责管理。</w:t>
                  </w:r>
                </w:p>
              </w:tc>
            </w:tr>
            <w:tr w14:paraId="7D2146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692" w:type="dxa"/>
                  <w:vAlign w:val="center"/>
                </w:tcPr>
                <w:p w14:paraId="2F978815">
                  <w:pPr>
                    <w:jc w:val="center"/>
                    <w:rPr>
                      <w:rFonts w:ascii="Times New Roman" w:hAnsi="Times New Roman" w:eastAsia="宋体" w:cs="Times New Roman"/>
                      <w:kern w:val="28"/>
                    </w:rPr>
                  </w:pPr>
                  <w:r>
                    <w:rPr>
                      <w:rFonts w:ascii="Times New Roman" w:hAnsi="Times New Roman" w:eastAsia="宋体" w:cs="Times New Roman"/>
                      <w:kern w:val="28"/>
                    </w:rPr>
                    <w:t>13</w:t>
                  </w:r>
                </w:p>
              </w:tc>
              <w:tc>
                <w:tcPr>
                  <w:tcW w:w="2037" w:type="dxa"/>
                  <w:vAlign w:val="center"/>
                </w:tcPr>
                <w:p w14:paraId="634C59AE">
                  <w:pPr>
                    <w:jc w:val="center"/>
                    <w:rPr>
                      <w:rFonts w:ascii="Times New Roman" w:hAnsi="Times New Roman" w:eastAsia="宋体" w:cs="Times New Roman"/>
                      <w:kern w:val="28"/>
                    </w:rPr>
                  </w:pPr>
                  <w:r>
                    <w:rPr>
                      <w:rFonts w:ascii="Times New Roman" w:hAnsi="Times New Roman" w:eastAsia="宋体" w:cs="Times New Roman"/>
                      <w:kern w:val="28"/>
                    </w:rPr>
                    <w:t>附件</w:t>
                  </w:r>
                </w:p>
              </w:tc>
              <w:tc>
                <w:tcPr>
                  <w:tcW w:w="5653" w:type="dxa"/>
                  <w:vAlign w:val="center"/>
                </w:tcPr>
                <w:p w14:paraId="03195011">
                  <w:pPr>
                    <w:rPr>
                      <w:rFonts w:ascii="Times New Roman" w:hAnsi="Times New Roman" w:eastAsia="宋体" w:cs="Times New Roman"/>
                      <w:kern w:val="28"/>
                    </w:rPr>
                  </w:pPr>
                  <w:r>
                    <w:rPr>
                      <w:rFonts w:ascii="Times New Roman" w:hAnsi="Times New Roman" w:eastAsia="宋体" w:cs="Times New Roman"/>
                      <w:kern w:val="28"/>
                    </w:rPr>
                    <w:t>拟建主要负责人联系方式、主要医院联系方式、平面布置图纸、基建图、管线布置图、环保、安监和消防部门联系方式。</w:t>
                  </w:r>
                </w:p>
              </w:tc>
            </w:tr>
          </w:tbl>
          <w:p w14:paraId="008F5BA4">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（1）应急组织机构、人员</w:t>
            </w:r>
          </w:p>
          <w:p w14:paraId="16BB5ADA">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本公司应设立事故应急指挥部，指挥由总经理担任。指挥部下按各自职责设立应急防治小组：清污组、通信组、工艺组、警戒组、物资供应组、现场救护组、设备保障组、防火组、污染处理组。</w:t>
            </w:r>
          </w:p>
          <w:p w14:paraId="2C99207C">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应急指挥部主要职责：组织制定、审批并发布应急预案；组织指挥污染的控制与清除；审核和批准使用清污技术和设备；下达预案实施命令，向上级部门汇报情况，和有关单位保持联系；发生较大规模事故时，做出请求乐山市协助的决策；及时组织消防力量，防止沼气系统爆炸火灾的发生；及时安排人员，进行现场医疗救护；组织培训和演习；安排人员对设备进行维护保养；及时组织应急预案的修订。</w:t>
            </w:r>
          </w:p>
          <w:p w14:paraId="097FF860">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（2）预案分级响应条件</w:t>
            </w:r>
          </w:p>
          <w:p w14:paraId="0D682301">
            <w:pPr>
              <w:spacing w:line="480" w:lineRule="exact"/>
              <w:ind w:firstLine="480" w:firstLineChars="200"/>
              <w:rPr>
                <w:rFonts w:ascii="Times New Roman" w:hAnsi="Times New Roman" w:eastAsia="宋体" w:cs="Times New Roman"/>
                <w:b/>
                <w:sz w:val="24"/>
                <w:szCs w:val="24"/>
              </w:rPr>
            </w:pPr>
            <w:r>
              <w:rPr>
                <w:rFonts w:ascii="Times New Roman" w:hAnsi="Times New Roman" w:eastAsia="宋体" w:cs="Times New Roman"/>
                <w:sz w:val="24"/>
                <w:szCs w:val="24"/>
              </w:rPr>
              <w:t>本预案适用于应急处理本厂</w:t>
            </w:r>
            <w:r>
              <w:rPr>
                <w:rFonts w:hint="eastAsia" w:ascii="Times New Roman" w:hAnsi="Times New Roman" w:eastAsia="宋体" w:cs="Times New Roman"/>
                <w:sz w:val="24"/>
                <w:szCs w:val="24"/>
              </w:rPr>
              <w:t>危险化学品、</w:t>
            </w:r>
            <w:r>
              <w:rPr>
                <w:rFonts w:ascii="Times New Roman" w:hAnsi="Times New Roman" w:eastAsia="宋体" w:cs="Times New Roman"/>
                <w:sz w:val="24"/>
                <w:szCs w:val="24"/>
              </w:rPr>
              <w:t>废水泄漏事故，能在短时间内控制、清除污染的设备和能力</w:t>
            </w:r>
            <w:r>
              <w:rPr>
                <w:rFonts w:ascii="Times New Roman" w:hAnsi="Times New Roman" w:eastAsia="宋体" w:cs="Times New Roman"/>
                <w:bCs/>
                <w:sz w:val="24"/>
                <w:szCs w:val="24"/>
              </w:rPr>
              <w:t>。</w:t>
            </w:r>
          </w:p>
          <w:p w14:paraId="6F1387F5">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（3）应急防治设备</w:t>
            </w:r>
          </w:p>
          <w:p w14:paraId="5B53B91A">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按要求配备必要的防护用具，如防毒面具，氧气呼吸器和其它安全用具，以便发生事故时可及时进入现场，及时处理事故。</w:t>
            </w:r>
          </w:p>
          <w:p w14:paraId="35F0FCAD">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（4）报警、通讯联络方式</w:t>
            </w:r>
          </w:p>
          <w:p w14:paraId="791A57B4">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应制定应急联系体系，明确具体联系人员、联系电话。任何部门和岗位人员，发现废水事故应立即向应急指挥部报告。现场的组织指挥人员应将详细情况及时向应急指挥部报告。当发生大规模事故时，应急指挥部应及时将事故情况向上级有关部门和当地环保局报告或通报。</w:t>
            </w:r>
          </w:p>
          <w:p w14:paraId="02A392F3">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（5）应急反应行动程序</w:t>
            </w:r>
          </w:p>
          <w:p w14:paraId="58491FCF">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收集必要信息：目击时间、位置、泄漏源、泄漏原因、数量以及进一步泄漏的可能性，已采取和即将采取的清除污染或防止进一步污染的行动、报告人的姓名和联系办法。</w:t>
            </w:r>
          </w:p>
          <w:p w14:paraId="08563680">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对事故进行初步评估，确定应急等级；制定应急反应对策和行动方案（包括信息发布和区域协作等）；指派指挥人员赴现场；通知各防治小组做好准备。</w:t>
            </w:r>
          </w:p>
          <w:p w14:paraId="6E757F00">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采取的行动：发出事故报警或紧急通报，用电话和传真通知有关政府部门和企业；向上级或有关部门报告；起草泄漏影响范围情况报告；安排后勤保障；估计废水扩散流动方向；判别受威胁的敏感水域；通知可能受威胁的用水单位。</w:t>
            </w:r>
          </w:p>
          <w:p w14:paraId="2C960D2D">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执行清除作业；指定人员做好相关记录；适时发布终止作业的命令和解除警报。</w:t>
            </w:r>
          </w:p>
          <w:p w14:paraId="138439AA">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（6）应急关闭程序</w:t>
            </w:r>
          </w:p>
          <w:p w14:paraId="52A4D8B8">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符合下列条件之一的，终止应急行动：事件现场得到控制，事件条件已经消除；污染源的泄漏或释放已降至规定限值以内；事件所造成的危害已被彻底消除，无续发可能；事件现场的各种专业应急处置行动已无继续的必要；采取了必要的防护措施已能保证公众免受再次危害，并使事件可能引起的中长期影响趋于合理且尽量低的水平。</w:t>
            </w:r>
          </w:p>
          <w:p w14:paraId="191AD9E5">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（7）应急培训计划</w:t>
            </w:r>
          </w:p>
          <w:p w14:paraId="3625F1DF">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为了确保应急计划的有效性和可操作性，必须预先对计划中所涉及的人员、设备器材进行训练和护保养，使参加应急行动的每人都能做到应知应会、熟练掌握。</w:t>
            </w:r>
          </w:p>
          <w:p w14:paraId="68BCBD05">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每年定期组织应急人员培训，使受培训人员能掌握使用和维护、保养各种应急设备和器材，并具有在指挥人员指导下完成应急反应的能力。</w:t>
            </w:r>
          </w:p>
          <w:p w14:paraId="2BAC4DD2">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每1～2年进行一次应急演习，在模拟的事故状态下，检查应急机构，应急队伍，应急设备和器材，应急通讯等各方面的实战能力。通过演习，发现工作中薄弱环节，并修改、完善应急计划。演习分室内演习和现场实地模拟事故演习。</w:t>
            </w:r>
          </w:p>
          <w:p w14:paraId="0C324570">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（8）结论</w:t>
            </w:r>
          </w:p>
          <w:p w14:paraId="7F9E8C7C">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经识别，本项目主要环境风险为项目厂区</w:t>
            </w:r>
            <w:r>
              <w:rPr>
                <w:rFonts w:hint="eastAsia" w:ascii="Times New Roman" w:hAnsi="Times New Roman" w:eastAsia="宋体" w:cs="Times New Roman"/>
                <w:sz w:val="24"/>
                <w:szCs w:val="24"/>
              </w:rPr>
              <w:t>废水处理设施</w:t>
            </w:r>
            <w:r>
              <w:rPr>
                <w:rFonts w:ascii="Times New Roman" w:hAnsi="Times New Roman" w:eastAsia="宋体" w:cs="Times New Roman"/>
                <w:sz w:val="24"/>
                <w:szCs w:val="24"/>
              </w:rPr>
              <w:t>发生事故及危险物质泄露</w:t>
            </w:r>
            <w:r>
              <w:rPr>
                <w:rFonts w:hint="eastAsia" w:ascii="Times New Roman" w:hAnsi="Times New Roman" w:eastAsia="宋体" w:cs="Times New Roman"/>
                <w:sz w:val="24"/>
                <w:szCs w:val="24"/>
              </w:rPr>
              <w:t>、</w:t>
            </w:r>
            <w:r>
              <w:rPr>
                <w:rFonts w:ascii="Times New Roman" w:hAnsi="Times New Roman" w:eastAsia="宋体" w:cs="Times New Roman"/>
                <w:sz w:val="24"/>
                <w:szCs w:val="24"/>
              </w:rPr>
              <w:t>化学品泄漏等对人体健康产生危害。建设单位应通过实施各项防范措施和应急措施，防范风险事故发生。综上所述，本项目的环境风险防范措施合理可行，风险水平属于可以接受的范畴。</w:t>
            </w:r>
          </w:p>
          <w:p w14:paraId="00807719">
            <w:pPr>
              <w:spacing w:line="480" w:lineRule="exact"/>
              <w:jc w:val="center"/>
              <w:rPr>
                <w:rFonts w:ascii="Times New Roman" w:hAnsi="Times New Roman" w:eastAsia="宋体" w:cs="Times New Roman"/>
                <w:bCs/>
                <w:sz w:val="24"/>
              </w:rPr>
            </w:pPr>
            <w:r>
              <w:rPr>
                <w:rFonts w:ascii="Times New Roman" w:hAnsi="Times New Roman" w:eastAsia="宋体" w:cs="Times New Roman"/>
                <w:bCs/>
                <w:sz w:val="24"/>
              </w:rPr>
              <w:t>表7-28  建设项目环境风险简单分析内容表</w:t>
            </w:r>
          </w:p>
          <w:tbl>
            <w:tblPr>
              <w:tblStyle w:val="26"/>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52"/>
              <w:gridCol w:w="1696"/>
              <w:gridCol w:w="1433"/>
              <w:gridCol w:w="1113"/>
              <w:gridCol w:w="989"/>
              <w:gridCol w:w="1499"/>
            </w:tblGrid>
            <w:tr w14:paraId="787057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937" w:type="pct"/>
                  <w:vAlign w:val="center"/>
                </w:tcPr>
                <w:p w14:paraId="5B65ABE8">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建设项目名称</w:t>
                  </w:r>
                </w:p>
              </w:tc>
              <w:tc>
                <w:tcPr>
                  <w:tcW w:w="4063" w:type="pct"/>
                  <w:gridSpan w:val="5"/>
                  <w:vAlign w:val="center"/>
                </w:tcPr>
                <w:p w14:paraId="6680DB77">
                  <w:pPr>
                    <w:autoSpaceDE w:val="0"/>
                    <w:autoSpaceDN w:val="0"/>
                    <w:adjustRightInd w:val="0"/>
                    <w:jc w:val="center"/>
                    <w:rPr>
                      <w:rFonts w:ascii="Times New Roman" w:hAnsi="Times New Roman" w:eastAsia="宋体" w:cs="Times New Roman"/>
                      <w:kern w:val="0"/>
                      <w:szCs w:val="21"/>
                    </w:rPr>
                  </w:pPr>
                  <w:r>
                    <w:rPr>
                      <w:rFonts w:hint="eastAsia" w:ascii="Times New Roman" w:hAnsi="Times New Roman" w:eastAsia="宋体" w:cs="Times New Roman"/>
                      <w:bCs/>
                      <w:lang w:eastAsia="zh-CN"/>
                    </w:rPr>
                    <w:t>峨边彝族自治县</w:t>
                  </w:r>
                  <w:r>
                    <w:rPr>
                      <w:rFonts w:hint="eastAsia" w:ascii="Times New Roman" w:hAnsi="Times New Roman" w:eastAsia="宋体" w:cs="Times New Roman"/>
                      <w:bCs/>
                    </w:rPr>
                    <w:t>建筑垃圾资源化回收利用项目</w:t>
                  </w:r>
                </w:p>
              </w:tc>
            </w:tr>
            <w:tr w14:paraId="351705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937" w:type="pct"/>
                  <w:vAlign w:val="center"/>
                </w:tcPr>
                <w:p w14:paraId="08C73F26">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建设地点</w:t>
                  </w:r>
                </w:p>
              </w:tc>
              <w:tc>
                <w:tcPr>
                  <w:tcW w:w="1024" w:type="pct"/>
                  <w:vAlign w:val="center"/>
                </w:tcPr>
                <w:p w14:paraId="5ECE50AC">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四川省</w:t>
                  </w:r>
                </w:p>
              </w:tc>
              <w:tc>
                <w:tcPr>
                  <w:tcW w:w="865" w:type="pct"/>
                  <w:vAlign w:val="center"/>
                </w:tcPr>
                <w:p w14:paraId="2BF9B558">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乐山市</w:t>
                  </w:r>
                </w:p>
              </w:tc>
              <w:tc>
                <w:tcPr>
                  <w:tcW w:w="672" w:type="pct"/>
                  <w:vAlign w:val="center"/>
                </w:tcPr>
                <w:p w14:paraId="25AEC929">
                  <w:pPr>
                    <w:autoSpaceDE w:val="0"/>
                    <w:autoSpaceDN w:val="0"/>
                    <w:adjustRightInd w:val="0"/>
                    <w:jc w:val="center"/>
                    <w:rPr>
                      <w:rFonts w:ascii="Times New Roman" w:hAnsi="Times New Roman" w:eastAsia="宋体" w:cs="Times New Roman"/>
                      <w:kern w:val="0"/>
                      <w:szCs w:val="21"/>
                    </w:rPr>
                  </w:pPr>
                  <w:r>
                    <w:rPr>
                      <w:rFonts w:hint="eastAsia" w:ascii="Times New Roman" w:hAnsi="Times New Roman" w:eastAsia="宋体" w:cs="Times New Roman"/>
                      <w:szCs w:val="24"/>
                    </w:rPr>
                    <w:t>峨边彝族自治县</w:t>
                  </w:r>
                </w:p>
              </w:tc>
              <w:tc>
                <w:tcPr>
                  <w:tcW w:w="597" w:type="pct"/>
                  <w:vAlign w:val="center"/>
                </w:tcPr>
                <w:p w14:paraId="3D67FBB7">
                  <w:pPr>
                    <w:autoSpaceDE w:val="0"/>
                    <w:autoSpaceDN w:val="0"/>
                    <w:adjustRightInd w:val="0"/>
                    <w:jc w:val="center"/>
                    <w:rPr>
                      <w:rFonts w:ascii="Times New Roman" w:hAnsi="Times New Roman" w:eastAsia="宋体" w:cs="Times New Roman"/>
                      <w:kern w:val="0"/>
                      <w:szCs w:val="21"/>
                    </w:rPr>
                  </w:pPr>
                  <w:r>
                    <w:rPr>
                      <w:rFonts w:hint="eastAsia" w:ascii="Times New Roman" w:hAnsi="Times New Roman" w:eastAsia="宋体" w:cs="Times New Roman"/>
                      <w:szCs w:val="24"/>
                    </w:rPr>
                    <w:t>新林镇</w:t>
                  </w:r>
                </w:p>
              </w:tc>
              <w:tc>
                <w:tcPr>
                  <w:tcW w:w="905" w:type="pct"/>
                  <w:vAlign w:val="center"/>
                </w:tcPr>
                <w:p w14:paraId="593082CE">
                  <w:pPr>
                    <w:autoSpaceDE w:val="0"/>
                    <w:autoSpaceDN w:val="0"/>
                    <w:adjustRightInd w:val="0"/>
                    <w:jc w:val="center"/>
                    <w:rPr>
                      <w:rFonts w:ascii="Times New Roman" w:hAnsi="Times New Roman" w:eastAsia="宋体" w:cs="Times New Roman"/>
                      <w:kern w:val="0"/>
                      <w:szCs w:val="21"/>
                    </w:rPr>
                  </w:pPr>
                  <w:r>
                    <w:rPr>
                      <w:rFonts w:hint="eastAsia" w:ascii="Times New Roman" w:hAnsi="Times New Roman" w:eastAsia="宋体" w:cs="Times New Roman"/>
                      <w:szCs w:val="24"/>
                    </w:rPr>
                    <w:t>卷木村</w:t>
                  </w:r>
                </w:p>
              </w:tc>
            </w:tr>
            <w:tr w14:paraId="3123B1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937" w:type="pct"/>
                  <w:vAlign w:val="center"/>
                </w:tcPr>
                <w:p w14:paraId="4F2EA893">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地理坐标</w:t>
                  </w:r>
                </w:p>
              </w:tc>
              <w:tc>
                <w:tcPr>
                  <w:tcW w:w="1024" w:type="pct"/>
                  <w:vAlign w:val="center"/>
                </w:tcPr>
                <w:p w14:paraId="4C05FAB3">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经度</w:t>
                  </w:r>
                </w:p>
              </w:tc>
              <w:tc>
                <w:tcPr>
                  <w:tcW w:w="865" w:type="pct"/>
                  <w:vAlign w:val="center"/>
                </w:tcPr>
                <w:p w14:paraId="1C6F8311">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szCs w:val="24"/>
                    </w:rPr>
                    <w:t>103.2309°</w:t>
                  </w:r>
                </w:p>
              </w:tc>
              <w:tc>
                <w:tcPr>
                  <w:tcW w:w="672" w:type="pct"/>
                  <w:vAlign w:val="center"/>
                </w:tcPr>
                <w:p w14:paraId="7D03D513">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纬度</w:t>
                  </w:r>
                </w:p>
              </w:tc>
              <w:tc>
                <w:tcPr>
                  <w:tcW w:w="1502" w:type="pct"/>
                  <w:gridSpan w:val="2"/>
                  <w:vAlign w:val="center"/>
                </w:tcPr>
                <w:p w14:paraId="1712390F">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szCs w:val="24"/>
                    </w:rPr>
                    <w:t>29.1976°</w:t>
                  </w:r>
                </w:p>
              </w:tc>
            </w:tr>
            <w:tr w14:paraId="4AF724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937" w:type="pct"/>
                  <w:vAlign w:val="center"/>
                </w:tcPr>
                <w:p w14:paraId="4158307A">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主要危险物质及分布</w:t>
                  </w:r>
                </w:p>
              </w:tc>
              <w:tc>
                <w:tcPr>
                  <w:tcW w:w="4063" w:type="pct"/>
                  <w:gridSpan w:val="5"/>
                  <w:vAlign w:val="center"/>
                </w:tcPr>
                <w:p w14:paraId="6F487D2D">
                  <w:pPr>
                    <w:autoSpaceDE w:val="0"/>
                    <w:autoSpaceDN w:val="0"/>
                    <w:adjustRightInd w:val="0"/>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危险化学品泄漏、废水事故排放、</w:t>
                  </w:r>
                  <w:r>
                    <w:rPr>
                      <w:rFonts w:ascii="Times New Roman" w:hAnsi="Times New Roman" w:eastAsia="宋体" w:cs="Times New Roman"/>
                      <w:kern w:val="0"/>
                      <w:szCs w:val="21"/>
                    </w:rPr>
                    <w:t>设备故障</w:t>
                  </w:r>
                  <w:r>
                    <w:rPr>
                      <w:rFonts w:hint="eastAsia" w:ascii="Times New Roman" w:hAnsi="Times New Roman" w:eastAsia="宋体" w:cs="Times New Roman"/>
                      <w:kern w:val="0"/>
                      <w:szCs w:val="21"/>
                    </w:rPr>
                    <w:t>、</w:t>
                  </w:r>
                  <w:r>
                    <w:rPr>
                      <w:rFonts w:ascii="Times New Roman" w:hAnsi="Times New Roman" w:eastAsia="宋体" w:cs="Times New Roman"/>
                      <w:kern w:val="0"/>
                      <w:szCs w:val="21"/>
                    </w:rPr>
                    <w:t>火灾</w:t>
                  </w:r>
                  <w:r>
                    <w:rPr>
                      <w:rFonts w:hint="eastAsia" w:ascii="Times New Roman" w:hAnsi="Times New Roman" w:eastAsia="宋体" w:cs="Times New Roman"/>
                      <w:kern w:val="0"/>
                      <w:szCs w:val="21"/>
                    </w:rPr>
                    <w:t>等</w:t>
                  </w:r>
                </w:p>
              </w:tc>
            </w:tr>
            <w:tr w14:paraId="7BA365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937" w:type="pct"/>
                  <w:vAlign w:val="center"/>
                </w:tcPr>
                <w:p w14:paraId="064AC2D5">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环境影响途径及危害后果</w:t>
                  </w:r>
                </w:p>
              </w:tc>
              <w:tc>
                <w:tcPr>
                  <w:tcW w:w="4063" w:type="pct"/>
                  <w:gridSpan w:val="5"/>
                  <w:vAlign w:val="center"/>
                </w:tcPr>
                <w:p w14:paraId="7D21255D">
                  <w:pPr>
                    <w:adjustRightInd w:val="0"/>
                    <w:snapToGrid w:val="0"/>
                    <w:spacing w:line="320" w:lineRule="exact"/>
                    <w:jc w:val="left"/>
                    <w:rPr>
                      <w:rFonts w:ascii="Times New Roman" w:hAnsi="Times New Roman" w:eastAsia="宋体" w:cs="Times New Roman"/>
                      <w:szCs w:val="21"/>
                    </w:rPr>
                  </w:pP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1 \* GB3</w:instrText>
                  </w:r>
                  <w:r>
                    <w:rPr>
                      <w:rFonts w:ascii="Times New Roman" w:hAnsi="Times New Roman" w:eastAsia="宋体" w:cs="Times New Roman"/>
                      <w:szCs w:val="21"/>
                    </w:rPr>
                    <w:fldChar w:fldCharType="separate"/>
                  </w:r>
                  <w:r>
                    <w:rPr>
                      <w:rFonts w:hint="eastAsia" w:ascii="宋体" w:hAnsi="宋体" w:eastAsia="宋体" w:cs="宋体"/>
                      <w:szCs w:val="21"/>
                    </w:rPr>
                    <w:t>①</w:t>
                  </w:r>
                  <w:r>
                    <w:rPr>
                      <w:rFonts w:ascii="Times New Roman" w:hAnsi="Times New Roman" w:eastAsia="宋体" w:cs="Times New Roman"/>
                      <w:szCs w:val="21"/>
                    </w:rPr>
                    <w:fldChar w:fldCharType="end"/>
                  </w:r>
                  <w:r>
                    <w:rPr>
                      <w:rFonts w:ascii="Times New Roman" w:hAnsi="Times New Roman" w:eastAsia="宋体" w:cs="Times New Roman"/>
                      <w:szCs w:val="21"/>
                    </w:rPr>
                    <w:t>大气：火灾对大气污染。</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2 \* GB3</w:instrText>
                  </w:r>
                  <w:r>
                    <w:rPr>
                      <w:rFonts w:ascii="Times New Roman" w:hAnsi="Times New Roman" w:eastAsia="宋体" w:cs="Times New Roman"/>
                      <w:szCs w:val="21"/>
                    </w:rPr>
                    <w:fldChar w:fldCharType="separate"/>
                  </w:r>
                  <w:r>
                    <w:rPr>
                      <w:rFonts w:hint="eastAsia" w:ascii="宋体" w:hAnsi="宋体" w:eastAsia="宋体" w:cs="宋体"/>
                      <w:szCs w:val="21"/>
                    </w:rPr>
                    <w:t>②</w:t>
                  </w:r>
                  <w:r>
                    <w:rPr>
                      <w:rFonts w:ascii="Times New Roman" w:hAnsi="Times New Roman" w:eastAsia="宋体" w:cs="Times New Roman"/>
                      <w:szCs w:val="21"/>
                    </w:rPr>
                    <w:fldChar w:fldCharType="end"/>
                  </w:r>
                  <w:r>
                    <w:rPr>
                      <w:rFonts w:ascii="Times New Roman" w:hAnsi="Times New Roman" w:eastAsia="宋体" w:cs="Times New Roman"/>
                      <w:szCs w:val="21"/>
                    </w:rPr>
                    <w:t>地表水、地下水：</w:t>
                  </w:r>
                  <w:r>
                    <w:rPr>
                      <w:rFonts w:hint="eastAsia" w:ascii="Times New Roman" w:hAnsi="Times New Roman" w:eastAsia="宋体" w:cs="Times New Roman"/>
                      <w:szCs w:val="21"/>
                    </w:rPr>
                    <w:t>危险化学品、</w:t>
                  </w:r>
                  <w:r>
                    <w:rPr>
                      <w:rFonts w:ascii="Times New Roman" w:hAnsi="Times New Roman" w:eastAsia="宋体" w:cs="Times New Roman"/>
                      <w:szCs w:val="21"/>
                    </w:rPr>
                    <w:t>废水泄漏进入水体</w:t>
                  </w:r>
                </w:p>
              </w:tc>
            </w:tr>
            <w:tr w14:paraId="1B1694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937" w:type="pct"/>
                  <w:vAlign w:val="center"/>
                </w:tcPr>
                <w:p w14:paraId="467ED3A3">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风险防范措施要求</w:t>
                  </w:r>
                </w:p>
              </w:tc>
              <w:tc>
                <w:tcPr>
                  <w:tcW w:w="4063" w:type="pct"/>
                  <w:gridSpan w:val="5"/>
                  <w:vAlign w:val="center"/>
                </w:tcPr>
                <w:p w14:paraId="0A8A01B0">
                  <w:pPr>
                    <w:autoSpaceDE w:val="0"/>
                    <w:autoSpaceDN w:val="0"/>
                    <w:adjustRightInd w:val="0"/>
                    <w:rPr>
                      <w:rFonts w:ascii="Times New Roman" w:hAnsi="Times New Roman" w:eastAsia="宋体" w:cs="Times New Roman"/>
                      <w:kern w:val="0"/>
                      <w:szCs w:val="21"/>
                    </w:rPr>
                  </w:pPr>
                  <w:r>
                    <w:rPr>
                      <w:rFonts w:ascii="Times New Roman" w:hAnsi="Times New Roman" w:eastAsia="宋体" w:cs="Times New Roman"/>
                      <w:kern w:val="0"/>
                      <w:szCs w:val="21"/>
                    </w:rPr>
                    <w:t>风险防范措施</w:t>
                  </w:r>
                </w:p>
                <w:p w14:paraId="6B6F7EDF">
                  <w:pPr>
                    <w:autoSpaceDE w:val="0"/>
                    <w:autoSpaceDN w:val="0"/>
                    <w:adjustRightInd w:val="0"/>
                    <w:rPr>
                      <w:rFonts w:ascii="Times New Roman" w:hAnsi="Times New Roman" w:eastAsia="宋体" w:cs="Times New Roman"/>
                      <w:kern w:val="0"/>
                      <w:szCs w:val="21"/>
                    </w:rPr>
                  </w:pP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1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①</w:t>
                  </w:r>
                  <w:r>
                    <w:rPr>
                      <w:rFonts w:ascii="Times New Roman" w:hAnsi="Times New Roman" w:eastAsia="宋体" w:cs="Times New Roman"/>
                      <w:kern w:val="0"/>
                      <w:szCs w:val="21"/>
                    </w:rPr>
                    <w:fldChar w:fldCharType="end"/>
                  </w:r>
                  <w:r>
                    <w:rPr>
                      <w:rFonts w:hint="eastAsia" w:ascii="Times New Roman" w:hAnsi="Times New Roman" w:eastAsia="宋体" w:cs="Times New Roman"/>
                      <w:kern w:val="0"/>
                      <w:szCs w:val="21"/>
                    </w:rPr>
                    <w:t>危险化学品、废水泄漏时，能够及时堵漏，防渗、围挡。</w:t>
                  </w:r>
                </w:p>
                <w:p w14:paraId="2F632B39">
                  <w:pPr>
                    <w:autoSpaceDE w:val="0"/>
                    <w:autoSpaceDN w:val="0"/>
                    <w:adjustRightInd w:val="0"/>
                    <w:rPr>
                      <w:rFonts w:ascii="Times New Roman" w:hAnsi="Times New Roman" w:eastAsia="宋体" w:cs="Times New Roman"/>
                      <w:kern w:val="0"/>
                      <w:szCs w:val="21"/>
                    </w:rPr>
                  </w:pP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2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②</w:t>
                  </w:r>
                  <w:r>
                    <w:rPr>
                      <w:rFonts w:ascii="Times New Roman" w:hAnsi="Times New Roman" w:eastAsia="宋体" w:cs="Times New Roman"/>
                      <w:kern w:val="0"/>
                      <w:szCs w:val="21"/>
                    </w:rPr>
                    <w:fldChar w:fldCharType="end"/>
                  </w:r>
                  <w:r>
                    <w:rPr>
                      <w:rFonts w:ascii="Times New Roman" w:hAnsi="Times New Roman" w:eastAsia="宋体" w:cs="Times New Roman"/>
                      <w:kern w:val="0"/>
                      <w:szCs w:val="21"/>
                    </w:rPr>
                    <w:t>电气设备经常检查，厂区内严禁吸烟、用火，车间、仓库内配置的灭火器、消防设施周围严禁对方其它物品，消防器材设备派专人负责管理，定期检查维修，保证完整好用。保持设备的清洁卫生，坚持每月的系统的维护，确保机器设备的正常运作。</w:t>
                  </w:r>
                </w:p>
                <w:p w14:paraId="0A7DE714">
                  <w:pPr>
                    <w:autoSpaceDE w:val="0"/>
                    <w:autoSpaceDN w:val="0"/>
                    <w:adjustRightInd w:val="0"/>
                    <w:rPr>
                      <w:rFonts w:ascii="Times New Roman" w:hAnsi="Times New Roman" w:eastAsia="宋体" w:cs="Times New Roman"/>
                      <w:kern w:val="0"/>
                      <w:szCs w:val="21"/>
                    </w:rPr>
                  </w:pPr>
                  <w:r>
                    <w:rPr>
                      <w:rFonts w:hint="eastAsia" w:ascii="Times New Roman" w:hAnsi="Times New Roman" w:eastAsia="宋体" w:cs="Times New Roman"/>
                      <w:kern w:val="0"/>
                      <w:szCs w:val="21"/>
                    </w:rPr>
                    <w:t>③</w:t>
                  </w:r>
                  <w:r>
                    <w:rPr>
                      <w:rFonts w:ascii="Times New Roman" w:hAnsi="Times New Roman" w:eastAsia="宋体" w:cs="Times New Roman"/>
                      <w:kern w:val="0"/>
                      <w:szCs w:val="21"/>
                    </w:rPr>
                    <w:t>定期对</w:t>
                  </w:r>
                  <w:r>
                    <w:rPr>
                      <w:rFonts w:hint="eastAsia" w:ascii="Times New Roman" w:hAnsi="Times New Roman" w:eastAsia="宋体" w:cs="Times New Roman"/>
                      <w:kern w:val="0"/>
                      <w:szCs w:val="21"/>
                    </w:rPr>
                    <w:t>除尘等环保</w:t>
                  </w:r>
                  <w:r>
                    <w:rPr>
                      <w:rFonts w:ascii="Times New Roman" w:hAnsi="Times New Roman" w:eastAsia="宋体" w:cs="Times New Roman"/>
                      <w:kern w:val="0"/>
                      <w:szCs w:val="21"/>
                    </w:rPr>
                    <w:t>设施进行检查，防治堵塞。定期对</w:t>
                  </w:r>
                  <w:r>
                    <w:rPr>
                      <w:rFonts w:hint="eastAsia" w:ascii="Times New Roman" w:hAnsi="Times New Roman" w:eastAsia="宋体" w:cs="Times New Roman"/>
                      <w:kern w:val="0"/>
                      <w:szCs w:val="21"/>
                    </w:rPr>
                    <w:t>二级生化处理设施</w:t>
                  </w:r>
                  <w:r>
                    <w:rPr>
                      <w:rFonts w:ascii="Times New Roman" w:hAnsi="Times New Roman" w:eastAsia="宋体" w:cs="Times New Roman"/>
                      <w:kern w:val="0"/>
                      <w:szCs w:val="21"/>
                    </w:rPr>
                    <w:t>进行清理，保证</w:t>
                  </w:r>
                  <w:r>
                    <w:rPr>
                      <w:rFonts w:hint="eastAsia" w:ascii="Times New Roman" w:hAnsi="Times New Roman" w:eastAsia="宋体" w:cs="Times New Roman"/>
                      <w:kern w:val="0"/>
                      <w:szCs w:val="21"/>
                    </w:rPr>
                    <w:t>其预处理池</w:t>
                  </w:r>
                  <w:r>
                    <w:rPr>
                      <w:rFonts w:ascii="Times New Roman" w:hAnsi="Times New Roman" w:eastAsia="宋体" w:cs="Times New Roman"/>
                      <w:kern w:val="0"/>
                      <w:szCs w:val="21"/>
                    </w:rPr>
                    <w:t>的有效容积，防治溢流对地表水造成影响。加强管理，及时清理维护保证有效容积。</w:t>
                  </w:r>
                </w:p>
              </w:tc>
            </w:tr>
            <w:tr w14:paraId="1BFCBD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97" w:hRule="atLeast"/>
              </w:trPr>
              <w:tc>
                <w:tcPr>
                  <w:tcW w:w="5000" w:type="pct"/>
                  <w:gridSpan w:val="6"/>
                </w:tcPr>
                <w:p w14:paraId="4C528358">
                  <w:pPr>
                    <w:autoSpaceDE w:val="0"/>
                    <w:autoSpaceDN w:val="0"/>
                    <w:adjustRightInd w:val="0"/>
                    <w:spacing w:line="276" w:lineRule="auto"/>
                    <w:rPr>
                      <w:rFonts w:ascii="Times New Roman" w:hAnsi="Times New Roman" w:eastAsia="宋体" w:cs="Times New Roman"/>
                      <w:kern w:val="0"/>
                      <w:szCs w:val="21"/>
                    </w:rPr>
                  </w:pPr>
                  <w:r>
                    <w:rPr>
                      <w:rFonts w:ascii="Times New Roman" w:hAnsi="Times New Roman" w:eastAsia="宋体" w:cs="Times New Roman"/>
                      <w:kern w:val="0"/>
                      <w:szCs w:val="21"/>
                    </w:rPr>
                    <w:t>填表说明（列出项目相关信息及评价说明）：</w:t>
                  </w:r>
                </w:p>
                <w:p w14:paraId="1485A049">
                  <w:pPr>
                    <w:autoSpaceDE w:val="0"/>
                    <w:autoSpaceDN w:val="0"/>
                    <w:adjustRightInd w:val="0"/>
                    <w:spacing w:line="276" w:lineRule="auto"/>
                    <w:ind w:firstLine="420" w:firstLineChars="200"/>
                    <w:rPr>
                      <w:rFonts w:ascii="Times New Roman" w:hAnsi="Times New Roman" w:eastAsia="宋体" w:cs="Times New Roman"/>
                      <w:kern w:val="0"/>
                      <w:szCs w:val="21"/>
                    </w:rPr>
                  </w:pPr>
                  <w:r>
                    <w:rPr>
                      <w:rFonts w:hint="eastAsia" w:ascii="Times New Roman" w:hAnsi="Times New Roman" w:eastAsia="宋体" w:cs="Times New Roman"/>
                      <w:bCs/>
                      <w:lang w:eastAsia="zh-CN"/>
                    </w:rPr>
                    <w:t>峨边彝族自治县</w:t>
                  </w:r>
                  <w:r>
                    <w:rPr>
                      <w:rFonts w:hint="eastAsia" w:ascii="Times New Roman" w:hAnsi="Times New Roman" w:eastAsia="宋体" w:cs="Times New Roman"/>
                      <w:bCs/>
                    </w:rPr>
                    <w:t>建筑垃圾资源化回收利用项目</w:t>
                  </w:r>
                  <w:r>
                    <w:rPr>
                      <w:rFonts w:ascii="Times New Roman" w:hAnsi="Times New Roman" w:eastAsia="宋体" w:cs="Times New Roman"/>
                      <w:kern w:val="0"/>
                      <w:szCs w:val="21"/>
                    </w:rPr>
                    <w:t>，占地面积</w:t>
                  </w:r>
                  <w:r>
                    <w:rPr>
                      <w:rFonts w:hint="eastAsia" w:ascii="Times New Roman" w:hAnsi="Times New Roman" w:eastAsia="宋体" w:cs="Times New Roman"/>
                      <w:kern w:val="0"/>
                      <w:szCs w:val="21"/>
                    </w:rPr>
                    <w:t>约</w:t>
                  </w:r>
                  <w:r>
                    <w:rPr>
                      <w:rFonts w:ascii="Times New Roman" w:hAnsi="Times New Roman" w:eastAsia="宋体" w:cs="Times New Roman"/>
                      <w:kern w:val="0"/>
                      <w:szCs w:val="21"/>
                    </w:rPr>
                    <w:t>8439平方米，</w:t>
                  </w:r>
                  <w:r>
                    <w:rPr>
                      <w:rFonts w:hint="eastAsia" w:ascii="Times New Roman" w:hAnsi="Times New Roman" w:eastAsia="宋体" w:cs="Times New Roman"/>
                      <w:kern w:val="0"/>
                      <w:szCs w:val="21"/>
                    </w:rPr>
                    <w:t>项目设计年回收加工建筑垃圾20万吨，主要产品为：建筑颗粒</w:t>
                  </w:r>
                  <w:r>
                    <w:rPr>
                      <w:rFonts w:hint="eastAsia" w:ascii="Times New Roman" w:hAnsi="Times New Roman" w:eastAsia="宋体" w:cs="Times New Roman"/>
                      <w:kern w:val="0"/>
                      <w:szCs w:val="21"/>
                      <w:lang w:eastAsia="zh-CN"/>
                    </w:rPr>
                    <w:t>（</w:t>
                  </w:r>
                  <w:r>
                    <w:rPr>
                      <w:rFonts w:hint="eastAsia" w:ascii="Times New Roman" w:hAnsi="Times New Roman" w:eastAsia="宋体" w:cs="Times New Roman"/>
                      <w:kern w:val="0"/>
                      <w:szCs w:val="21"/>
                    </w:rPr>
                    <w:t>其中0.5cm颗粒12万吨，2</w:t>
                  </w:r>
                  <w:r>
                    <w:rPr>
                      <w:rFonts w:hint="eastAsia" w:ascii="Times New Roman" w:hAnsi="Times New Roman" w:eastAsia="宋体" w:cs="Times New Roman"/>
                      <w:kern w:val="0"/>
                      <w:szCs w:val="21"/>
                      <w:lang w:eastAsia="zh-CN"/>
                    </w:rPr>
                    <w:t>—</w:t>
                  </w:r>
                  <w:r>
                    <w:rPr>
                      <w:rFonts w:hint="eastAsia" w:ascii="Times New Roman" w:hAnsi="Times New Roman" w:eastAsia="宋体" w:cs="Times New Roman"/>
                      <w:kern w:val="0"/>
                      <w:szCs w:val="21"/>
                    </w:rPr>
                    <w:t>4cm颗粒8万吨</w:t>
                  </w:r>
                  <w:r>
                    <w:rPr>
                      <w:rFonts w:hint="eastAsia" w:ascii="Times New Roman" w:hAnsi="Times New Roman" w:eastAsia="宋体" w:cs="Times New Roman"/>
                      <w:kern w:val="0"/>
                      <w:szCs w:val="21"/>
                      <w:lang w:eastAsia="zh-CN"/>
                    </w:rPr>
                    <w:t>）</w:t>
                  </w:r>
                  <w:r>
                    <w:rPr>
                      <w:rFonts w:hint="eastAsia" w:ascii="Times New Roman" w:hAnsi="Times New Roman" w:eastAsia="宋体" w:cs="Times New Roman"/>
                      <w:kern w:val="0"/>
                      <w:szCs w:val="21"/>
                    </w:rPr>
                    <w:t>，项目总建筑面积5000平方米</w:t>
                  </w:r>
                  <w:r>
                    <w:rPr>
                      <w:rFonts w:hint="eastAsia" w:ascii="Times New Roman" w:hAnsi="Times New Roman" w:eastAsia="宋体" w:cs="Times New Roman"/>
                      <w:kern w:val="0"/>
                      <w:szCs w:val="21"/>
                      <w:lang w:eastAsia="zh-CN"/>
                    </w:rPr>
                    <w:t>（</w:t>
                  </w:r>
                  <w:r>
                    <w:rPr>
                      <w:rFonts w:hint="eastAsia" w:ascii="Times New Roman" w:hAnsi="Times New Roman" w:eastAsia="宋体" w:cs="Times New Roman"/>
                      <w:kern w:val="0"/>
                      <w:szCs w:val="21"/>
                    </w:rPr>
                    <w:t>5×5×3料仓10个、机械厂房1500平方米，环保配套设施500平方米其他辅助设施2250平方米</w:t>
                  </w:r>
                  <w:r>
                    <w:rPr>
                      <w:rFonts w:hint="eastAsia" w:ascii="Times New Roman" w:hAnsi="Times New Roman" w:eastAsia="宋体" w:cs="Times New Roman"/>
                      <w:kern w:val="0"/>
                      <w:szCs w:val="21"/>
                      <w:lang w:eastAsia="zh-CN"/>
                    </w:rPr>
                    <w:t>）</w:t>
                  </w:r>
                  <w:r>
                    <w:rPr>
                      <w:rFonts w:hint="eastAsia" w:ascii="Times New Roman" w:hAnsi="Times New Roman" w:eastAsia="宋体" w:cs="Times New Roman"/>
                      <w:kern w:val="0"/>
                      <w:szCs w:val="21"/>
                    </w:rPr>
                    <w:t>，主要设备：1142重型给料机1台、1060×750鄂破机1台、141制砂机1台、2470振动筛1台、输送机1台、30装载机1台、降尘喷雾机4台，厂区采用封闭作业，全面降尘，粉尘不出车间。</w:t>
                  </w:r>
                </w:p>
                <w:p w14:paraId="6562D7C6">
                  <w:pPr>
                    <w:autoSpaceDE w:val="0"/>
                    <w:autoSpaceDN w:val="0"/>
                    <w:adjustRightInd w:val="0"/>
                    <w:spacing w:line="276" w:lineRule="auto"/>
                    <w:ind w:firstLine="412" w:firstLineChars="200"/>
                    <w:rPr>
                      <w:rFonts w:ascii="Times New Roman" w:hAnsi="Times New Roman" w:eastAsia="宋体" w:cs="Times New Roman"/>
                      <w:spacing w:val="-2"/>
                      <w:szCs w:val="21"/>
                    </w:rPr>
                  </w:pPr>
                  <w:r>
                    <w:rPr>
                      <w:rFonts w:ascii="Times New Roman" w:hAnsi="Times New Roman" w:eastAsia="宋体" w:cs="Times New Roman"/>
                      <w:spacing w:val="-2"/>
                      <w:szCs w:val="21"/>
                    </w:rPr>
                    <w:t>项目环境风险潜势为Ⅰ，评价等级为简单评价。项目生产过程中存在火灾风险及</w:t>
                  </w:r>
                  <w:r>
                    <w:rPr>
                      <w:rFonts w:hint="eastAsia" w:ascii="Times New Roman" w:hAnsi="Times New Roman" w:eastAsia="宋体" w:cs="Times New Roman"/>
                      <w:spacing w:val="-2"/>
                      <w:szCs w:val="21"/>
                    </w:rPr>
                    <w:t>危险化学品泄漏、</w:t>
                  </w:r>
                  <w:r>
                    <w:rPr>
                      <w:rFonts w:ascii="Times New Roman" w:hAnsi="Times New Roman" w:eastAsia="宋体" w:cs="Times New Roman"/>
                      <w:spacing w:val="-2"/>
                      <w:szCs w:val="21"/>
                    </w:rPr>
                    <w:t>废水事故排放等风险。</w:t>
                  </w:r>
                  <w:r>
                    <w:rPr>
                      <w:rFonts w:ascii="Times New Roman" w:hAnsi="Times New Roman" w:eastAsia="宋体" w:cs="Times New Roman"/>
                      <w:kern w:val="28"/>
                      <w:szCs w:val="21"/>
                    </w:rPr>
                    <w:t>建设单位严格实施本报告中各项防范措施和应急措施，防范风险事故发生，风险水平属于可以接受的范畴。</w:t>
                  </w:r>
                </w:p>
              </w:tc>
            </w:tr>
          </w:tbl>
          <w:p w14:paraId="49F1E639">
            <w:pPr>
              <w:spacing w:before="120" w:after="120" w:line="480" w:lineRule="exact"/>
              <w:rPr>
                <w:rFonts w:ascii="Times New Roman" w:hAnsi="Times New Roman" w:eastAsia="宋体" w:cs="Times New Roman"/>
                <w:b/>
                <w:sz w:val="28"/>
                <w:szCs w:val="28"/>
              </w:rPr>
            </w:pPr>
            <w:r>
              <w:rPr>
                <w:rFonts w:ascii="Times New Roman" w:hAnsi="Times New Roman" w:eastAsia="宋体" w:cs="Times New Roman"/>
                <w:b/>
                <w:sz w:val="28"/>
                <w:szCs w:val="28"/>
              </w:rPr>
              <w:t>四、环保竣工验收</w:t>
            </w:r>
          </w:p>
          <w:p w14:paraId="6019FD1C">
            <w:pPr>
              <w:pStyle w:val="96"/>
              <w:spacing w:line="480" w:lineRule="exact"/>
              <w:ind w:firstLine="480"/>
              <w:rPr>
                <w:rFonts w:ascii="Times New Roman" w:hAnsi="Times New Roman" w:eastAsia="宋体" w:cs="Times New Roman"/>
                <w:sz w:val="24"/>
                <w:szCs w:val="24"/>
              </w:rPr>
            </w:pPr>
            <w:r>
              <w:rPr>
                <w:rFonts w:ascii="Times New Roman" w:hAnsi="Times New Roman" w:eastAsia="宋体" w:cs="Times New Roman"/>
                <w:sz w:val="24"/>
                <w:szCs w:val="24"/>
              </w:rPr>
              <w:t>根据2017年11月20日环境保护部“关于发布《建设项目竣工环境保护验收暂行办法》的公告”（国环规环评【2017】4号）文相关要求，项目建设单位作为环境保护验收的责任主体，应按照相关规定，自行组织环境保护验收报告，并对验收内容、结论的真实性、准确性和完整性负责，不得在验收过程中弄虚作假，建设单位不具备编制验收监测报告能力的，可以委托有能力的技术机构编制，验收期限一般不超过三个月。项目环境保护</w:t>
            </w:r>
            <w:r>
              <w:rPr>
                <w:rFonts w:hint="eastAsia" w:ascii="Times New Roman" w:hAnsi="Times New Roman" w:eastAsia="宋体" w:cs="Times New Roman"/>
                <w:sz w:val="24"/>
                <w:szCs w:val="24"/>
              </w:rPr>
              <w:t>“</w:t>
            </w:r>
            <w:r>
              <w:rPr>
                <w:rFonts w:ascii="Times New Roman" w:hAnsi="Times New Roman" w:eastAsia="宋体" w:cs="Times New Roman"/>
                <w:sz w:val="24"/>
                <w:szCs w:val="24"/>
              </w:rPr>
              <w:t>三同时验收</w:t>
            </w:r>
            <w:r>
              <w:rPr>
                <w:rFonts w:hint="eastAsia" w:ascii="Times New Roman" w:hAnsi="Times New Roman" w:eastAsia="宋体" w:cs="Times New Roman"/>
                <w:sz w:val="24"/>
                <w:szCs w:val="24"/>
              </w:rPr>
              <w:t>”</w:t>
            </w:r>
            <w:r>
              <w:rPr>
                <w:rFonts w:ascii="Times New Roman" w:hAnsi="Times New Roman" w:eastAsia="宋体" w:cs="Times New Roman"/>
                <w:sz w:val="24"/>
                <w:szCs w:val="24"/>
              </w:rPr>
              <w:t>如下表所示。</w:t>
            </w:r>
          </w:p>
          <w:p w14:paraId="6010044B">
            <w:pPr>
              <w:widowControl/>
              <w:adjustRightInd w:val="0"/>
              <w:snapToGrid w:val="0"/>
              <w:spacing w:line="480" w:lineRule="exact"/>
              <w:ind w:right="92" w:rightChars="44"/>
              <w:jc w:val="center"/>
              <w:rPr>
                <w:rFonts w:ascii="Times New Roman" w:hAnsi="Times New Roman" w:eastAsia="宋体" w:cs="Times New Roman"/>
                <w:bCs/>
                <w:sz w:val="24"/>
              </w:rPr>
            </w:pPr>
            <w:r>
              <w:rPr>
                <w:rFonts w:ascii="Times New Roman" w:hAnsi="Times New Roman" w:eastAsia="宋体" w:cs="Times New Roman"/>
                <w:bCs/>
                <w:sz w:val="24"/>
              </w:rPr>
              <w:t>表7-29  环保竣工验收一览表</w:t>
            </w:r>
          </w:p>
          <w:tbl>
            <w:tblPr>
              <w:tblStyle w:val="26"/>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753"/>
              <w:gridCol w:w="1221"/>
              <w:gridCol w:w="2967"/>
              <w:gridCol w:w="701"/>
              <w:gridCol w:w="1944"/>
              <w:gridCol w:w="696"/>
            </w:tblGrid>
            <w:tr w14:paraId="74D8FF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Align w:val="center"/>
                </w:tcPr>
                <w:p w14:paraId="6181AB61">
                  <w:pPr>
                    <w:jc w:val="center"/>
                    <w:rPr>
                      <w:rFonts w:ascii="Times New Roman" w:hAnsi="Times New Roman" w:eastAsia="宋体" w:cs="Times New Roman"/>
                      <w:szCs w:val="21"/>
                    </w:rPr>
                  </w:pPr>
                  <w:r>
                    <w:rPr>
                      <w:rFonts w:ascii="Times New Roman" w:hAnsi="Times New Roman" w:eastAsia="宋体" w:cs="Times New Roman"/>
                      <w:szCs w:val="21"/>
                    </w:rPr>
                    <w:t>项目</w:t>
                  </w:r>
                </w:p>
              </w:tc>
              <w:tc>
                <w:tcPr>
                  <w:tcW w:w="738" w:type="pct"/>
                  <w:vAlign w:val="center"/>
                </w:tcPr>
                <w:p w14:paraId="469884ED">
                  <w:pPr>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1792" w:type="pct"/>
                  <w:vAlign w:val="center"/>
                </w:tcPr>
                <w:p w14:paraId="64304605">
                  <w:pPr>
                    <w:jc w:val="center"/>
                    <w:rPr>
                      <w:rFonts w:ascii="Times New Roman" w:hAnsi="Times New Roman" w:eastAsia="宋体" w:cs="Times New Roman"/>
                      <w:szCs w:val="21"/>
                    </w:rPr>
                  </w:pPr>
                  <w:r>
                    <w:rPr>
                      <w:rFonts w:ascii="Times New Roman" w:hAnsi="Times New Roman" w:eastAsia="宋体" w:cs="Times New Roman"/>
                      <w:szCs w:val="21"/>
                    </w:rPr>
                    <w:t>环保设施</w:t>
                  </w:r>
                </w:p>
              </w:tc>
              <w:tc>
                <w:tcPr>
                  <w:tcW w:w="424" w:type="pct"/>
                  <w:vAlign w:val="center"/>
                </w:tcPr>
                <w:p w14:paraId="2AFB2A6C">
                  <w:pPr>
                    <w:jc w:val="center"/>
                    <w:rPr>
                      <w:rFonts w:ascii="Times New Roman" w:hAnsi="Times New Roman" w:eastAsia="宋体" w:cs="Times New Roman"/>
                      <w:szCs w:val="21"/>
                    </w:rPr>
                  </w:pPr>
                  <w:r>
                    <w:rPr>
                      <w:rFonts w:ascii="Times New Roman" w:hAnsi="Times New Roman" w:eastAsia="宋体" w:cs="Times New Roman"/>
                      <w:szCs w:val="21"/>
                    </w:rPr>
                    <w:t>数量</w:t>
                  </w:r>
                </w:p>
              </w:tc>
              <w:tc>
                <w:tcPr>
                  <w:tcW w:w="1171" w:type="pct"/>
                  <w:vAlign w:val="center"/>
                </w:tcPr>
                <w:p w14:paraId="00974DB3">
                  <w:pPr>
                    <w:jc w:val="center"/>
                    <w:rPr>
                      <w:rFonts w:ascii="Times New Roman" w:hAnsi="Times New Roman" w:eastAsia="宋体" w:cs="Times New Roman"/>
                      <w:szCs w:val="21"/>
                    </w:rPr>
                  </w:pPr>
                  <w:r>
                    <w:rPr>
                      <w:rFonts w:ascii="Times New Roman" w:hAnsi="Times New Roman" w:eastAsia="宋体" w:cs="Times New Roman"/>
                      <w:szCs w:val="21"/>
                    </w:rPr>
                    <w:t>验收标准</w:t>
                  </w:r>
                </w:p>
              </w:tc>
              <w:tc>
                <w:tcPr>
                  <w:tcW w:w="420" w:type="pct"/>
                  <w:vAlign w:val="center"/>
                </w:tcPr>
                <w:p w14:paraId="478C850C">
                  <w:pPr>
                    <w:jc w:val="center"/>
                    <w:rPr>
                      <w:rFonts w:ascii="Times New Roman" w:hAnsi="Times New Roman" w:eastAsia="宋体" w:cs="Times New Roman"/>
                      <w:szCs w:val="21"/>
                    </w:rPr>
                  </w:pPr>
                  <w:r>
                    <w:rPr>
                      <w:rFonts w:ascii="Times New Roman" w:hAnsi="Times New Roman" w:eastAsia="宋体" w:cs="Times New Roman"/>
                      <w:szCs w:val="21"/>
                    </w:rPr>
                    <w:t>备注</w:t>
                  </w:r>
                </w:p>
              </w:tc>
            </w:tr>
            <w:tr w14:paraId="061611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restart"/>
                  <w:vAlign w:val="center"/>
                </w:tcPr>
                <w:p w14:paraId="43E08D88">
                  <w:pPr>
                    <w:jc w:val="center"/>
                    <w:rPr>
                      <w:rFonts w:ascii="Times New Roman" w:hAnsi="Times New Roman" w:eastAsia="宋体" w:cs="Times New Roman"/>
                      <w:szCs w:val="21"/>
                    </w:rPr>
                  </w:pPr>
                  <w:r>
                    <w:rPr>
                      <w:rFonts w:ascii="Times New Roman" w:hAnsi="Times New Roman" w:eastAsia="宋体" w:cs="Times New Roman"/>
                      <w:szCs w:val="21"/>
                    </w:rPr>
                    <w:t>废水</w:t>
                  </w:r>
                </w:p>
              </w:tc>
              <w:tc>
                <w:tcPr>
                  <w:tcW w:w="738" w:type="pct"/>
                  <w:vAlign w:val="center"/>
                </w:tcPr>
                <w:p w14:paraId="18A27C57">
                  <w:pPr>
                    <w:jc w:val="center"/>
                    <w:rPr>
                      <w:rFonts w:ascii="Times New Roman" w:hAnsi="Times New Roman" w:eastAsia="宋体" w:cs="Times New Roman"/>
                      <w:szCs w:val="21"/>
                    </w:rPr>
                  </w:pPr>
                  <w:r>
                    <w:rPr>
                      <w:rFonts w:ascii="Times New Roman" w:hAnsi="Times New Roman" w:eastAsia="宋体" w:cs="Times New Roman"/>
                      <w:szCs w:val="21"/>
                    </w:rPr>
                    <w:t>生活污水</w:t>
                  </w:r>
                </w:p>
              </w:tc>
              <w:tc>
                <w:tcPr>
                  <w:tcW w:w="1792" w:type="pct"/>
                  <w:vAlign w:val="center"/>
                </w:tcPr>
                <w:p w14:paraId="2C88D898">
                  <w:pPr>
                    <w:jc w:val="left"/>
                    <w:rPr>
                      <w:rFonts w:ascii="Times New Roman" w:hAnsi="Times New Roman" w:eastAsia="宋体" w:cs="Times New Roman"/>
                      <w:szCs w:val="21"/>
                    </w:rPr>
                  </w:pPr>
                  <w:r>
                    <w:rPr>
                      <w:rFonts w:hint="eastAsia" w:ascii="Times New Roman" w:hAnsi="Times New Roman" w:eastAsia="宋体" w:cs="Times New Roman"/>
                      <w:szCs w:val="21"/>
                    </w:rPr>
                    <w:t>二级生化处理设施收集处理后回用农肥</w:t>
                  </w:r>
                  <w:r>
                    <w:rPr>
                      <w:rFonts w:ascii="Times New Roman" w:hAnsi="Times New Roman" w:eastAsia="宋体" w:cs="Times New Roman"/>
                      <w:szCs w:val="21"/>
                    </w:rPr>
                    <w:t>。</w:t>
                  </w:r>
                </w:p>
              </w:tc>
              <w:tc>
                <w:tcPr>
                  <w:tcW w:w="424" w:type="pct"/>
                  <w:vAlign w:val="center"/>
                </w:tcPr>
                <w:p w14:paraId="18EA0188">
                  <w:pPr>
                    <w:jc w:val="center"/>
                    <w:rPr>
                      <w:rFonts w:ascii="Times New Roman" w:hAnsi="Times New Roman" w:eastAsia="宋体" w:cs="Times New Roman"/>
                      <w:szCs w:val="21"/>
                    </w:rPr>
                  </w:pPr>
                  <w:r>
                    <w:rPr>
                      <w:rFonts w:ascii="Times New Roman" w:hAnsi="Times New Roman" w:eastAsia="宋体" w:cs="Times New Roman"/>
                      <w:szCs w:val="21"/>
                    </w:rPr>
                    <w:t>1</w:t>
                  </w:r>
                </w:p>
              </w:tc>
              <w:tc>
                <w:tcPr>
                  <w:tcW w:w="1171" w:type="pct"/>
                  <w:vAlign w:val="center"/>
                </w:tcPr>
                <w:p w14:paraId="64498EBA">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420" w:type="pct"/>
                  <w:vMerge w:val="restart"/>
                  <w:vAlign w:val="center"/>
                </w:tcPr>
                <w:p w14:paraId="74F56AFB">
                  <w:pPr>
                    <w:jc w:val="center"/>
                    <w:rPr>
                      <w:rFonts w:ascii="Times New Roman" w:hAnsi="Times New Roman" w:eastAsia="宋体" w:cs="Times New Roman"/>
                      <w:szCs w:val="21"/>
                    </w:rPr>
                  </w:pPr>
                  <w:r>
                    <w:rPr>
                      <w:rFonts w:ascii="Times New Roman" w:hAnsi="Times New Roman" w:eastAsia="宋体" w:cs="Times New Roman"/>
                      <w:szCs w:val="21"/>
                    </w:rPr>
                    <w:t>与主体工程同时设计、同时施工、同时投产使用</w:t>
                  </w:r>
                </w:p>
              </w:tc>
            </w:tr>
            <w:tr w14:paraId="458723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continue"/>
                  <w:vAlign w:val="center"/>
                </w:tcPr>
                <w:p w14:paraId="179FA33B">
                  <w:pPr>
                    <w:jc w:val="center"/>
                    <w:rPr>
                      <w:rFonts w:ascii="Times New Roman" w:hAnsi="Times New Roman" w:eastAsia="宋体" w:cs="Times New Roman"/>
                      <w:szCs w:val="21"/>
                    </w:rPr>
                  </w:pPr>
                </w:p>
              </w:tc>
              <w:tc>
                <w:tcPr>
                  <w:tcW w:w="738" w:type="pct"/>
                  <w:vMerge w:val="restart"/>
                  <w:vAlign w:val="center"/>
                </w:tcPr>
                <w:p w14:paraId="6245DB02">
                  <w:pPr>
                    <w:jc w:val="center"/>
                    <w:rPr>
                      <w:rFonts w:ascii="Times New Roman" w:hAnsi="Times New Roman" w:eastAsia="宋体" w:cs="Times New Roman"/>
                      <w:szCs w:val="21"/>
                    </w:rPr>
                  </w:pPr>
                  <w:r>
                    <w:rPr>
                      <w:rFonts w:ascii="Times New Roman" w:hAnsi="Times New Roman" w:eastAsia="宋体" w:cs="Times New Roman"/>
                      <w:szCs w:val="21"/>
                    </w:rPr>
                    <w:t>生产废水</w:t>
                  </w:r>
                </w:p>
              </w:tc>
              <w:tc>
                <w:tcPr>
                  <w:tcW w:w="1792" w:type="pct"/>
                  <w:vAlign w:val="center"/>
                </w:tcPr>
                <w:p w14:paraId="2CEFCDFE">
                  <w:pPr>
                    <w:jc w:val="left"/>
                    <w:rPr>
                      <w:rFonts w:ascii="Times New Roman" w:hAnsi="Times New Roman" w:eastAsia="宋体" w:cs="Times New Roman"/>
                      <w:szCs w:val="21"/>
                    </w:rPr>
                  </w:pPr>
                  <w:r>
                    <w:rPr>
                      <w:rFonts w:hint="eastAsia" w:ascii="Times New Roman" w:hAnsi="Times New Roman" w:eastAsia="宋体" w:cs="Times New Roman"/>
                      <w:szCs w:val="21"/>
                    </w:rPr>
                    <w:t>生产废水循环沉淀池</w:t>
                  </w:r>
                </w:p>
              </w:tc>
              <w:tc>
                <w:tcPr>
                  <w:tcW w:w="424" w:type="pct"/>
                  <w:vAlign w:val="center"/>
                </w:tcPr>
                <w:p w14:paraId="06BE6331">
                  <w:pPr>
                    <w:jc w:val="center"/>
                    <w:rPr>
                      <w:rFonts w:ascii="Times New Roman" w:hAnsi="Times New Roman" w:eastAsia="宋体" w:cs="Times New Roman"/>
                      <w:szCs w:val="21"/>
                    </w:rPr>
                  </w:pPr>
                  <w:r>
                    <w:rPr>
                      <w:rFonts w:hint="eastAsia" w:ascii="Times New Roman" w:hAnsi="Times New Roman" w:eastAsia="宋体" w:cs="Times New Roman"/>
                      <w:szCs w:val="21"/>
                    </w:rPr>
                    <w:t>1</w:t>
                  </w:r>
                </w:p>
              </w:tc>
              <w:tc>
                <w:tcPr>
                  <w:tcW w:w="1171" w:type="pct"/>
                  <w:vAlign w:val="center"/>
                </w:tcPr>
                <w:p w14:paraId="50F00114">
                  <w:pPr>
                    <w:jc w:val="center"/>
                    <w:rPr>
                      <w:rFonts w:ascii="Times New Roman" w:hAnsi="Times New Roman" w:eastAsia="宋体" w:cs="Times New Roman"/>
                      <w:szCs w:val="21"/>
                    </w:rPr>
                  </w:pPr>
                  <w:r>
                    <w:rPr>
                      <w:rFonts w:hint="eastAsia" w:ascii="Times New Roman" w:hAnsi="Times New Roman" w:eastAsia="宋体" w:cs="Times New Roman"/>
                      <w:szCs w:val="21"/>
                    </w:rPr>
                    <w:t>循环使用，不外排</w:t>
                  </w:r>
                </w:p>
              </w:tc>
              <w:tc>
                <w:tcPr>
                  <w:tcW w:w="420" w:type="pct"/>
                  <w:vMerge w:val="continue"/>
                  <w:vAlign w:val="center"/>
                </w:tcPr>
                <w:p w14:paraId="22663189">
                  <w:pPr>
                    <w:jc w:val="center"/>
                    <w:rPr>
                      <w:rFonts w:ascii="Times New Roman" w:hAnsi="Times New Roman" w:eastAsia="宋体" w:cs="Times New Roman"/>
                      <w:szCs w:val="21"/>
                    </w:rPr>
                  </w:pPr>
                </w:p>
              </w:tc>
            </w:tr>
            <w:tr w14:paraId="1E26F9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continue"/>
                  <w:vAlign w:val="center"/>
                </w:tcPr>
                <w:p w14:paraId="6C64BBBD">
                  <w:pPr>
                    <w:jc w:val="center"/>
                    <w:rPr>
                      <w:rFonts w:ascii="Times New Roman" w:hAnsi="Times New Roman" w:eastAsia="宋体" w:cs="Times New Roman"/>
                      <w:szCs w:val="21"/>
                    </w:rPr>
                  </w:pPr>
                </w:p>
              </w:tc>
              <w:tc>
                <w:tcPr>
                  <w:tcW w:w="738" w:type="pct"/>
                  <w:vMerge w:val="continue"/>
                  <w:vAlign w:val="center"/>
                </w:tcPr>
                <w:p w14:paraId="6F8345C2">
                  <w:pPr>
                    <w:jc w:val="center"/>
                    <w:rPr>
                      <w:rFonts w:ascii="Times New Roman" w:hAnsi="Times New Roman" w:eastAsia="宋体" w:cs="Times New Roman"/>
                      <w:szCs w:val="21"/>
                    </w:rPr>
                  </w:pPr>
                </w:p>
              </w:tc>
              <w:tc>
                <w:tcPr>
                  <w:tcW w:w="1792" w:type="pct"/>
                  <w:vAlign w:val="center"/>
                </w:tcPr>
                <w:p w14:paraId="1A18064F">
                  <w:pPr>
                    <w:jc w:val="left"/>
                    <w:rPr>
                      <w:rFonts w:ascii="Times New Roman" w:hAnsi="Times New Roman" w:eastAsia="宋体" w:cs="Times New Roman"/>
                      <w:szCs w:val="21"/>
                    </w:rPr>
                  </w:pPr>
                  <w:r>
                    <w:rPr>
                      <w:rFonts w:hint="eastAsia" w:ascii="Times New Roman" w:hAnsi="Times New Roman" w:eastAsia="宋体" w:cs="Times New Roman"/>
                      <w:szCs w:val="21"/>
                    </w:rPr>
                    <w:t>轮胎清洗池</w:t>
                  </w:r>
                </w:p>
              </w:tc>
              <w:tc>
                <w:tcPr>
                  <w:tcW w:w="424" w:type="pct"/>
                  <w:vAlign w:val="center"/>
                </w:tcPr>
                <w:p w14:paraId="26B6CEA8">
                  <w:pPr>
                    <w:jc w:val="center"/>
                    <w:rPr>
                      <w:rFonts w:ascii="Times New Roman" w:hAnsi="Times New Roman" w:eastAsia="宋体" w:cs="Times New Roman"/>
                      <w:szCs w:val="21"/>
                    </w:rPr>
                  </w:pPr>
                  <w:r>
                    <w:rPr>
                      <w:rFonts w:ascii="Times New Roman" w:hAnsi="Times New Roman" w:eastAsia="宋体" w:cs="Times New Roman"/>
                      <w:szCs w:val="21"/>
                    </w:rPr>
                    <w:t>1</w:t>
                  </w:r>
                </w:p>
              </w:tc>
              <w:tc>
                <w:tcPr>
                  <w:tcW w:w="1171" w:type="pct"/>
                  <w:vAlign w:val="center"/>
                </w:tcPr>
                <w:p w14:paraId="4E22C139">
                  <w:pPr>
                    <w:jc w:val="center"/>
                    <w:rPr>
                      <w:rFonts w:ascii="Times New Roman" w:hAnsi="Times New Roman" w:eastAsia="宋体" w:cs="Times New Roman"/>
                      <w:szCs w:val="21"/>
                    </w:rPr>
                  </w:pPr>
                  <w:r>
                    <w:rPr>
                      <w:rFonts w:hint="eastAsia" w:ascii="Times New Roman" w:hAnsi="Times New Roman" w:eastAsia="宋体" w:cs="Times New Roman"/>
                      <w:szCs w:val="21"/>
                    </w:rPr>
                    <w:t>自然蒸发</w:t>
                  </w:r>
                  <w:r>
                    <w:rPr>
                      <w:rFonts w:ascii="Times New Roman" w:hAnsi="Times New Roman" w:eastAsia="宋体" w:cs="Times New Roman"/>
                      <w:szCs w:val="21"/>
                    </w:rPr>
                    <w:t>，不外排</w:t>
                  </w:r>
                </w:p>
              </w:tc>
              <w:tc>
                <w:tcPr>
                  <w:tcW w:w="420" w:type="pct"/>
                  <w:vMerge w:val="continue"/>
                  <w:vAlign w:val="center"/>
                </w:tcPr>
                <w:p w14:paraId="265B7868">
                  <w:pPr>
                    <w:jc w:val="center"/>
                    <w:rPr>
                      <w:rFonts w:ascii="Times New Roman" w:hAnsi="Times New Roman" w:eastAsia="宋体" w:cs="Times New Roman"/>
                      <w:szCs w:val="21"/>
                    </w:rPr>
                  </w:pPr>
                </w:p>
              </w:tc>
            </w:tr>
            <w:tr w14:paraId="244BDA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continue"/>
                  <w:vAlign w:val="center"/>
                </w:tcPr>
                <w:p w14:paraId="58372922">
                  <w:pPr>
                    <w:jc w:val="center"/>
                    <w:rPr>
                      <w:rFonts w:ascii="Times New Roman" w:hAnsi="Times New Roman" w:eastAsia="宋体" w:cs="Times New Roman"/>
                      <w:szCs w:val="21"/>
                    </w:rPr>
                  </w:pPr>
                </w:p>
              </w:tc>
              <w:tc>
                <w:tcPr>
                  <w:tcW w:w="738" w:type="pct"/>
                  <w:vMerge w:val="continue"/>
                  <w:vAlign w:val="center"/>
                </w:tcPr>
                <w:p w14:paraId="5731EA99">
                  <w:pPr>
                    <w:jc w:val="center"/>
                    <w:rPr>
                      <w:rFonts w:ascii="Times New Roman" w:hAnsi="Times New Roman" w:eastAsia="宋体" w:cs="Times New Roman"/>
                      <w:szCs w:val="21"/>
                    </w:rPr>
                  </w:pPr>
                </w:p>
              </w:tc>
              <w:tc>
                <w:tcPr>
                  <w:tcW w:w="1792" w:type="pct"/>
                  <w:vAlign w:val="center"/>
                </w:tcPr>
                <w:p w14:paraId="3101C2FA">
                  <w:pPr>
                    <w:jc w:val="left"/>
                    <w:rPr>
                      <w:rFonts w:hint="eastAsia" w:ascii="Times New Roman" w:hAnsi="Times New Roman" w:eastAsia="宋体" w:cs="Times New Roman"/>
                      <w:color w:val="FF0000"/>
                      <w:szCs w:val="21"/>
                    </w:rPr>
                  </w:pPr>
                  <w:r>
                    <w:rPr>
                      <w:rFonts w:hint="eastAsia" w:ascii="Times New Roman" w:hAnsi="Times New Roman" w:eastAsia="宋体" w:cs="Times New Roman"/>
                      <w:color w:val="FF0000"/>
                      <w:szCs w:val="21"/>
                    </w:rPr>
                    <w:t>事故应急池</w:t>
                  </w:r>
                </w:p>
              </w:tc>
              <w:tc>
                <w:tcPr>
                  <w:tcW w:w="424" w:type="pct"/>
                  <w:vAlign w:val="center"/>
                </w:tcPr>
                <w:p w14:paraId="2BA1D108">
                  <w:pPr>
                    <w:jc w:val="center"/>
                    <w:rPr>
                      <w:rFonts w:ascii="Times New Roman" w:hAnsi="Times New Roman" w:eastAsia="宋体" w:cs="Times New Roman"/>
                      <w:color w:val="FF0000"/>
                      <w:szCs w:val="21"/>
                    </w:rPr>
                  </w:pPr>
                  <w:r>
                    <w:rPr>
                      <w:rFonts w:ascii="Times New Roman" w:hAnsi="Times New Roman" w:eastAsia="宋体" w:cs="Times New Roman"/>
                      <w:color w:val="FF0000"/>
                      <w:szCs w:val="21"/>
                    </w:rPr>
                    <w:t>1</w:t>
                  </w:r>
                </w:p>
              </w:tc>
              <w:tc>
                <w:tcPr>
                  <w:tcW w:w="1171" w:type="pct"/>
                  <w:vAlign w:val="center"/>
                </w:tcPr>
                <w:p w14:paraId="79DCDC12">
                  <w:pPr>
                    <w:jc w:val="center"/>
                    <w:rPr>
                      <w:rFonts w:ascii="Times New Roman" w:hAnsi="Times New Roman" w:eastAsia="宋体" w:cs="Times New Roman"/>
                      <w:color w:val="FF0000"/>
                      <w:szCs w:val="21"/>
                    </w:rPr>
                  </w:pPr>
                  <w:r>
                    <w:rPr>
                      <w:rFonts w:hint="eastAsia" w:ascii="Times New Roman" w:hAnsi="Times New Roman" w:eastAsia="宋体" w:cs="Times New Roman"/>
                      <w:color w:val="FF0000"/>
                      <w:szCs w:val="21"/>
                    </w:rPr>
                    <w:t>不小于废水池3</w:t>
                  </w:r>
                  <w:r>
                    <w:rPr>
                      <w:rFonts w:ascii="Times New Roman" w:hAnsi="Times New Roman" w:eastAsia="宋体" w:cs="Times New Roman"/>
                      <w:color w:val="FF0000"/>
                      <w:szCs w:val="21"/>
                    </w:rPr>
                    <w:t>0</w:t>
                  </w:r>
                  <w:r>
                    <w:rPr>
                      <w:rFonts w:hint="eastAsia" w:ascii="Times New Roman" w:hAnsi="Times New Roman" w:eastAsia="宋体" w:cs="Times New Roman"/>
                      <w:color w:val="FF0000"/>
                      <w:szCs w:val="21"/>
                    </w:rPr>
                    <w:t>%</w:t>
                  </w:r>
                </w:p>
              </w:tc>
              <w:tc>
                <w:tcPr>
                  <w:tcW w:w="420" w:type="pct"/>
                  <w:vMerge w:val="continue"/>
                  <w:vAlign w:val="center"/>
                </w:tcPr>
                <w:p w14:paraId="28F39946">
                  <w:pPr>
                    <w:jc w:val="center"/>
                    <w:rPr>
                      <w:rFonts w:ascii="Times New Roman" w:hAnsi="Times New Roman" w:eastAsia="宋体" w:cs="Times New Roman"/>
                      <w:szCs w:val="21"/>
                    </w:rPr>
                  </w:pPr>
                </w:p>
              </w:tc>
            </w:tr>
            <w:tr w14:paraId="12E1BC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continue"/>
                  <w:vAlign w:val="center"/>
                </w:tcPr>
                <w:p w14:paraId="0D0203C8">
                  <w:pPr>
                    <w:jc w:val="center"/>
                    <w:rPr>
                      <w:rFonts w:ascii="Times New Roman" w:hAnsi="Times New Roman" w:eastAsia="宋体" w:cs="Times New Roman"/>
                      <w:szCs w:val="21"/>
                    </w:rPr>
                  </w:pPr>
                </w:p>
              </w:tc>
              <w:tc>
                <w:tcPr>
                  <w:tcW w:w="738" w:type="pct"/>
                  <w:vAlign w:val="center"/>
                </w:tcPr>
                <w:p w14:paraId="2157BA4B">
                  <w:pPr>
                    <w:jc w:val="center"/>
                    <w:rPr>
                      <w:rFonts w:ascii="Times New Roman" w:hAnsi="Times New Roman" w:eastAsia="宋体" w:cs="Times New Roman"/>
                      <w:szCs w:val="21"/>
                    </w:rPr>
                  </w:pPr>
                  <w:r>
                    <w:rPr>
                      <w:rFonts w:hint="eastAsia" w:ascii="Times New Roman" w:hAnsi="Times New Roman" w:eastAsia="宋体" w:cs="Times New Roman"/>
                      <w:szCs w:val="21"/>
                    </w:rPr>
                    <w:t>雨水</w:t>
                  </w:r>
                </w:p>
              </w:tc>
              <w:tc>
                <w:tcPr>
                  <w:tcW w:w="1792" w:type="pct"/>
                  <w:vAlign w:val="center"/>
                </w:tcPr>
                <w:p w14:paraId="3D929049">
                  <w:pPr>
                    <w:jc w:val="left"/>
                    <w:rPr>
                      <w:rFonts w:ascii="Times New Roman" w:hAnsi="Times New Roman" w:eastAsia="宋体" w:cs="Times New Roman"/>
                      <w:szCs w:val="21"/>
                    </w:rPr>
                  </w:pPr>
                  <w:r>
                    <w:rPr>
                      <w:rFonts w:hint="eastAsia" w:ascii="Times New Roman" w:hAnsi="Times New Roman" w:eastAsia="宋体" w:cs="Times New Roman"/>
                      <w:szCs w:val="21"/>
                    </w:rPr>
                    <w:t>雨水沟管、三级沉淀池</w:t>
                  </w:r>
                </w:p>
              </w:tc>
              <w:tc>
                <w:tcPr>
                  <w:tcW w:w="424" w:type="pct"/>
                  <w:vAlign w:val="center"/>
                </w:tcPr>
                <w:p w14:paraId="3AB60D79">
                  <w:pPr>
                    <w:jc w:val="center"/>
                    <w:rPr>
                      <w:rFonts w:ascii="Times New Roman" w:hAnsi="Times New Roman" w:eastAsia="宋体" w:cs="Times New Roman"/>
                      <w:szCs w:val="21"/>
                    </w:rPr>
                  </w:pPr>
                  <w:r>
                    <w:rPr>
                      <w:rFonts w:hint="eastAsia" w:ascii="Times New Roman" w:hAnsi="Times New Roman" w:eastAsia="宋体" w:cs="Times New Roman"/>
                      <w:szCs w:val="21"/>
                    </w:rPr>
                    <w:t>1</w:t>
                  </w:r>
                </w:p>
              </w:tc>
              <w:tc>
                <w:tcPr>
                  <w:tcW w:w="1171" w:type="pct"/>
                  <w:vAlign w:val="center"/>
                </w:tcPr>
                <w:p w14:paraId="752FA356">
                  <w:pPr>
                    <w:jc w:val="center"/>
                    <w:rPr>
                      <w:rFonts w:ascii="Times New Roman" w:hAnsi="Times New Roman" w:eastAsia="宋体" w:cs="Times New Roman"/>
                      <w:szCs w:val="21"/>
                    </w:rPr>
                  </w:pPr>
                  <w:r>
                    <w:rPr>
                      <w:rFonts w:hint="eastAsia" w:ascii="Times New Roman" w:hAnsi="Times New Roman" w:eastAsia="宋体" w:cs="Times New Roman"/>
                      <w:szCs w:val="21"/>
                    </w:rPr>
                    <w:t>沉淀后外排</w:t>
                  </w:r>
                </w:p>
              </w:tc>
              <w:tc>
                <w:tcPr>
                  <w:tcW w:w="420" w:type="pct"/>
                  <w:vMerge w:val="continue"/>
                  <w:vAlign w:val="center"/>
                </w:tcPr>
                <w:p w14:paraId="3F9A05EA">
                  <w:pPr>
                    <w:jc w:val="center"/>
                    <w:rPr>
                      <w:rFonts w:ascii="Times New Roman" w:hAnsi="Times New Roman" w:eastAsia="宋体" w:cs="Times New Roman"/>
                      <w:szCs w:val="21"/>
                    </w:rPr>
                  </w:pPr>
                </w:p>
              </w:tc>
            </w:tr>
            <w:tr w14:paraId="322A25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Align w:val="center"/>
                </w:tcPr>
                <w:p w14:paraId="790D0435">
                  <w:pPr>
                    <w:jc w:val="center"/>
                    <w:rPr>
                      <w:rFonts w:ascii="Times New Roman" w:hAnsi="Times New Roman" w:eastAsia="宋体" w:cs="Times New Roman"/>
                      <w:szCs w:val="21"/>
                    </w:rPr>
                  </w:pPr>
                  <w:r>
                    <w:rPr>
                      <w:rFonts w:ascii="Times New Roman" w:hAnsi="Times New Roman" w:eastAsia="宋体" w:cs="Times New Roman"/>
                      <w:szCs w:val="21"/>
                    </w:rPr>
                    <w:t>废气</w:t>
                  </w:r>
                </w:p>
              </w:tc>
              <w:tc>
                <w:tcPr>
                  <w:tcW w:w="738" w:type="pct"/>
                  <w:vAlign w:val="center"/>
                </w:tcPr>
                <w:p w14:paraId="0367622A">
                  <w:pPr>
                    <w:jc w:val="center"/>
                    <w:rPr>
                      <w:rFonts w:ascii="Times New Roman" w:hAnsi="Times New Roman" w:eastAsia="宋体" w:cs="Times New Roman"/>
                      <w:szCs w:val="21"/>
                    </w:rPr>
                  </w:pPr>
                  <w:r>
                    <w:rPr>
                      <w:rFonts w:hint="eastAsia" w:ascii="Times New Roman" w:hAnsi="Times New Roman" w:eastAsia="宋体" w:cs="Times New Roman"/>
                      <w:szCs w:val="21"/>
                    </w:rPr>
                    <w:t>无组织粉尘</w:t>
                  </w:r>
                </w:p>
              </w:tc>
              <w:tc>
                <w:tcPr>
                  <w:tcW w:w="1792" w:type="pct"/>
                  <w:vAlign w:val="center"/>
                </w:tcPr>
                <w:p w14:paraId="302D90F1">
                  <w:pPr>
                    <w:jc w:val="center"/>
                    <w:rPr>
                      <w:rFonts w:ascii="Times New Roman" w:hAnsi="Times New Roman" w:eastAsia="宋体" w:cs="Times New Roman"/>
                      <w:szCs w:val="21"/>
                    </w:rPr>
                  </w:pPr>
                  <w:r>
                    <w:rPr>
                      <w:rFonts w:hint="eastAsia" w:ascii="Times New Roman" w:hAnsi="Times New Roman" w:eastAsia="宋体" w:cs="Times New Roman"/>
                      <w:szCs w:val="21"/>
                    </w:rPr>
                    <w:t>车间密闭、湿法作业、喷雾降尘、雾炮机4台、</w:t>
                  </w:r>
                  <w:r>
                    <w:rPr>
                      <w:rFonts w:ascii="Times New Roman" w:hAnsi="Times New Roman" w:eastAsia="宋体" w:cs="Times New Roman"/>
                      <w:szCs w:val="21"/>
                    </w:rPr>
                    <w:t>轮胎冲洗、</w:t>
                  </w:r>
                  <w:r>
                    <w:rPr>
                      <w:rFonts w:hint="eastAsia" w:ascii="Times New Roman" w:hAnsi="Times New Roman" w:eastAsia="宋体" w:cs="Times New Roman"/>
                      <w:szCs w:val="21"/>
                    </w:rPr>
                    <w:t>主要道路硬化</w:t>
                  </w:r>
                </w:p>
              </w:tc>
              <w:tc>
                <w:tcPr>
                  <w:tcW w:w="424" w:type="pct"/>
                  <w:vAlign w:val="center"/>
                </w:tcPr>
                <w:p w14:paraId="5F1E436B">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171" w:type="pct"/>
                  <w:vAlign w:val="center"/>
                </w:tcPr>
                <w:p w14:paraId="270D3FDB">
                  <w:pPr>
                    <w:jc w:val="center"/>
                    <w:rPr>
                      <w:rFonts w:ascii="Times New Roman" w:hAnsi="Times New Roman" w:eastAsia="宋体" w:cs="Times New Roman"/>
                      <w:szCs w:val="21"/>
                    </w:rPr>
                  </w:pPr>
                  <w:r>
                    <w:rPr>
                      <w:rFonts w:ascii="Times New Roman" w:hAnsi="Times New Roman" w:eastAsia="宋体" w:cs="Times New Roman"/>
                      <w:szCs w:val="21"/>
                    </w:rPr>
                    <w:t>《大气污染物综合排放标准》（GB16297-1996）</w:t>
                  </w:r>
                </w:p>
              </w:tc>
              <w:tc>
                <w:tcPr>
                  <w:tcW w:w="420" w:type="pct"/>
                  <w:vMerge w:val="continue"/>
                  <w:vAlign w:val="center"/>
                </w:tcPr>
                <w:p w14:paraId="4257822F">
                  <w:pPr>
                    <w:jc w:val="center"/>
                    <w:rPr>
                      <w:rFonts w:ascii="Times New Roman" w:hAnsi="Times New Roman" w:eastAsia="宋体" w:cs="Times New Roman"/>
                      <w:szCs w:val="21"/>
                    </w:rPr>
                  </w:pPr>
                </w:p>
              </w:tc>
            </w:tr>
            <w:tr w14:paraId="5F9111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restart"/>
                  <w:vAlign w:val="center"/>
                </w:tcPr>
                <w:p w14:paraId="15F93CC9">
                  <w:pPr>
                    <w:jc w:val="center"/>
                    <w:rPr>
                      <w:rFonts w:ascii="Times New Roman" w:hAnsi="Times New Roman" w:eastAsia="宋体" w:cs="Times New Roman"/>
                      <w:szCs w:val="21"/>
                    </w:rPr>
                  </w:pPr>
                  <w:r>
                    <w:rPr>
                      <w:rFonts w:ascii="Times New Roman" w:hAnsi="Times New Roman" w:eastAsia="宋体" w:cs="Times New Roman"/>
                      <w:szCs w:val="21"/>
                    </w:rPr>
                    <w:t>固体废物</w:t>
                  </w:r>
                </w:p>
              </w:tc>
              <w:tc>
                <w:tcPr>
                  <w:tcW w:w="738" w:type="pct"/>
                  <w:vAlign w:val="center"/>
                </w:tcPr>
                <w:p w14:paraId="159DA28B">
                  <w:pPr>
                    <w:jc w:val="center"/>
                    <w:rPr>
                      <w:rFonts w:ascii="Times New Roman" w:hAnsi="Times New Roman" w:eastAsia="宋体" w:cs="Times New Roman"/>
                      <w:szCs w:val="21"/>
                    </w:rPr>
                  </w:pPr>
                  <w:r>
                    <w:rPr>
                      <w:rFonts w:ascii="Times New Roman" w:hAnsi="Times New Roman" w:eastAsia="宋体" w:cs="Times New Roman"/>
                      <w:kern w:val="0"/>
                      <w:szCs w:val="21"/>
                    </w:rPr>
                    <w:t>生活垃圾</w:t>
                  </w:r>
                </w:p>
              </w:tc>
              <w:tc>
                <w:tcPr>
                  <w:tcW w:w="1792" w:type="pct"/>
                  <w:vAlign w:val="center"/>
                </w:tcPr>
                <w:p w14:paraId="5B7178D3">
                  <w:pPr>
                    <w:jc w:val="center"/>
                    <w:rPr>
                      <w:rFonts w:ascii="Times New Roman" w:hAnsi="Times New Roman" w:eastAsia="宋体" w:cs="Times New Roman"/>
                      <w:szCs w:val="21"/>
                    </w:rPr>
                  </w:pPr>
                  <w:r>
                    <w:rPr>
                      <w:rFonts w:ascii="Times New Roman" w:hAnsi="Times New Roman" w:eastAsia="宋体" w:cs="Times New Roman"/>
                      <w:szCs w:val="21"/>
                    </w:rPr>
                    <w:t>厂区垃圾桶收集后交环卫部门清运处理</w:t>
                  </w:r>
                </w:p>
              </w:tc>
              <w:tc>
                <w:tcPr>
                  <w:tcW w:w="424" w:type="pct"/>
                  <w:vAlign w:val="center"/>
                </w:tcPr>
                <w:p w14:paraId="2B3517B0">
                  <w:pPr>
                    <w:jc w:val="center"/>
                    <w:rPr>
                      <w:rFonts w:ascii="Times New Roman" w:hAnsi="Times New Roman" w:eastAsia="宋体" w:cs="Times New Roman"/>
                      <w:szCs w:val="21"/>
                    </w:rPr>
                  </w:pPr>
                  <w:r>
                    <w:rPr>
                      <w:rFonts w:hint="eastAsia" w:ascii="Times New Roman" w:hAnsi="Times New Roman" w:eastAsia="宋体" w:cs="Times New Roman"/>
                      <w:szCs w:val="21"/>
                    </w:rPr>
                    <w:t>若干</w:t>
                  </w:r>
                </w:p>
              </w:tc>
              <w:tc>
                <w:tcPr>
                  <w:tcW w:w="1171" w:type="pct"/>
                  <w:vMerge w:val="restart"/>
                  <w:vAlign w:val="center"/>
                </w:tcPr>
                <w:p w14:paraId="2EDA7708">
                  <w:pPr>
                    <w:jc w:val="left"/>
                    <w:rPr>
                      <w:rFonts w:ascii="Times New Roman" w:hAnsi="Times New Roman" w:eastAsia="宋体" w:cs="Times New Roman"/>
                      <w:szCs w:val="21"/>
                    </w:rPr>
                  </w:pPr>
                  <w:r>
                    <w:rPr>
                      <w:rFonts w:ascii="Times New Roman" w:hAnsi="Times New Roman" w:eastAsia="宋体" w:cs="Times New Roman"/>
                      <w:szCs w:val="21"/>
                    </w:rPr>
                    <w:t>固体废物分类收集，去向明确，不造成二次污染。</w:t>
                  </w:r>
                </w:p>
              </w:tc>
              <w:tc>
                <w:tcPr>
                  <w:tcW w:w="420" w:type="pct"/>
                  <w:vMerge w:val="continue"/>
                  <w:vAlign w:val="center"/>
                </w:tcPr>
                <w:p w14:paraId="0E153B50">
                  <w:pPr>
                    <w:jc w:val="center"/>
                    <w:rPr>
                      <w:rFonts w:ascii="Times New Roman" w:hAnsi="Times New Roman" w:eastAsia="宋体" w:cs="Times New Roman"/>
                      <w:szCs w:val="21"/>
                    </w:rPr>
                  </w:pPr>
                </w:p>
              </w:tc>
            </w:tr>
            <w:tr w14:paraId="042009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continue"/>
                  <w:vAlign w:val="center"/>
                </w:tcPr>
                <w:p w14:paraId="5B5A3AFD">
                  <w:pPr>
                    <w:jc w:val="center"/>
                    <w:rPr>
                      <w:rFonts w:ascii="Times New Roman" w:hAnsi="Times New Roman" w:eastAsia="宋体" w:cs="Times New Roman"/>
                      <w:szCs w:val="21"/>
                    </w:rPr>
                  </w:pPr>
                </w:p>
              </w:tc>
              <w:tc>
                <w:tcPr>
                  <w:tcW w:w="738" w:type="pct"/>
                </w:tcPr>
                <w:p w14:paraId="2F95D8AC">
                  <w:pPr>
                    <w:jc w:val="center"/>
                    <w:rPr>
                      <w:rFonts w:ascii="Times New Roman" w:hAnsi="Times New Roman" w:eastAsia="宋体" w:cs="Times New Roman"/>
                      <w:szCs w:val="21"/>
                    </w:rPr>
                  </w:pPr>
                  <w:r>
                    <w:rPr>
                      <w:rFonts w:hint="eastAsia" w:ascii="Times New Roman" w:hAnsi="Times New Roman" w:eastAsia="宋体" w:cs="Times New Roman"/>
                      <w:szCs w:val="21"/>
                    </w:rPr>
                    <w:t>磁选废铁渣、分类废料</w:t>
                  </w:r>
                </w:p>
              </w:tc>
              <w:tc>
                <w:tcPr>
                  <w:tcW w:w="1792" w:type="pct"/>
                  <w:vAlign w:val="center"/>
                </w:tcPr>
                <w:p w14:paraId="22A61361">
                  <w:pPr>
                    <w:jc w:val="center"/>
                    <w:rPr>
                      <w:rFonts w:ascii="Times New Roman" w:hAnsi="Times New Roman" w:eastAsia="宋体" w:cs="Times New Roman"/>
                      <w:szCs w:val="21"/>
                    </w:rPr>
                  </w:pPr>
                  <w:r>
                    <w:rPr>
                      <w:rFonts w:hint="eastAsia" w:ascii="Times New Roman" w:hAnsi="Times New Roman" w:eastAsia="宋体" w:cs="Times New Roman"/>
                      <w:szCs w:val="21"/>
                    </w:rPr>
                    <w:t>废品公司</w:t>
                  </w:r>
                  <w:r>
                    <w:rPr>
                      <w:rFonts w:ascii="Times New Roman" w:hAnsi="Times New Roman" w:eastAsia="宋体" w:cs="Times New Roman"/>
                      <w:szCs w:val="21"/>
                    </w:rPr>
                    <w:t>回收外售</w:t>
                  </w:r>
                </w:p>
              </w:tc>
              <w:tc>
                <w:tcPr>
                  <w:tcW w:w="424" w:type="pct"/>
                  <w:vAlign w:val="center"/>
                </w:tcPr>
                <w:p w14:paraId="5842425C">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71" w:type="pct"/>
                  <w:vMerge w:val="continue"/>
                  <w:vAlign w:val="center"/>
                </w:tcPr>
                <w:p w14:paraId="00F8A043">
                  <w:pPr>
                    <w:jc w:val="left"/>
                    <w:rPr>
                      <w:rFonts w:ascii="Times New Roman" w:hAnsi="Times New Roman" w:eastAsia="宋体" w:cs="Times New Roman"/>
                      <w:szCs w:val="21"/>
                    </w:rPr>
                  </w:pPr>
                </w:p>
              </w:tc>
              <w:tc>
                <w:tcPr>
                  <w:tcW w:w="420" w:type="pct"/>
                  <w:vMerge w:val="continue"/>
                  <w:vAlign w:val="center"/>
                </w:tcPr>
                <w:p w14:paraId="5D28DFD6">
                  <w:pPr>
                    <w:jc w:val="center"/>
                    <w:rPr>
                      <w:rFonts w:ascii="Times New Roman" w:hAnsi="Times New Roman" w:eastAsia="宋体" w:cs="Times New Roman"/>
                      <w:szCs w:val="21"/>
                    </w:rPr>
                  </w:pPr>
                </w:p>
              </w:tc>
            </w:tr>
            <w:tr w14:paraId="6A4F84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continue"/>
                  <w:vAlign w:val="center"/>
                </w:tcPr>
                <w:p w14:paraId="5C0A397B">
                  <w:pPr>
                    <w:jc w:val="center"/>
                    <w:rPr>
                      <w:rFonts w:ascii="Times New Roman" w:hAnsi="Times New Roman" w:eastAsia="宋体" w:cs="Times New Roman"/>
                      <w:szCs w:val="21"/>
                    </w:rPr>
                  </w:pPr>
                </w:p>
              </w:tc>
              <w:tc>
                <w:tcPr>
                  <w:tcW w:w="738" w:type="pct"/>
                </w:tcPr>
                <w:p w14:paraId="0F4C1A60">
                  <w:pPr>
                    <w:jc w:val="center"/>
                    <w:rPr>
                      <w:rFonts w:ascii="Times New Roman" w:hAnsi="Times New Roman" w:eastAsia="宋体" w:cs="Times New Roman"/>
                      <w:szCs w:val="21"/>
                    </w:rPr>
                  </w:pPr>
                  <w:r>
                    <w:rPr>
                      <w:rFonts w:hint="eastAsia" w:ascii="Times New Roman" w:hAnsi="Times New Roman" w:eastAsia="宋体" w:cs="Times New Roman"/>
                      <w:szCs w:val="21"/>
                    </w:rPr>
                    <w:t>维修废物</w:t>
                  </w:r>
                </w:p>
              </w:tc>
              <w:tc>
                <w:tcPr>
                  <w:tcW w:w="1792" w:type="pct"/>
                  <w:vAlign w:val="center"/>
                </w:tcPr>
                <w:p w14:paraId="759C7D8F">
                  <w:pPr>
                    <w:jc w:val="center"/>
                    <w:rPr>
                      <w:rFonts w:ascii="Times New Roman" w:hAnsi="Times New Roman" w:eastAsia="宋体" w:cs="Times New Roman"/>
                      <w:szCs w:val="21"/>
                    </w:rPr>
                  </w:pPr>
                  <w:r>
                    <w:rPr>
                      <w:rFonts w:ascii="Times New Roman" w:hAnsi="Times New Roman" w:eastAsia="宋体" w:cs="Times New Roman"/>
                      <w:szCs w:val="21"/>
                    </w:rPr>
                    <w:t>收集后交环卫部门清运处理</w:t>
                  </w:r>
                </w:p>
              </w:tc>
              <w:tc>
                <w:tcPr>
                  <w:tcW w:w="424" w:type="pct"/>
                  <w:vAlign w:val="center"/>
                </w:tcPr>
                <w:p w14:paraId="0F89C8FE">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71" w:type="pct"/>
                  <w:vMerge w:val="continue"/>
                  <w:vAlign w:val="center"/>
                </w:tcPr>
                <w:p w14:paraId="33F07D6F">
                  <w:pPr>
                    <w:jc w:val="left"/>
                    <w:rPr>
                      <w:rFonts w:ascii="Times New Roman" w:hAnsi="Times New Roman" w:eastAsia="宋体" w:cs="Times New Roman"/>
                      <w:szCs w:val="21"/>
                    </w:rPr>
                  </w:pPr>
                </w:p>
              </w:tc>
              <w:tc>
                <w:tcPr>
                  <w:tcW w:w="420" w:type="pct"/>
                  <w:vMerge w:val="continue"/>
                  <w:vAlign w:val="center"/>
                </w:tcPr>
                <w:p w14:paraId="2C08D7E7">
                  <w:pPr>
                    <w:jc w:val="center"/>
                    <w:rPr>
                      <w:rFonts w:ascii="Times New Roman" w:hAnsi="Times New Roman" w:eastAsia="宋体" w:cs="Times New Roman"/>
                      <w:szCs w:val="21"/>
                    </w:rPr>
                  </w:pPr>
                </w:p>
              </w:tc>
            </w:tr>
            <w:tr w14:paraId="0A5D71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Merge w:val="continue"/>
                  <w:vAlign w:val="center"/>
                </w:tcPr>
                <w:p w14:paraId="07A74635">
                  <w:pPr>
                    <w:jc w:val="center"/>
                    <w:rPr>
                      <w:rFonts w:ascii="Times New Roman" w:hAnsi="Times New Roman" w:eastAsia="宋体" w:cs="Times New Roman"/>
                      <w:szCs w:val="21"/>
                    </w:rPr>
                  </w:pPr>
                </w:p>
              </w:tc>
              <w:tc>
                <w:tcPr>
                  <w:tcW w:w="738" w:type="pct"/>
                </w:tcPr>
                <w:p w14:paraId="373D1188">
                  <w:pPr>
                    <w:jc w:val="center"/>
                    <w:rPr>
                      <w:rFonts w:ascii="Times New Roman" w:hAnsi="Times New Roman" w:eastAsia="宋体" w:cs="Times New Roman"/>
                      <w:szCs w:val="21"/>
                    </w:rPr>
                  </w:pPr>
                  <w:r>
                    <w:rPr>
                      <w:rFonts w:hint="eastAsia" w:ascii="Times New Roman" w:hAnsi="Times New Roman" w:eastAsia="宋体" w:cs="Times New Roman"/>
                      <w:kern w:val="0"/>
                      <w:szCs w:val="21"/>
                    </w:rPr>
                    <w:t>沉淀池淤泥</w:t>
                  </w:r>
                </w:p>
              </w:tc>
              <w:tc>
                <w:tcPr>
                  <w:tcW w:w="1792" w:type="pct"/>
                  <w:vAlign w:val="center"/>
                </w:tcPr>
                <w:p w14:paraId="3CD663AD">
                  <w:pPr>
                    <w:jc w:val="center"/>
                    <w:rPr>
                      <w:rFonts w:ascii="Times New Roman" w:hAnsi="Times New Roman" w:eastAsia="宋体" w:cs="Times New Roman"/>
                      <w:szCs w:val="21"/>
                    </w:rPr>
                  </w:pPr>
                  <w:r>
                    <w:rPr>
                      <w:rFonts w:hint="eastAsia" w:ascii="Times New Roman" w:hAnsi="Times New Roman" w:eastAsia="宋体" w:cs="Times New Roman"/>
                      <w:szCs w:val="21"/>
                    </w:rPr>
                    <w:t>干化后回填中铁十五局弃土场</w:t>
                  </w:r>
                </w:p>
              </w:tc>
              <w:tc>
                <w:tcPr>
                  <w:tcW w:w="424" w:type="pct"/>
                  <w:vAlign w:val="center"/>
                </w:tcPr>
                <w:p w14:paraId="07BAB274">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1171" w:type="pct"/>
                  <w:vMerge w:val="continue"/>
                  <w:vAlign w:val="center"/>
                </w:tcPr>
                <w:p w14:paraId="205CAE03">
                  <w:pPr>
                    <w:jc w:val="left"/>
                    <w:rPr>
                      <w:rFonts w:ascii="Times New Roman" w:hAnsi="Times New Roman" w:eastAsia="宋体" w:cs="Times New Roman"/>
                      <w:szCs w:val="21"/>
                    </w:rPr>
                  </w:pPr>
                </w:p>
              </w:tc>
              <w:tc>
                <w:tcPr>
                  <w:tcW w:w="420" w:type="pct"/>
                  <w:vMerge w:val="continue"/>
                  <w:vAlign w:val="center"/>
                </w:tcPr>
                <w:p w14:paraId="1E8C6077">
                  <w:pPr>
                    <w:jc w:val="center"/>
                    <w:rPr>
                      <w:rFonts w:ascii="Times New Roman" w:hAnsi="Times New Roman" w:eastAsia="宋体" w:cs="Times New Roman"/>
                      <w:szCs w:val="21"/>
                    </w:rPr>
                  </w:pPr>
                </w:p>
              </w:tc>
            </w:tr>
            <w:tr w14:paraId="42B301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455" w:type="pct"/>
                  <w:vAlign w:val="center"/>
                </w:tcPr>
                <w:p w14:paraId="3DDCCA09">
                  <w:pPr>
                    <w:jc w:val="center"/>
                    <w:rPr>
                      <w:rFonts w:ascii="Times New Roman" w:hAnsi="Times New Roman" w:eastAsia="宋体" w:cs="Times New Roman"/>
                      <w:szCs w:val="21"/>
                    </w:rPr>
                  </w:pPr>
                  <w:r>
                    <w:rPr>
                      <w:rFonts w:ascii="Times New Roman" w:hAnsi="Times New Roman" w:eastAsia="宋体" w:cs="Times New Roman"/>
                      <w:szCs w:val="21"/>
                    </w:rPr>
                    <w:t>噪声</w:t>
                  </w:r>
                </w:p>
              </w:tc>
              <w:tc>
                <w:tcPr>
                  <w:tcW w:w="738" w:type="pct"/>
                  <w:vAlign w:val="center"/>
                </w:tcPr>
                <w:p w14:paraId="5A3F9CFA">
                  <w:pPr>
                    <w:jc w:val="center"/>
                    <w:rPr>
                      <w:rFonts w:ascii="Times New Roman" w:hAnsi="Times New Roman" w:eastAsia="宋体" w:cs="Times New Roman"/>
                      <w:szCs w:val="21"/>
                    </w:rPr>
                  </w:pPr>
                  <w:r>
                    <w:rPr>
                      <w:rFonts w:ascii="Times New Roman" w:hAnsi="Times New Roman" w:eastAsia="宋体" w:cs="Times New Roman"/>
                      <w:szCs w:val="21"/>
                    </w:rPr>
                    <w:t>噪声</w:t>
                  </w:r>
                </w:p>
              </w:tc>
              <w:tc>
                <w:tcPr>
                  <w:tcW w:w="1792" w:type="pct"/>
                  <w:vAlign w:val="center"/>
                </w:tcPr>
                <w:p w14:paraId="5575F743">
                  <w:pPr>
                    <w:jc w:val="center"/>
                    <w:rPr>
                      <w:rFonts w:ascii="Times New Roman" w:hAnsi="Times New Roman" w:eastAsia="宋体" w:cs="Times New Roman"/>
                      <w:szCs w:val="21"/>
                    </w:rPr>
                  </w:pPr>
                  <w:r>
                    <w:rPr>
                      <w:rFonts w:ascii="Times New Roman" w:hAnsi="Times New Roman" w:eastAsia="宋体" w:cs="Times New Roman"/>
                      <w:kern w:val="0"/>
                      <w:szCs w:val="21"/>
                    </w:rPr>
                    <w:t>采取隔声、减震</w:t>
                  </w:r>
                  <w:r>
                    <w:rPr>
                      <w:rFonts w:hint="eastAsia" w:ascii="Times New Roman" w:hAnsi="Times New Roman" w:eastAsia="宋体" w:cs="Times New Roman"/>
                      <w:kern w:val="0"/>
                      <w:szCs w:val="21"/>
                    </w:rPr>
                    <w:t>等</w:t>
                  </w:r>
                  <w:r>
                    <w:rPr>
                      <w:rFonts w:ascii="Times New Roman" w:hAnsi="Times New Roman" w:eastAsia="宋体" w:cs="Times New Roman"/>
                      <w:kern w:val="0"/>
                      <w:szCs w:val="21"/>
                    </w:rPr>
                    <w:t>措施，确保不产生噪声扰民影响，加强厂区绿化</w:t>
                  </w:r>
                </w:p>
              </w:tc>
              <w:tc>
                <w:tcPr>
                  <w:tcW w:w="424" w:type="pct"/>
                  <w:vAlign w:val="center"/>
                </w:tcPr>
                <w:p w14:paraId="299BBA61">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1171" w:type="pct"/>
                  <w:vAlign w:val="center"/>
                </w:tcPr>
                <w:p w14:paraId="5649EA70">
                  <w:pPr>
                    <w:jc w:val="center"/>
                    <w:rPr>
                      <w:rFonts w:ascii="Times New Roman" w:hAnsi="Times New Roman" w:eastAsia="宋体" w:cs="Times New Roman"/>
                      <w:szCs w:val="21"/>
                    </w:rPr>
                  </w:pPr>
                  <w:r>
                    <w:rPr>
                      <w:rFonts w:ascii="Times New Roman" w:hAnsi="Times New Roman" w:eastAsia="宋体" w:cs="Times New Roman"/>
                      <w:szCs w:val="21"/>
                    </w:rPr>
                    <w:t>《工业企业厂界环境噪声排放标准》(GB12348-2008</w:t>
                  </w:r>
                  <w:r>
                    <w:rPr>
                      <w:rFonts w:hint="eastAsia" w:ascii="Times New Roman" w:hAnsi="Times New Roman" w:eastAsia="宋体" w:cs="Times New Roman"/>
                      <w:szCs w:val="21"/>
                      <w:lang w:eastAsia="zh-CN"/>
                    </w:rPr>
                    <w:t>）</w:t>
                  </w:r>
                  <w:r>
                    <w:rPr>
                      <w:rFonts w:ascii="Times New Roman" w:hAnsi="Times New Roman" w:eastAsia="宋体" w:cs="Times New Roman"/>
                      <w:szCs w:val="21"/>
                    </w:rPr>
                    <w:t>中2类标准</w:t>
                  </w:r>
                </w:p>
              </w:tc>
              <w:tc>
                <w:tcPr>
                  <w:tcW w:w="420" w:type="pct"/>
                  <w:vMerge w:val="continue"/>
                  <w:vAlign w:val="center"/>
                </w:tcPr>
                <w:p w14:paraId="6CB3A44D">
                  <w:pPr>
                    <w:jc w:val="center"/>
                    <w:rPr>
                      <w:rFonts w:ascii="Times New Roman" w:hAnsi="Times New Roman" w:eastAsia="宋体" w:cs="Times New Roman"/>
                      <w:szCs w:val="21"/>
                    </w:rPr>
                  </w:pPr>
                </w:p>
              </w:tc>
            </w:tr>
          </w:tbl>
          <w:p w14:paraId="683E2845">
            <w:pPr>
              <w:spacing w:before="120" w:after="120" w:line="480" w:lineRule="exact"/>
              <w:rPr>
                <w:rFonts w:ascii="Times New Roman" w:hAnsi="Times New Roman" w:eastAsia="宋体" w:cs="Times New Roman"/>
                <w:b/>
                <w:sz w:val="28"/>
                <w:szCs w:val="28"/>
              </w:rPr>
            </w:pPr>
            <w:r>
              <w:rPr>
                <w:rFonts w:ascii="Times New Roman" w:hAnsi="Times New Roman" w:eastAsia="宋体" w:cs="Times New Roman"/>
                <w:b/>
                <w:sz w:val="28"/>
                <w:szCs w:val="28"/>
              </w:rPr>
              <w:t>五、环境监测计划</w:t>
            </w:r>
          </w:p>
          <w:p w14:paraId="339BD980">
            <w:pPr>
              <w:pStyle w:val="96"/>
              <w:spacing w:line="480" w:lineRule="exact"/>
              <w:ind w:firstLine="480"/>
              <w:rPr>
                <w:rFonts w:ascii="Times New Roman" w:hAnsi="Times New Roman" w:eastAsia="宋体" w:cs="Times New Roman"/>
                <w:sz w:val="24"/>
                <w:szCs w:val="24"/>
                <w:lang w:val="en-GB"/>
              </w:rPr>
            </w:pPr>
            <w:r>
              <w:rPr>
                <w:rFonts w:ascii="Times New Roman" w:hAnsi="Times New Roman" w:eastAsia="宋体" w:cs="Times New Roman"/>
                <w:sz w:val="24"/>
                <w:szCs w:val="24"/>
                <w:lang w:val="en-GB"/>
              </w:rPr>
              <w:t>本项目的环境监测计划主要是保证项目所排放的污染物能够达标排放，从本项目的污染物排放特点来看，具体监测计划见下表。</w:t>
            </w:r>
          </w:p>
          <w:p w14:paraId="7CF3D5B1">
            <w:pPr>
              <w:widowControl/>
              <w:adjustRightInd w:val="0"/>
              <w:snapToGrid w:val="0"/>
              <w:spacing w:line="480" w:lineRule="exact"/>
              <w:ind w:right="92" w:rightChars="44"/>
              <w:jc w:val="center"/>
              <w:rPr>
                <w:rFonts w:ascii="Times New Roman" w:hAnsi="Times New Roman" w:eastAsia="宋体" w:cs="Times New Roman"/>
                <w:bCs/>
                <w:sz w:val="24"/>
              </w:rPr>
            </w:pPr>
            <w:r>
              <w:rPr>
                <w:rFonts w:ascii="Times New Roman" w:hAnsi="Times New Roman" w:eastAsia="宋体" w:cs="Times New Roman"/>
                <w:bCs/>
                <w:sz w:val="24"/>
              </w:rPr>
              <w:t>表7-30  本项目环境监测计划</w:t>
            </w:r>
          </w:p>
          <w:tbl>
            <w:tblPr>
              <w:tblStyle w:val="26"/>
              <w:tblW w:w="847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2601"/>
              <w:gridCol w:w="3734"/>
              <w:gridCol w:w="2135"/>
            </w:tblGrid>
            <w:tr w14:paraId="1BC434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2601" w:type="dxa"/>
                  <w:vAlign w:val="center"/>
                </w:tcPr>
                <w:p w14:paraId="3159F178">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监测点位</w:t>
                  </w:r>
                </w:p>
              </w:tc>
              <w:tc>
                <w:tcPr>
                  <w:tcW w:w="3734" w:type="dxa"/>
                  <w:vAlign w:val="center"/>
                </w:tcPr>
                <w:p w14:paraId="62916055">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监测项目</w:t>
                  </w:r>
                </w:p>
              </w:tc>
              <w:tc>
                <w:tcPr>
                  <w:tcW w:w="2135" w:type="dxa"/>
                  <w:vAlign w:val="center"/>
                </w:tcPr>
                <w:p w14:paraId="7E29919D">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监测频次</w:t>
                  </w:r>
                </w:p>
              </w:tc>
            </w:tr>
            <w:tr w14:paraId="4B6BA5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8470" w:type="dxa"/>
                  <w:gridSpan w:val="3"/>
                  <w:vAlign w:val="center"/>
                </w:tcPr>
                <w:p w14:paraId="510F1A2A">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大气污染物监测</w:t>
                  </w:r>
                </w:p>
              </w:tc>
            </w:tr>
            <w:tr w14:paraId="5E6134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2601" w:type="dxa"/>
                  <w:vAlign w:val="center"/>
                </w:tcPr>
                <w:p w14:paraId="7BC6B246">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厂界无组织监控点</w:t>
                  </w:r>
                </w:p>
              </w:tc>
              <w:tc>
                <w:tcPr>
                  <w:tcW w:w="3734" w:type="dxa"/>
                  <w:vAlign w:val="center"/>
                </w:tcPr>
                <w:p w14:paraId="10B220F7">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颗粒物</w:t>
                  </w:r>
                </w:p>
              </w:tc>
              <w:tc>
                <w:tcPr>
                  <w:tcW w:w="2135" w:type="dxa"/>
                  <w:vAlign w:val="center"/>
                </w:tcPr>
                <w:p w14:paraId="1CA76F30">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一次/年</w:t>
                  </w:r>
                </w:p>
              </w:tc>
            </w:tr>
            <w:tr w14:paraId="1DA698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8470" w:type="dxa"/>
                  <w:gridSpan w:val="3"/>
                  <w:vAlign w:val="center"/>
                </w:tcPr>
                <w:p w14:paraId="52298380">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噪声监测</w:t>
                  </w:r>
                </w:p>
              </w:tc>
            </w:tr>
            <w:tr w14:paraId="42ABD7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2601" w:type="dxa"/>
                  <w:vAlign w:val="center"/>
                </w:tcPr>
                <w:p w14:paraId="1B360A0C">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厂界噪声监测点位</w:t>
                  </w:r>
                </w:p>
              </w:tc>
              <w:tc>
                <w:tcPr>
                  <w:tcW w:w="3734" w:type="dxa"/>
                  <w:vAlign w:val="center"/>
                </w:tcPr>
                <w:p w14:paraId="032C3F23">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设备噪声及厂界噪声</w:t>
                  </w:r>
                </w:p>
              </w:tc>
              <w:tc>
                <w:tcPr>
                  <w:tcW w:w="2135" w:type="dxa"/>
                  <w:vAlign w:val="center"/>
                </w:tcPr>
                <w:p w14:paraId="537ECDD9">
                  <w:pPr>
                    <w:spacing w:line="320" w:lineRule="exact"/>
                    <w:jc w:val="center"/>
                    <w:rPr>
                      <w:rFonts w:ascii="Times New Roman" w:hAnsi="Times New Roman" w:eastAsia="宋体" w:cs="Times New Roman"/>
                      <w:szCs w:val="21"/>
                    </w:rPr>
                  </w:pPr>
                  <w:r>
                    <w:rPr>
                      <w:rFonts w:ascii="Times New Roman" w:hAnsi="Times New Roman" w:eastAsia="宋体" w:cs="Times New Roman"/>
                      <w:szCs w:val="21"/>
                    </w:rPr>
                    <w:t>一次/</w:t>
                  </w:r>
                  <w:r>
                    <w:rPr>
                      <w:rFonts w:hint="eastAsia" w:ascii="Times New Roman" w:hAnsi="Times New Roman" w:eastAsia="宋体" w:cs="Times New Roman"/>
                      <w:szCs w:val="21"/>
                    </w:rPr>
                    <w:t>年</w:t>
                  </w:r>
                </w:p>
              </w:tc>
            </w:tr>
          </w:tbl>
          <w:p w14:paraId="5569AB10">
            <w:pPr>
              <w:pStyle w:val="96"/>
              <w:spacing w:line="480" w:lineRule="exact"/>
              <w:ind w:firstLine="480"/>
              <w:rPr>
                <w:rFonts w:ascii="Times New Roman" w:hAnsi="Times New Roman" w:eastAsia="宋体" w:cs="Times New Roman"/>
                <w:sz w:val="24"/>
                <w:szCs w:val="24"/>
              </w:rPr>
            </w:pPr>
          </w:p>
          <w:p w14:paraId="51D471FB">
            <w:pPr>
              <w:pStyle w:val="96"/>
              <w:spacing w:line="480" w:lineRule="exact"/>
              <w:ind w:firstLine="480"/>
              <w:rPr>
                <w:rFonts w:ascii="Times New Roman" w:hAnsi="Times New Roman" w:eastAsia="宋体" w:cs="Times New Roman"/>
                <w:sz w:val="24"/>
                <w:szCs w:val="24"/>
              </w:rPr>
            </w:pPr>
          </w:p>
          <w:p w14:paraId="5E259CF9">
            <w:pPr>
              <w:pStyle w:val="96"/>
              <w:spacing w:line="480" w:lineRule="exact"/>
              <w:ind w:firstLine="480"/>
              <w:rPr>
                <w:rFonts w:ascii="Times New Roman" w:hAnsi="Times New Roman" w:eastAsia="宋体" w:cs="Times New Roman"/>
                <w:sz w:val="24"/>
                <w:szCs w:val="24"/>
              </w:rPr>
            </w:pPr>
          </w:p>
          <w:p w14:paraId="6403E0C9">
            <w:pPr>
              <w:pStyle w:val="96"/>
              <w:spacing w:line="480" w:lineRule="exact"/>
              <w:ind w:firstLine="480"/>
              <w:rPr>
                <w:rFonts w:ascii="Times New Roman" w:hAnsi="Times New Roman" w:eastAsia="宋体" w:cs="Times New Roman"/>
                <w:sz w:val="24"/>
                <w:szCs w:val="24"/>
              </w:rPr>
            </w:pPr>
          </w:p>
          <w:p w14:paraId="03D3612E">
            <w:pPr>
              <w:pStyle w:val="96"/>
              <w:spacing w:line="480" w:lineRule="exact"/>
              <w:ind w:firstLine="480"/>
              <w:rPr>
                <w:rFonts w:ascii="Times New Roman" w:hAnsi="Times New Roman" w:eastAsia="宋体" w:cs="Times New Roman"/>
                <w:sz w:val="24"/>
                <w:szCs w:val="24"/>
              </w:rPr>
            </w:pPr>
          </w:p>
          <w:p w14:paraId="5F43D33D">
            <w:pPr>
              <w:pStyle w:val="96"/>
              <w:spacing w:line="480" w:lineRule="exact"/>
              <w:ind w:firstLine="480"/>
              <w:rPr>
                <w:rFonts w:ascii="Times New Roman" w:hAnsi="Times New Roman" w:eastAsia="宋体" w:cs="Times New Roman"/>
                <w:sz w:val="24"/>
                <w:szCs w:val="24"/>
              </w:rPr>
            </w:pPr>
          </w:p>
          <w:p w14:paraId="480BA779">
            <w:pPr>
              <w:pStyle w:val="96"/>
              <w:spacing w:line="480" w:lineRule="exact"/>
              <w:ind w:firstLine="480"/>
              <w:rPr>
                <w:rFonts w:ascii="Times New Roman" w:hAnsi="Times New Roman" w:eastAsia="宋体" w:cs="Times New Roman"/>
                <w:sz w:val="24"/>
                <w:szCs w:val="24"/>
              </w:rPr>
            </w:pPr>
          </w:p>
          <w:p w14:paraId="00716D47">
            <w:pPr>
              <w:pStyle w:val="96"/>
              <w:spacing w:line="480" w:lineRule="exact"/>
              <w:ind w:firstLine="480"/>
              <w:rPr>
                <w:rFonts w:ascii="Times New Roman" w:hAnsi="Times New Roman" w:eastAsia="宋体" w:cs="Times New Roman"/>
                <w:sz w:val="24"/>
                <w:szCs w:val="24"/>
              </w:rPr>
            </w:pPr>
          </w:p>
          <w:p w14:paraId="02249E68">
            <w:pPr>
              <w:pStyle w:val="96"/>
              <w:spacing w:line="480" w:lineRule="exact"/>
              <w:ind w:firstLine="480"/>
              <w:rPr>
                <w:rFonts w:ascii="Times New Roman" w:hAnsi="Times New Roman" w:eastAsia="宋体" w:cs="Times New Roman"/>
                <w:sz w:val="24"/>
                <w:szCs w:val="24"/>
              </w:rPr>
            </w:pPr>
          </w:p>
          <w:p w14:paraId="51DDC044">
            <w:pPr>
              <w:pStyle w:val="96"/>
              <w:spacing w:line="480" w:lineRule="exact"/>
              <w:ind w:firstLine="480"/>
              <w:rPr>
                <w:rFonts w:ascii="Times New Roman" w:hAnsi="Times New Roman" w:eastAsia="宋体" w:cs="Times New Roman"/>
                <w:sz w:val="24"/>
                <w:szCs w:val="24"/>
              </w:rPr>
            </w:pPr>
          </w:p>
        </w:tc>
      </w:tr>
    </w:tbl>
    <w:p w14:paraId="1BF4DDE1">
      <w:pPr>
        <w:spacing w:line="20" w:lineRule="exact"/>
        <w:rPr>
          <w:rFonts w:ascii="Times New Roman" w:hAnsi="Times New Roman" w:eastAsia="宋体" w:cs="Times New Roman"/>
        </w:rPr>
      </w:pPr>
    </w:p>
    <w:p w14:paraId="1BF0CE37">
      <w:pPr>
        <w:spacing w:line="20" w:lineRule="exact"/>
        <w:rPr>
          <w:rFonts w:ascii="Times New Roman" w:hAnsi="Times New Roman" w:eastAsia="宋体" w:cs="Times New Roman"/>
        </w:rPr>
      </w:pPr>
    </w:p>
    <w:p w14:paraId="0023E6C8">
      <w:pPr>
        <w:spacing w:line="20" w:lineRule="exact"/>
        <w:rPr>
          <w:rFonts w:ascii="Times New Roman" w:hAnsi="Times New Roman" w:eastAsia="宋体" w:cs="Times New Roman"/>
        </w:rPr>
      </w:pPr>
    </w:p>
    <w:p w14:paraId="7C592F1D">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br w:type="page"/>
      </w:r>
      <w:r>
        <w:rPr>
          <w:rFonts w:ascii="Times New Roman" w:hAnsi="Times New Roman" w:eastAsia="宋体" w:cs="Times New Roman"/>
          <w:b/>
          <w:sz w:val="30"/>
          <w:szCs w:val="30"/>
        </w:rPr>
        <w:t>建设项目拟采取的防治措施及预期治理效果（表八）</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702"/>
        <w:gridCol w:w="872"/>
        <w:gridCol w:w="2101"/>
        <w:gridCol w:w="3164"/>
        <w:gridCol w:w="1529"/>
      </w:tblGrid>
      <w:tr w14:paraId="144A9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3" w:type="pct"/>
            <w:tcBorders>
              <w:top w:val="single" w:color="auto" w:sz="4" w:space="0"/>
              <w:left w:val="single" w:color="auto" w:sz="4" w:space="0"/>
              <w:bottom w:val="single" w:color="auto" w:sz="4" w:space="0"/>
              <w:right w:val="single" w:color="auto" w:sz="4" w:space="0"/>
            </w:tcBorders>
            <w:vAlign w:val="center"/>
          </w:tcPr>
          <w:p w14:paraId="04716F0A">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mc:AlternateContent>
                <mc:Choice Requires="wps">
                  <w:drawing>
                    <wp:anchor distT="0" distB="0" distL="114300" distR="114300" simplePos="0" relativeHeight="251660288" behindDoc="0" locked="0" layoutInCell="0" allowOverlap="1">
                      <wp:simplePos x="0" y="0"/>
                      <wp:positionH relativeFrom="column">
                        <wp:posOffset>-68580</wp:posOffset>
                      </wp:positionH>
                      <wp:positionV relativeFrom="paragraph">
                        <wp:posOffset>-6350</wp:posOffset>
                      </wp:positionV>
                      <wp:extent cx="635" cy="0"/>
                      <wp:effectExtent l="5715" t="12065" r="12700" b="6985"/>
                      <wp:wrapNone/>
                      <wp:docPr id="3" name="Line 4287"/>
                      <wp:cNvGraphicFramePr/>
                      <a:graphic xmlns:a="http://schemas.openxmlformats.org/drawingml/2006/main">
                        <a:graphicData uri="http://schemas.microsoft.com/office/word/2010/wordprocessingShape">
                          <wps:wsp>
                            <wps:cNvCnPr>
                              <a:cxnSpLocks noChangeShapeType="1"/>
                            </wps:cNvCnPr>
                            <wps:spPr bwMode="auto">
                              <a:xfrm>
                                <a:off x="0" y="0"/>
                                <a:ext cx="635" cy="0"/>
                              </a:xfrm>
                              <a:prstGeom prst="line">
                                <a:avLst/>
                              </a:prstGeom>
                              <a:noFill/>
                              <a:ln w="9525">
                                <a:solidFill>
                                  <a:srgbClr val="000000"/>
                                </a:solidFill>
                                <a:round/>
                              </a:ln>
                            </wps:spPr>
                            <wps:bodyPr/>
                          </wps:wsp>
                        </a:graphicData>
                      </a:graphic>
                    </wp:anchor>
                  </w:drawing>
                </mc:Choice>
                <mc:Fallback>
                  <w:pict>
                    <v:line id="Line 4287" o:spid="_x0000_s1026" o:spt="20" style="position:absolute;left:0pt;margin-left:-5.4pt;margin-top:-0.5pt;height:0pt;width:0.05pt;z-index:251660288;mso-width-relative:page;mso-height-relative:page;" filled="f" stroked="t" coordsize="21600,21600" o:allowincell="f" o:gfxdata="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N915LUAAAACQEAAA8AAAAAAAAAAQAgAAAAIgAAAGRycy9kb3du&#10;cmV2LnhtbFBLAQIUABQAAAAIAIdO4kDH9kmPygEAAJ4DAAAOAAAAAAAAAAEAIAAAACMBAABkcnMv&#10;ZTJvRG9jLnhtbFBLBQYAAAAABgAGAFkBAABfBQAAAAA=&#10;">
                      <v:fill on="f" focussize="0,0"/>
                      <v:stroke color="#000000" joinstyle="round"/>
                      <v:imagedata o:title=""/>
                      <o:lock v:ext="edit" aspectratio="f"/>
                    </v:line>
                  </w:pict>
                </mc:Fallback>
              </mc:AlternateContent>
            </w:r>
            <w:r>
              <w:rPr>
                <w:rFonts w:ascii="Times New Roman" w:hAnsi="Times New Roman" w:eastAsia="宋体" w:cs="Times New Roman"/>
                <w:b/>
                <w:bCs/>
                <w:sz w:val="24"/>
                <w:szCs w:val="24"/>
              </w:rPr>
              <w:t>内容类型</w:t>
            </w:r>
          </w:p>
        </w:tc>
        <w:tc>
          <w:tcPr>
            <w:tcW w:w="535" w:type="pct"/>
            <w:tcBorders>
              <w:top w:val="single" w:color="auto" w:sz="4" w:space="0"/>
              <w:left w:val="single" w:color="auto" w:sz="4" w:space="0"/>
              <w:bottom w:val="single" w:color="auto" w:sz="4" w:space="0"/>
              <w:right w:val="single" w:color="auto" w:sz="4" w:space="0"/>
            </w:tcBorders>
            <w:vAlign w:val="center"/>
          </w:tcPr>
          <w:p w14:paraId="0EBD8C1B">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排放源</w:t>
            </w:r>
          </w:p>
          <w:p w14:paraId="18B4A780">
            <w:pPr>
              <w:jc w:val="center"/>
              <w:rPr>
                <w:rFonts w:ascii="Times New Roman" w:hAnsi="Times New Roman" w:eastAsia="宋体" w:cs="Times New Roman"/>
                <w:b/>
                <w:bCs/>
                <w:sz w:val="24"/>
                <w:szCs w:val="24"/>
              </w:rPr>
            </w:pPr>
            <w:r>
              <w:rPr>
                <w:rFonts w:hint="eastAsia" w:ascii="Times New Roman" w:hAnsi="Times New Roman" w:eastAsia="宋体" w:cs="Times New Roman"/>
                <w:b/>
                <w:bCs/>
                <w:sz w:val="24"/>
                <w:szCs w:val="24"/>
                <w:lang w:eastAsia="zh-CN"/>
              </w:rPr>
              <w:t>（</w:t>
            </w:r>
            <w:r>
              <w:rPr>
                <w:rFonts w:ascii="Times New Roman" w:hAnsi="Times New Roman" w:eastAsia="宋体" w:cs="Times New Roman"/>
                <w:b/>
                <w:bCs/>
                <w:sz w:val="24"/>
                <w:szCs w:val="24"/>
              </w:rPr>
              <w:t>编号</w:t>
            </w:r>
            <w:r>
              <w:rPr>
                <w:rFonts w:hint="eastAsia" w:ascii="Times New Roman" w:hAnsi="Times New Roman" w:eastAsia="宋体" w:cs="Times New Roman"/>
                <w:b/>
                <w:bCs/>
                <w:sz w:val="24"/>
                <w:szCs w:val="24"/>
                <w:lang w:eastAsia="zh-CN"/>
              </w:rPr>
              <w:t>）</w:t>
            </w:r>
          </w:p>
        </w:tc>
        <w:tc>
          <w:tcPr>
            <w:tcW w:w="1269" w:type="pct"/>
            <w:tcBorders>
              <w:top w:val="single" w:color="auto" w:sz="4" w:space="0"/>
              <w:left w:val="single" w:color="auto" w:sz="4" w:space="0"/>
              <w:bottom w:val="single" w:color="auto" w:sz="4" w:space="0"/>
              <w:right w:val="single" w:color="auto" w:sz="4" w:space="0"/>
            </w:tcBorders>
            <w:vAlign w:val="center"/>
          </w:tcPr>
          <w:p w14:paraId="658A9C1C">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污染物名称</w:t>
            </w:r>
          </w:p>
        </w:tc>
        <w:tc>
          <w:tcPr>
            <w:tcW w:w="1904" w:type="pct"/>
            <w:tcBorders>
              <w:top w:val="single" w:color="auto" w:sz="4" w:space="0"/>
              <w:left w:val="single" w:color="auto" w:sz="4" w:space="0"/>
              <w:bottom w:val="single" w:color="auto" w:sz="4" w:space="0"/>
              <w:right w:val="single" w:color="auto" w:sz="4" w:space="0"/>
            </w:tcBorders>
            <w:vAlign w:val="center"/>
          </w:tcPr>
          <w:p w14:paraId="1193CA5F">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防治措施</w:t>
            </w:r>
          </w:p>
        </w:tc>
        <w:tc>
          <w:tcPr>
            <w:tcW w:w="859" w:type="pct"/>
            <w:tcBorders>
              <w:top w:val="single" w:color="auto" w:sz="4" w:space="0"/>
              <w:left w:val="single" w:color="auto" w:sz="4" w:space="0"/>
              <w:bottom w:val="single" w:color="auto" w:sz="4" w:space="0"/>
              <w:right w:val="single" w:color="auto" w:sz="4" w:space="0"/>
            </w:tcBorders>
            <w:vAlign w:val="center"/>
          </w:tcPr>
          <w:p w14:paraId="6DC75D13">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预期治理效果</w:t>
            </w:r>
          </w:p>
        </w:tc>
      </w:tr>
      <w:tr w14:paraId="56F37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jc w:val="center"/>
        </w:trPr>
        <w:tc>
          <w:tcPr>
            <w:tcW w:w="433" w:type="pct"/>
            <w:vMerge w:val="restart"/>
            <w:vAlign w:val="center"/>
          </w:tcPr>
          <w:p w14:paraId="0C53ED7D">
            <w:pPr>
              <w:jc w:val="left"/>
              <w:rPr>
                <w:rFonts w:ascii="Times New Roman" w:hAnsi="Times New Roman" w:eastAsia="宋体" w:cs="Times New Roman"/>
                <w:sz w:val="24"/>
                <w:szCs w:val="24"/>
              </w:rPr>
            </w:pPr>
            <w:r>
              <w:rPr>
                <w:rFonts w:ascii="Times New Roman" w:hAnsi="Times New Roman" w:eastAsia="宋体" w:cs="Times New Roman"/>
                <w:sz w:val="24"/>
                <w:szCs w:val="24"/>
              </w:rPr>
              <w:t>大气污染物</w:t>
            </w:r>
          </w:p>
        </w:tc>
        <w:tc>
          <w:tcPr>
            <w:tcW w:w="535" w:type="pct"/>
            <w:vMerge w:val="restart"/>
            <w:vAlign w:val="center"/>
          </w:tcPr>
          <w:p w14:paraId="0ACA9B4C">
            <w:pPr>
              <w:jc w:val="center"/>
              <w:rPr>
                <w:rFonts w:ascii="Times New Roman" w:hAnsi="Times New Roman" w:eastAsia="宋体" w:cs="Times New Roman"/>
                <w:spacing w:val="-12"/>
                <w:sz w:val="24"/>
                <w:szCs w:val="24"/>
              </w:rPr>
            </w:pPr>
            <w:r>
              <w:rPr>
                <w:rFonts w:ascii="Times New Roman" w:hAnsi="Times New Roman" w:eastAsia="宋体" w:cs="Times New Roman"/>
                <w:sz w:val="24"/>
                <w:szCs w:val="24"/>
              </w:rPr>
              <w:t>施工期</w:t>
            </w:r>
          </w:p>
        </w:tc>
        <w:tc>
          <w:tcPr>
            <w:tcW w:w="1269" w:type="pct"/>
            <w:vAlign w:val="center"/>
          </w:tcPr>
          <w:p w14:paraId="19B45FA5">
            <w:pPr>
              <w:jc w:val="center"/>
              <w:rPr>
                <w:rFonts w:ascii="Times New Roman" w:hAnsi="Times New Roman" w:eastAsia="宋体" w:cs="Times New Roman"/>
                <w:sz w:val="24"/>
                <w:szCs w:val="24"/>
              </w:rPr>
            </w:pPr>
            <w:r>
              <w:rPr>
                <w:rFonts w:ascii="Times New Roman" w:hAnsi="Times New Roman" w:eastAsia="宋体" w:cs="Times New Roman"/>
                <w:sz w:val="24"/>
                <w:szCs w:val="24"/>
              </w:rPr>
              <w:t>施工扬尘</w:t>
            </w:r>
          </w:p>
        </w:tc>
        <w:tc>
          <w:tcPr>
            <w:tcW w:w="1904" w:type="pct"/>
            <w:vAlign w:val="center"/>
          </w:tcPr>
          <w:p w14:paraId="37C5F6C9">
            <w:pPr>
              <w:jc w:val="left"/>
              <w:rPr>
                <w:rFonts w:ascii="Times New Roman" w:hAnsi="Times New Roman" w:eastAsia="宋体" w:cs="Times New Roman"/>
                <w:sz w:val="24"/>
                <w:szCs w:val="24"/>
              </w:rPr>
            </w:pPr>
            <w:r>
              <w:rPr>
                <w:rFonts w:ascii="Times New Roman" w:hAnsi="Times New Roman" w:eastAsia="宋体" w:cs="Times New Roman"/>
                <w:sz w:val="24"/>
                <w:szCs w:val="24"/>
              </w:rPr>
              <w:t>工地周边围挡、物料堆放覆盖、土方开挖湿法作业、路面硬化、出入车辆清洗、渣土车辆密闭运输“六个百分之百”等方面作出防治措施</w:t>
            </w:r>
          </w:p>
        </w:tc>
        <w:tc>
          <w:tcPr>
            <w:tcW w:w="859" w:type="pct"/>
            <w:vAlign w:val="center"/>
          </w:tcPr>
          <w:p w14:paraId="40995F8D">
            <w:pPr>
              <w:jc w:val="center"/>
              <w:rPr>
                <w:rFonts w:ascii="Times New Roman" w:hAnsi="Times New Roman" w:eastAsia="宋体" w:cs="Times New Roman"/>
                <w:sz w:val="24"/>
                <w:szCs w:val="24"/>
              </w:rPr>
            </w:pPr>
            <w:r>
              <w:rPr>
                <w:rFonts w:ascii="Times New Roman" w:hAnsi="Times New Roman" w:eastAsia="宋体" w:cs="Times New Roman"/>
                <w:sz w:val="24"/>
                <w:szCs w:val="24"/>
              </w:rPr>
              <w:t>&lt;1.0mg/m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；量极少</w:t>
            </w:r>
          </w:p>
        </w:tc>
      </w:tr>
      <w:tr w14:paraId="25724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jc w:val="center"/>
        </w:trPr>
        <w:tc>
          <w:tcPr>
            <w:tcW w:w="433" w:type="pct"/>
            <w:vMerge w:val="continue"/>
            <w:vAlign w:val="center"/>
          </w:tcPr>
          <w:p w14:paraId="556626ED">
            <w:pPr>
              <w:jc w:val="left"/>
              <w:rPr>
                <w:rFonts w:ascii="Times New Roman" w:hAnsi="Times New Roman" w:eastAsia="宋体" w:cs="Times New Roman"/>
                <w:sz w:val="24"/>
                <w:szCs w:val="24"/>
              </w:rPr>
            </w:pPr>
          </w:p>
        </w:tc>
        <w:tc>
          <w:tcPr>
            <w:tcW w:w="535" w:type="pct"/>
            <w:vMerge w:val="continue"/>
            <w:vAlign w:val="center"/>
          </w:tcPr>
          <w:p w14:paraId="4AF0256B">
            <w:pPr>
              <w:jc w:val="center"/>
              <w:rPr>
                <w:rFonts w:ascii="Times New Roman" w:hAnsi="Times New Roman" w:eastAsia="宋体" w:cs="Times New Roman"/>
                <w:sz w:val="24"/>
                <w:szCs w:val="24"/>
              </w:rPr>
            </w:pPr>
          </w:p>
        </w:tc>
        <w:tc>
          <w:tcPr>
            <w:tcW w:w="1269" w:type="pct"/>
            <w:vAlign w:val="center"/>
          </w:tcPr>
          <w:p w14:paraId="79D8531C">
            <w:pPr>
              <w:jc w:val="center"/>
              <w:rPr>
                <w:rFonts w:ascii="Times New Roman" w:hAnsi="Times New Roman" w:eastAsia="宋体" w:cs="Times New Roman"/>
                <w:sz w:val="24"/>
                <w:szCs w:val="24"/>
              </w:rPr>
            </w:pPr>
            <w:r>
              <w:rPr>
                <w:rFonts w:ascii="Times New Roman" w:hAnsi="Times New Roman" w:eastAsia="宋体" w:cs="Times New Roman"/>
                <w:sz w:val="24"/>
                <w:szCs w:val="24"/>
              </w:rPr>
              <w:t>汽车尾气</w:t>
            </w:r>
          </w:p>
        </w:tc>
        <w:tc>
          <w:tcPr>
            <w:tcW w:w="1904" w:type="pct"/>
            <w:vAlign w:val="center"/>
          </w:tcPr>
          <w:p w14:paraId="7AF93FD2">
            <w:pPr>
              <w:jc w:val="center"/>
              <w:rPr>
                <w:rFonts w:ascii="Times New Roman" w:hAnsi="Times New Roman" w:eastAsia="宋体" w:cs="Times New Roman"/>
                <w:sz w:val="24"/>
                <w:szCs w:val="24"/>
              </w:rPr>
            </w:pPr>
            <w:r>
              <w:rPr>
                <w:rFonts w:ascii="Times New Roman" w:hAnsi="Times New Roman" w:eastAsia="宋体" w:cs="Times New Roman"/>
                <w:sz w:val="24"/>
                <w:szCs w:val="24"/>
                <w:lang w:val="de-DE"/>
              </w:rPr>
              <w:t>量极少，</w:t>
            </w:r>
            <w:r>
              <w:rPr>
                <w:rFonts w:ascii="Times New Roman" w:hAnsi="Times New Roman" w:eastAsia="宋体" w:cs="Times New Roman"/>
                <w:sz w:val="24"/>
                <w:szCs w:val="24"/>
              </w:rPr>
              <w:t>自然扩散</w:t>
            </w:r>
          </w:p>
        </w:tc>
        <w:tc>
          <w:tcPr>
            <w:tcW w:w="859" w:type="pct"/>
            <w:vAlign w:val="center"/>
          </w:tcPr>
          <w:p w14:paraId="471255CC">
            <w:pPr>
              <w:jc w:val="center"/>
              <w:rPr>
                <w:rFonts w:ascii="Times New Roman" w:hAnsi="Times New Roman" w:eastAsia="宋体" w:cs="Times New Roman"/>
                <w:sz w:val="24"/>
                <w:szCs w:val="24"/>
              </w:rPr>
            </w:pPr>
            <w:r>
              <w:rPr>
                <w:rFonts w:ascii="Times New Roman" w:hAnsi="Times New Roman" w:eastAsia="宋体" w:cs="Times New Roman"/>
                <w:sz w:val="24"/>
                <w:szCs w:val="24"/>
              </w:rPr>
              <w:t>达标排放</w:t>
            </w:r>
          </w:p>
        </w:tc>
      </w:tr>
      <w:tr w14:paraId="781AF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433" w:type="pct"/>
            <w:vMerge w:val="continue"/>
            <w:vAlign w:val="center"/>
          </w:tcPr>
          <w:p w14:paraId="2CE7D8FC">
            <w:pPr>
              <w:jc w:val="center"/>
              <w:rPr>
                <w:rFonts w:ascii="Times New Roman" w:hAnsi="Times New Roman" w:eastAsia="宋体" w:cs="Times New Roman"/>
                <w:sz w:val="24"/>
                <w:szCs w:val="24"/>
              </w:rPr>
            </w:pPr>
          </w:p>
        </w:tc>
        <w:tc>
          <w:tcPr>
            <w:tcW w:w="535" w:type="pct"/>
            <w:vMerge w:val="restart"/>
            <w:vAlign w:val="center"/>
          </w:tcPr>
          <w:p w14:paraId="557C0F8A">
            <w:pPr>
              <w:jc w:val="center"/>
              <w:rPr>
                <w:rFonts w:ascii="Times New Roman" w:hAnsi="Times New Roman" w:eastAsia="宋体" w:cs="Times New Roman"/>
                <w:sz w:val="24"/>
                <w:szCs w:val="24"/>
              </w:rPr>
            </w:pPr>
            <w:r>
              <w:rPr>
                <w:rFonts w:ascii="Times New Roman" w:hAnsi="Times New Roman" w:eastAsia="宋体" w:cs="Times New Roman"/>
                <w:sz w:val="24"/>
                <w:szCs w:val="24"/>
              </w:rPr>
              <w:t>营运期</w:t>
            </w:r>
          </w:p>
        </w:tc>
        <w:tc>
          <w:tcPr>
            <w:tcW w:w="1269" w:type="pct"/>
            <w:vAlign w:val="center"/>
          </w:tcPr>
          <w:p w14:paraId="136D12BA">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工艺</w:t>
            </w:r>
            <w:r>
              <w:rPr>
                <w:rFonts w:ascii="Times New Roman" w:hAnsi="Times New Roman" w:eastAsia="宋体" w:cs="Times New Roman"/>
                <w:sz w:val="24"/>
                <w:szCs w:val="24"/>
              </w:rPr>
              <w:t>粉尘</w:t>
            </w:r>
          </w:p>
        </w:tc>
        <w:tc>
          <w:tcPr>
            <w:tcW w:w="1904" w:type="pct"/>
            <w:vAlign w:val="center"/>
          </w:tcPr>
          <w:p w14:paraId="5A742B22">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车间密闭、湿法作业、喷雾降尘等</w:t>
            </w:r>
          </w:p>
        </w:tc>
        <w:tc>
          <w:tcPr>
            <w:tcW w:w="859" w:type="pct"/>
            <w:vAlign w:val="center"/>
          </w:tcPr>
          <w:p w14:paraId="35A78EB8">
            <w:pPr>
              <w:jc w:val="center"/>
              <w:rPr>
                <w:rFonts w:ascii="Times New Roman" w:hAnsi="Times New Roman" w:eastAsia="宋体" w:cs="Times New Roman"/>
                <w:sz w:val="24"/>
                <w:szCs w:val="24"/>
              </w:rPr>
            </w:pPr>
            <w:r>
              <w:rPr>
                <w:rFonts w:ascii="Times New Roman" w:hAnsi="Times New Roman" w:eastAsia="宋体" w:cs="Times New Roman"/>
                <w:sz w:val="24"/>
                <w:szCs w:val="24"/>
              </w:rPr>
              <w:t>达标排放</w:t>
            </w:r>
          </w:p>
        </w:tc>
      </w:tr>
      <w:tr w14:paraId="3AF7E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433" w:type="pct"/>
            <w:vMerge w:val="continue"/>
            <w:vAlign w:val="center"/>
          </w:tcPr>
          <w:p w14:paraId="3E1212F4">
            <w:pPr>
              <w:jc w:val="center"/>
              <w:rPr>
                <w:rFonts w:ascii="Times New Roman" w:hAnsi="Times New Roman" w:eastAsia="宋体" w:cs="Times New Roman"/>
                <w:sz w:val="24"/>
                <w:szCs w:val="24"/>
              </w:rPr>
            </w:pPr>
          </w:p>
        </w:tc>
        <w:tc>
          <w:tcPr>
            <w:tcW w:w="535" w:type="pct"/>
            <w:vMerge w:val="continue"/>
            <w:vAlign w:val="center"/>
          </w:tcPr>
          <w:p w14:paraId="566E02DD">
            <w:pPr>
              <w:jc w:val="center"/>
              <w:rPr>
                <w:rFonts w:ascii="Times New Roman" w:hAnsi="Times New Roman" w:eastAsia="宋体" w:cs="Times New Roman"/>
                <w:sz w:val="24"/>
                <w:szCs w:val="24"/>
              </w:rPr>
            </w:pPr>
          </w:p>
        </w:tc>
        <w:tc>
          <w:tcPr>
            <w:tcW w:w="1269" w:type="pct"/>
            <w:vAlign w:val="center"/>
          </w:tcPr>
          <w:p w14:paraId="5570CB86">
            <w:pPr>
              <w:jc w:val="center"/>
              <w:rPr>
                <w:rFonts w:ascii="Times New Roman" w:hAnsi="Times New Roman" w:eastAsia="宋体" w:cs="Times New Roman"/>
                <w:bCs/>
                <w:sz w:val="24"/>
                <w:szCs w:val="24"/>
              </w:rPr>
            </w:pPr>
            <w:r>
              <w:rPr>
                <w:rFonts w:hint="eastAsia" w:ascii="Times New Roman" w:hAnsi="Times New Roman" w:eastAsia="宋体" w:cs="Times New Roman"/>
                <w:sz w:val="24"/>
                <w:szCs w:val="24"/>
              </w:rPr>
              <w:t>装卸</w:t>
            </w:r>
            <w:r>
              <w:rPr>
                <w:rFonts w:ascii="Times New Roman" w:hAnsi="Times New Roman" w:eastAsia="宋体" w:cs="Times New Roman"/>
                <w:sz w:val="24"/>
                <w:szCs w:val="24"/>
              </w:rPr>
              <w:t>粉尘</w:t>
            </w:r>
          </w:p>
        </w:tc>
        <w:tc>
          <w:tcPr>
            <w:tcW w:w="1904" w:type="pct"/>
            <w:vAlign w:val="center"/>
          </w:tcPr>
          <w:p w14:paraId="633CBB74">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围挡、遮盖、喷雾降尘、车辆加盖等</w:t>
            </w:r>
          </w:p>
        </w:tc>
        <w:tc>
          <w:tcPr>
            <w:tcW w:w="859" w:type="pct"/>
            <w:vAlign w:val="center"/>
          </w:tcPr>
          <w:p w14:paraId="2BF040EF">
            <w:pPr>
              <w:jc w:val="center"/>
              <w:rPr>
                <w:rFonts w:ascii="Times New Roman" w:hAnsi="Times New Roman" w:eastAsia="宋体" w:cs="Times New Roman"/>
                <w:sz w:val="24"/>
                <w:szCs w:val="24"/>
              </w:rPr>
            </w:pPr>
            <w:r>
              <w:rPr>
                <w:rFonts w:ascii="Times New Roman" w:hAnsi="Times New Roman" w:eastAsia="宋体" w:cs="Times New Roman"/>
                <w:sz w:val="24"/>
                <w:szCs w:val="24"/>
              </w:rPr>
              <w:t>达标排放</w:t>
            </w:r>
          </w:p>
        </w:tc>
      </w:tr>
      <w:tr w14:paraId="2B581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433" w:type="pct"/>
            <w:vMerge w:val="continue"/>
            <w:vAlign w:val="center"/>
          </w:tcPr>
          <w:p w14:paraId="53FDCCE9">
            <w:pPr>
              <w:jc w:val="center"/>
              <w:rPr>
                <w:rFonts w:ascii="Times New Roman" w:hAnsi="Times New Roman" w:eastAsia="宋体" w:cs="Times New Roman"/>
                <w:sz w:val="24"/>
                <w:szCs w:val="24"/>
              </w:rPr>
            </w:pPr>
          </w:p>
        </w:tc>
        <w:tc>
          <w:tcPr>
            <w:tcW w:w="535" w:type="pct"/>
            <w:vMerge w:val="continue"/>
            <w:vAlign w:val="center"/>
          </w:tcPr>
          <w:p w14:paraId="4AAAF5EA">
            <w:pPr>
              <w:jc w:val="center"/>
              <w:rPr>
                <w:rFonts w:ascii="Times New Roman" w:hAnsi="Times New Roman" w:eastAsia="宋体" w:cs="Times New Roman"/>
                <w:sz w:val="24"/>
                <w:szCs w:val="24"/>
              </w:rPr>
            </w:pPr>
          </w:p>
        </w:tc>
        <w:tc>
          <w:tcPr>
            <w:tcW w:w="1269" w:type="pct"/>
            <w:vAlign w:val="center"/>
          </w:tcPr>
          <w:p w14:paraId="1BA8E1BC">
            <w:pPr>
              <w:jc w:val="center"/>
              <w:rPr>
                <w:rFonts w:ascii="Times New Roman" w:hAnsi="Times New Roman" w:eastAsia="宋体" w:cs="Times New Roman"/>
                <w:bCs/>
                <w:sz w:val="24"/>
                <w:szCs w:val="24"/>
              </w:rPr>
            </w:pPr>
            <w:r>
              <w:rPr>
                <w:rFonts w:ascii="Times New Roman" w:hAnsi="Times New Roman" w:eastAsia="宋体" w:cs="Times New Roman"/>
                <w:sz w:val="24"/>
                <w:szCs w:val="24"/>
              </w:rPr>
              <w:t>堆场粉尘</w:t>
            </w:r>
          </w:p>
        </w:tc>
        <w:tc>
          <w:tcPr>
            <w:tcW w:w="1904" w:type="pct"/>
            <w:vAlign w:val="center"/>
          </w:tcPr>
          <w:p w14:paraId="38E8A6F7">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喷雾降尘、料仓堆存、及时入库</w:t>
            </w:r>
          </w:p>
        </w:tc>
        <w:tc>
          <w:tcPr>
            <w:tcW w:w="859" w:type="pct"/>
            <w:vAlign w:val="center"/>
          </w:tcPr>
          <w:p w14:paraId="505A1803">
            <w:pPr>
              <w:jc w:val="center"/>
              <w:rPr>
                <w:rFonts w:ascii="Times New Roman" w:hAnsi="Times New Roman" w:eastAsia="宋体" w:cs="Times New Roman"/>
                <w:sz w:val="24"/>
                <w:szCs w:val="24"/>
              </w:rPr>
            </w:pPr>
            <w:r>
              <w:rPr>
                <w:rFonts w:ascii="Times New Roman" w:hAnsi="Times New Roman" w:eastAsia="宋体" w:cs="Times New Roman"/>
                <w:sz w:val="24"/>
                <w:szCs w:val="24"/>
              </w:rPr>
              <w:t>达标排放</w:t>
            </w:r>
          </w:p>
        </w:tc>
      </w:tr>
      <w:tr w14:paraId="6C18D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433" w:type="pct"/>
            <w:vMerge w:val="continue"/>
            <w:vAlign w:val="center"/>
          </w:tcPr>
          <w:p w14:paraId="6CEF970B">
            <w:pPr>
              <w:jc w:val="center"/>
              <w:rPr>
                <w:rFonts w:ascii="Times New Roman" w:hAnsi="Times New Roman" w:eastAsia="宋体" w:cs="Times New Roman"/>
                <w:sz w:val="24"/>
                <w:szCs w:val="24"/>
              </w:rPr>
            </w:pPr>
          </w:p>
        </w:tc>
        <w:tc>
          <w:tcPr>
            <w:tcW w:w="535" w:type="pct"/>
            <w:vMerge w:val="continue"/>
            <w:vAlign w:val="center"/>
          </w:tcPr>
          <w:p w14:paraId="3E826088">
            <w:pPr>
              <w:jc w:val="center"/>
              <w:rPr>
                <w:rFonts w:ascii="Times New Roman" w:hAnsi="Times New Roman" w:eastAsia="宋体" w:cs="Times New Roman"/>
                <w:sz w:val="24"/>
                <w:szCs w:val="24"/>
              </w:rPr>
            </w:pPr>
          </w:p>
        </w:tc>
        <w:tc>
          <w:tcPr>
            <w:tcW w:w="1269" w:type="pct"/>
            <w:vAlign w:val="center"/>
          </w:tcPr>
          <w:p w14:paraId="2ABE0BA9">
            <w:pPr>
              <w:jc w:val="center"/>
              <w:rPr>
                <w:rFonts w:ascii="Times New Roman" w:hAnsi="Times New Roman" w:eastAsia="宋体" w:cs="Times New Roman"/>
                <w:bCs/>
                <w:sz w:val="24"/>
                <w:szCs w:val="24"/>
              </w:rPr>
            </w:pPr>
            <w:r>
              <w:rPr>
                <w:rFonts w:ascii="Times New Roman" w:hAnsi="Times New Roman" w:eastAsia="宋体" w:cs="Times New Roman"/>
                <w:sz w:val="24"/>
                <w:szCs w:val="24"/>
              </w:rPr>
              <w:t>汽车运输扬尘</w:t>
            </w:r>
          </w:p>
        </w:tc>
        <w:tc>
          <w:tcPr>
            <w:tcW w:w="1904" w:type="pct"/>
            <w:vAlign w:val="center"/>
          </w:tcPr>
          <w:p w14:paraId="57D22C75">
            <w:pPr>
              <w:jc w:val="center"/>
              <w:rPr>
                <w:rFonts w:ascii="Times New Roman" w:hAnsi="Times New Roman" w:eastAsia="宋体" w:cs="Times New Roman"/>
                <w:sz w:val="24"/>
                <w:szCs w:val="24"/>
              </w:rPr>
            </w:pPr>
            <w:r>
              <w:rPr>
                <w:rFonts w:ascii="Times New Roman" w:hAnsi="Times New Roman" w:eastAsia="宋体" w:cs="Times New Roman"/>
                <w:sz w:val="24"/>
                <w:szCs w:val="24"/>
              </w:rPr>
              <w:t>轮胎冲洗、</w:t>
            </w:r>
            <w:r>
              <w:rPr>
                <w:rFonts w:hint="eastAsia" w:ascii="Times New Roman" w:hAnsi="Times New Roman" w:eastAsia="宋体" w:cs="Times New Roman"/>
                <w:sz w:val="24"/>
                <w:szCs w:val="24"/>
              </w:rPr>
              <w:t>车辆加盖、洒水降尘</w:t>
            </w:r>
          </w:p>
        </w:tc>
        <w:tc>
          <w:tcPr>
            <w:tcW w:w="859" w:type="pct"/>
            <w:vAlign w:val="center"/>
          </w:tcPr>
          <w:p w14:paraId="35006B15">
            <w:pPr>
              <w:jc w:val="center"/>
              <w:rPr>
                <w:rFonts w:ascii="Times New Roman" w:hAnsi="Times New Roman" w:eastAsia="宋体" w:cs="Times New Roman"/>
                <w:sz w:val="24"/>
                <w:szCs w:val="24"/>
              </w:rPr>
            </w:pPr>
            <w:r>
              <w:rPr>
                <w:rFonts w:ascii="Times New Roman" w:hAnsi="Times New Roman" w:eastAsia="宋体" w:cs="Times New Roman"/>
                <w:sz w:val="24"/>
                <w:szCs w:val="24"/>
              </w:rPr>
              <w:t>达标排放</w:t>
            </w:r>
          </w:p>
        </w:tc>
      </w:tr>
      <w:tr w14:paraId="731EB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Merge w:val="restart"/>
            <w:vAlign w:val="center"/>
          </w:tcPr>
          <w:p w14:paraId="0F2FE962">
            <w:pPr>
              <w:jc w:val="center"/>
              <w:rPr>
                <w:rFonts w:ascii="Times New Roman" w:hAnsi="Times New Roman" w:eastAsia="宋体" w:cs="Times New Roman"/>
                <w:sz w:val="24"/>
                <w:szCs w:val="24"/>
              </w:rPr>
            </w:pPr>
            <w:r>
              <w:rPr>
                <w:rFonts w:ascii="Times New Roman" w:hAnsi="Times New Roman" w:eastAsia="宋体" w:cs="Times New Roman"/>
                <w:sz w:val="24"/>
                <w:szCs w:val="24"/>
              </w:rPr>
              <w:t>水污染物</w:t>
            </w:r>
          </w:p>
        </w:tc>
        <w:tc>
          <w:tcPr>
            <w:tcW w:w="535" w:type="pct"/>
            <w:vMerge w:val="restart"/>
            <w:vAlign w:val="center"/>
          </w:tcPr>
          <w:p w14:paraId="3C1915DD">
            <w:pPr>
              <w:jc w:val="center"/>
              <w:rPr>
                <w:rFonts w:ascii="Times New Roman" w:hAnsi="Times New Roman" w:eastAsia="宋体" w:cs="Times New Roman"/>
                <w:sz w:val="24"/>
                <w:szCs w:val="24"/>
              </w:rPr>
            </w:pPr>
            <w:r>
              <w:rPr>
                <w:rFonts w:ascii="Times New Roman" w:hAnsi="Times New Roman" w:eastAsia="宋体" w:cs="Times New Roman"/>
                <w:sz w:val="24"/>
                <w:szCs w:val="24"/>
              </w:rPr>
              <w:t>施工期</w:t>
            </w:r>
          </w:p>
        </w:tc>
        <w:tc>
          <w:tcPr>
            <w:tcW w:w="1269" w:type="pct"/>
            <w:vAlign w:val="center"/>
          </w:tcPr>
          <w:p w14:paraId="2968A125">
            <w:pPr>
              <w:jc w:val="center"/>
              <w:rPr>
                <w:rFonts w:ascii="Times New Roman" w:hAnsi="Times New Roman" w:eastAsia="宋体" w:cs="Times New Roman"/>
                <w:sz w:val="24"/>
                <w:szCs w:val="24"/>
              </w:rPr>
            </w:pPr>
            <w:r>
              <w:rPr>
                <w:rFonts w:ascii="Times New Roman" w:hAnsi="Times New Roman" w:eastAsia="宋体" w:cs="Times New Roman"/>
                <w:sz w:val="24"/>
                <w:szCs w:val="24"/>
              </w:rPr>
              <w:t>施工人员生活污水</w:t>
            </w:r>
          </w:p>
        </w:tc>
        <w:tc>
          <w:tcPr>
            <w:tcW w:w="1904" w:type="pct"/>
            <w:tcBorders>
              <w:right w:val="single" w:color="000000" w:sz="4" w:space="0"/>
            </w:tcBorders>
            <w:vAlign w:val="center"/>
          </w:tcPr>
          <w:p w14:paraId="2DFAC476">
            <w:pPr>
              <w:jc w:val="left"/>
              <w:rPr>
                <w:rFonts w:ascii="Times New Roman" w:hAnsi="Times New Roman" w:eastAsia="宋体" w:cs="Times New Roman"/>
                <w:sz w:val="24"/>
                <w:szCs w:val="24"/>
              </w:rPr>
            </w:pPr>
            <w:r>
              <w:rPr>
                <w:rFonts w:ascii="Times New Roman" w:hAnsi="Times New Roman" w:eastAsia="宋体" w:cs="Times New Roman"/>
                <w:sz w:val="24"/>
                <w:szCs w:val="24"/>
              </w:rPr>
              <w:t>依托现有设施处理后回用农肥</w:t>
            </w:r>
          </w:p>
        </w:tc>
        <w:tc>
          <w:tcPr>
            <w:tcW w:w="859" w:type="pct"/>
            <w:vMerge w:val="restart"/>
            <w:tcBorders>
              <w:left w:val="single" w:color="000000" w:sz="4" w:space="0"/>
            </w:tcBorders>
            <w:vAlign w:val="center"/>
          </w:tcPr>
          <w:p w14:paraId="084FA94E">
            <w:pPr>
              <w:jc w:val="center"/>
              <w:rPr>
                <w:rFonts w:ascii="Times New Roman" w:hAnsi="Times New Roman" w:eastAsia="宋体" w:cs="Times New Roman"/>
                <w:sz w:val="24"/>
                <w:szCs w:val="24"/>
              </w:rPr>
            </w:pPr>
            <w:r>
              <w:rPr>
                <w:rFonts w:ascii="Times New Roman" w:hAnsi="Times New Roman" w:eastAsia="宋体" w:cs="Times New Roman"/>
                <w:sz w:val="24"/>
                <w:szCs w:val="24"/>
              </w:rPr>
              <w:t>妥善处理处置</w:t>
            </w:r>
          </w:p>
        </w:tc>
      </w:tr>
      <w:tr w14:paraId="092EF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Merge w:val="continue"/>
            <w:vAlign w:val="center"/>
          </w:tcPr>
          <w:p w14:paraId="7D8F364D">
            <w:pPr>
              <w:jc w:val="center"/>
              <w:rPr>
                <w:rFonts w:ascii="Times New Roman" w:hAnsi="Times New Roman" w:eastAsia="宋体" w:cs="Times New Roman"/>
                <w:sz w:val="24"/>
                <w:szCs w:val="24"/>
              </w:rPr>
            </w:pPr>
          </w:p>
        </w:tc>
        <w:tc>
          <w:tcPr>
            <w:tcW w:w="535" w:type="pct"/>
            <w:vMerge w:val="continue"/>
            <w:vAlign w:val="center"/>
          </w:tcPr>
          <w:p w14:paraId="7A232EC4">
            <w:pPr>
              <w:jc w:val="center"/>
              <w:rPr>
                <w:rFonts w:ascii="Times New Roman" w:hAnsi="Times New Roman" w:eastAsia="宋体" w:cs="Times New Roman"/>
                <w:sz w:val="24"/>
                <w:szCs w:val="24"/>
              </w:rPr>
            </w:pPr>
          </w:p>
        </w:tc>
        <w:tc>
          <w:tcPr>
            <w:tcW w:w="1269" w:type="pct"/>
            <w:vAlign w:val="center"/>
          </w:tcPr>
          <w:p w14:paraId="32C60CB7">
            <w:pPr>
              <w:jc w:val="center"/>
              <w:rPr>
                <w:rFonts w:ascii="Times New Roman" w:hAnsi="Times New Roman" w:eastAsia="宋体" w:cs="Times New Roman"/>
                <w:sz w:val="24"/>
                <w:szCs w:val="24"/>
              </w:rPr>
            </w:pPr>
            <w:r>
              <w:rPr>
                <w:rFonts w:ascii="Times New Roman" w:hAnsi="Times New Roman" w:eastAsia="宋体" w:cs="Times New Roman"/>
                <w:sz w:val="24"/>
                <w:szCs w:val="24"/>
              </w:rPr>
              <w:t>施工废水</w:t>
            </w:r>
          </w:p>
        </w:tc>
        <w:tc>
          <w:tcPr>
            <w:tcW w:w="1904" w:type="pct"/>
            <w:tcBorders>
              <w:right w:val="single" w:color="000000" w:sz="4" w:space="0"/>
            </w:tcBorders>
            <w:vAlign w:val="center"/>
          </w:tcPr>
          <w:p w14:paraId="72E29787">
            <w:pPr>
              <w:jc w:val="left"/>
              <w:rPr>
                <w:rFonts w:ascii="Times New Roman" w:hAnsi="Times New Roman" w:eastAsia="宋体" w:cs="Times New Roman"/>
                <w:sz w:val="24"/>
                <w:szCs w:val="24"/>
              </w:rPr>
            </w:pPr>
            <w:r>
              <w:rPr>
                <w:rFonts w:ascii="Times New Roman" w:hAnsi="Times New Roman" w:eastAsia="宋体" w:cs="Times New Roman"/>
                <w:sz w:val="24"/>
                <w:szCs w:val="24"/>
              </w:rPr>
              <w:t>沉淀池收集处理后回用</w:t>
            </w:r>
          </w:p>
        </w:tc>
        <w:tc>
          <w:tcPr>
            <w:tcW w:w="859" w:type="pct"/>
            <w:vMerge w:val="continue"/>
            <w:tcBorders>
              <w:left w:val="single" w:color="000000" w:sz="4" w:space="0"/>
            </w:tcBorders>
            <w:vAlign w:val="center"/>
          </w:tcPr>
          <w:p w14:paraId="79DC0815">
            <w:pPr>
              <w:jc w:val="center"/>
              <w:rPr>
                <w:rFonts w:ascii="Times New Roman" w:hAnsi="Times New Roman" w:eastAsia="宋体" w:cs="Times New Roman"/>
                <w:sz w:val="24"/>
                <w:szCs w:val="24"/>
              </w:rPr>
            </w:pPr>
          </w:p>
        </w:tc>
      </w:tr>
      <w:tr w14:paraId="4E588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Merge w:val="continue"/>
            <w:vAlign w:val="center"/>
          </w:tcPr>
          <w:p w14:paraId="6A1919D1">
            <w:pPr>
              <w:jc w:val="center"/>
              <w:rPr>
                <w:rFonts w:ascii="Times New Roman" w:hAnsi="Times New Roman" w:eastAsia="宋体" w:cs="Times New Roman"/>
                <w:sz w:val="24"/>
                <w:szCs w:val="24"/>
              </w:rPr>
            </w:pPr>
          </w:p>
        </w:tc>
        <w:tc>
          <w:tcPr>
            <w:tcW w:w="535" w:type="pct"/>
            <w:vMerge w:val="restart"/>
            <w:vAlign w:val="center"/>
          </w:tcPr>
          <w:p w14:paraId="60006028">
            <w:pPr>
              <w:jc w:val="center"/>
              <w:rPr>
                <w:rFonts w:ascii="Times New Roman" w:hAnsi="Times New Roman" w:eastAsia="宋体" w:cs="Times New Roman"/>
                <w:sz w:val="24"/>
                <w:szCs w:val="24"/>
              </w:rPr>
            </w:pPr>
            <w:r>
              <w:rPr>
                <w:rFonts w:ascii="Times New Roman" w:hAnsi="Times New Roman" w:eastAsia="宋体" w:cs="Times New Roman"/>
                <w:sz w:val="24"/>
                <w:szCs w:val="24"/>
              </w:rPr>
              <w:t>营运期</w:t>
            </w:r>
          </w:p>
        </w:tc>
        <w:tc>
          <w:tcPr>
            <w:tcW w:w="1269" w:type="pct"/>
            <w:vAlign w:val="center"/>
          </w:tcPr>
          <w:p w14:paraId="0975DAB1">
            <w:pPr>
              <w:jc w:val="center"/>
              <w:rPr>
                <w:rFonts w:ascii="Times New Roman" w:hAnsi="Times New Roman" w:eastAsia="宋体" w:cs="Times New Roman"/>
                <w:sz w:val="24"/>
                <w:szCs w:val="24"/>
              </w:rPr>
            </w:pPr>
            <w:r>
              <w:rPr>
                <w:rFonts w:ascii="Times New Roman" w:hAnsi="Times New Roman" w:eastAsia="宋体" w:cs="Times New Roman"/>
                <w:sz w:val="24"/>
                <w:szCs w:val="24"/>
              </w:rPr>
              <w:t>生活污水</w:t>
            </w:r>
          </w:p>
        </w:tc>
        <w:tc>
          <w:tcPr>
            <w:tcW w:w="1904" w:type="pct"/>
            <w:tcBorders>
              <w:right w:val="single" w:color="000000" w:sz="4" w:space="0"/>
            </w:tcBorders>
            <w:vAlign w:val="center"/>
          </w:tcPr>
          <w:p w14:paraId="09536AF5">
            <w:pPr>
              <w:jc w:val="center"/>
              <w:rPr>
                <w:rFonts w:ascii="Times New Roman" w:hAnsi="Times New Roman" w:eastAsia="宋体" w:cs="Times New Roman"/>
                <w:sz w:val="24"/>
                <w:szCs w:val="24"/>
              </w:rPr>
            </w:pPr>
            <w:r>
              <w:rPr>
                <w:rFonts w:hint="eastAsia" w:ascii="Times New Roman" w:hAnsi="Times New Roman" w:eastAsia="宋体" w:cs="Times New Roman"/>
                <w:kern w:val="0"/>
                <w:sz w:val="24"/>
                <w:szCs w:val="24"/>
              </w:rPr>
              <w:t>二级生化设施</w:t>
            </w:r>
            <w:r>
              <w:rPr>
                <w:rFonts w:ascii="Times New Roman" w:hAnsi="Times New Roman" w:eastAsia="宋体" w:cs="Times New Roman"/>
                <w:kern w:val="0"/>
                <w:sz w:val="24"/>
                <w:szCs w:val="24"/>
              </w:rPr>
              <w:t>处理后回用作农肥，不直接外排</w:t>
            </w:r>
          </w:p>
        </w:tc>
        <w:tc>
          <w:tcPr>
            <w:tcW w:w="859" w:type="pct"/>
            <w:vMerge w:val="continue"/>
            <w:tcBorders>
              <w:left w:val="single" w:color="000000" w:sz="4" w:space="0"/>
            </w:tcBorders>
            <w:vAlign w:val="center"/>
          </w:tcPr>
          <w:p w14:paraId="603AE463">
            <w:pPr>
              <w:jc w:val="center"/>
              <w:rPr>
                <w:rFonts w:ascii="Times New Roman" w:hAnsi="Times New Roman" w:eastAsia="宋体" w:cs="Times New Roman"/>
                <w:sz w:val="24"/>
                <w:szCs w:val="24"/>
              </w:rPr>
            </w:pPr>
          </w:p>
        </w:tc>
      </w:tr>
      <w:tr w14:paraId="33A85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Merge w:val="continue"/>
            <w:vAlign w:val="center"/>
          </w:tcPr>
          <w:p w14:paraId="35BF5C42">
            <w:pPr>
              <w:jc w:val="center"/>
              <w:rPr>
                <w:rFonts w:ascii="Times New Roman" w:hAnsi="Times New Roman" w:eastAsia="宋体" w:cs="Times New Roman"/>
                <w:sz w:val="24"/>
                <w:szCs w:val="24"/>
              </w:rPr>
            </w:pPr>
          </w:p>
        </w:tc>
        <w:tc>
          <w:tcPr>
            <w:tcW w:w="535" w:type="pct"/>
            <w:vMerge w:val="continue"/>
            <w:vAlign w:val="center"/>
          </w:tcPr>
          <w:p w14:paraId="09431C1B">
            <w:pPr>
              <w:jc w:val="center"/>
              <w:rPr>
                <w:rFonts w:ascii="Times New Roman" w:hAnsi="Times New Roman" w:eastAsia="宋体" w:cs="Times New Roman"/>
                <w:sz w:val="24"/>
                <w:szCs w:val="24"/>
              </w:rPr>
            </w:pPr>
          </w:p>
        </w:tc>
        <w:tc>
          <w:tcPr>
            <w:tcW w:w="1269" w:type="pct"/>
            <w:vAlign w:val="center"/>
          </w:tcPr>
          <w:p w14:paraId="6E9A0043">
            <w:pPr>
              <w:jc w:val="center"/>
              <w:rPr>
                <w:rFonts w:ascii="Times New Roman" w:hAnsi="Times New Roman" w:eastAsia="宋体" w:cs="Times New Roman"/>
                <w:sz w:val="24"/>
                <w:szCs w:val="24"/>
              </w:rPr>
            </w:pPr>
            <w:r>
              <w:rPr>
                <w:rFonts w:ascii="Times New Roman" w:hAnsi="Times New Roman" w:eastAsia="宋体" w:cs="Times New Roman"/>
                <w:bCs/>
                <w:sz w:val="24"/>
              </w:rPr>
              <w:t>轮胎冲洗水</w:t>
            </w:r>
          </w:p>
        </w:tc>
        <w:tc>
          <w:tcPr>
            <w:tcW w:w="1904" w:type="pct"/>
            <w:tcBorders>
              <w:right w:val="single" w:color="000000" w:sz="4" w:space="0"/>
            </w:tcBorders>
            <w:vAlign w:val="center"/>
          </w:tcPr>
          <w:p w14:paraId="2508FCFB">
            <w:pPr>
              <w:jc w:val="center"/>
              <w:rPr>
                <w:rFonts w:ascii="Times New Roman" w:hAnsi="Times New Roman" w:eastAsia="宋体" w:cs="Times New Roman"/>
                <w:sz w:val="24"/>
                <w:szCs w:val="24"/>
              </w:rPr>
            </w:pPr>
            <w:r>
              <w:rPr>
                <w:rFonts w:ascii="Times New Roman" w:hAnsi="Times New Roman" w:eastAsia="宋体" w:cs="Times New Roman"/>
                <w:bCs/>
                <w:kern w:val="0"/>
                <w:sz w:val="24"/>
                <w:szCs w:val="24"/>
              </w:rPr>
              <w:t>轮胎冲洗池</w:t>
            </w:r>
          </w:p>
        </w:tc>
        <w:tc>
          <w:tcPr>
            <w:tcW w:w="859" w:type="pct"/>
            <w:vMerge w:val="continue"/>
            <w:tcBorders>
              <w:left w:val="single" w:color="000000" w:sz="4" w:space="0"/>
            </w:tcBorders>
            <w:vAlign w:val="center"/>
          </w:tcPr>
          <w:p w14:paraId="64DDFFB9">
            <w:pPr>
              <w:jc w:val="center"/>
              <w:rPr>
                <w:rFonts w:ascii="Times New Roman" w:hAnsi="Times New Roman" w:eastAsia="宋体" w:cs="Times New Roman"/>
                <w:sz w:val="24"/>
                <w:szCs w:val="24"/>
              </w:rPr>
            </w:pPr>
          </w:p>
        </w:tc>
      </w:tr>
      <w:tr w14:paraId="23A9F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Merge w:val="continue"/>
            <w:vAlign w:val="center"/>
          </w:tcPr>
          <w:p w14:paraId="5BC02765">
            <w:pPr>
              <w:jc w:val="center"/>
              <w:rPr>
                <w:rFonts w:ascii="Times New Roman" w:hAnsi="Times New Roman" w:eastAsia="宋体" w:cs="Times New Roman"/>
                <w:sz w:val="24"/>
                <w:szCs w:val="24"/>
              </w:rPr>
            </w:pPr>
          </w:p>
        </w:tc>
        <w:tc>
          <w:tcPr>
            <w:tcW w:w="535" w:type="pct"/>
            <w:vMerge w:val="continue"/>
            <w:vAlign w:val="center"/>
          </w:tcPr>
          <w:p w14:paraId="75B431CB">
            <w:pPr>
              <w:jc w:val="center"/>
              <w:rPr>
                <w:rFonts w:ascii="Times New Roman" w:hAnsi="Times New Roman" w:eastAsia="宋体" w:cs="Times New Roman"/>
                <w:sz w:val="24"/>
                <w:szCs w:val="24"/>
              </w:rPr>
            </w:pPr>
          </w:p>
        </w:tc>
        <w:tc>
          <w:tcPr>
            <w:tcW w:w="1269" w:type="pct"/>
            <w:vAlign w:val="center"/>
          </w:tcPr>
          <w:p w14:paraId="1CE72C5D">
            <w:pPr>
              <w:jc w:val="center"/>
              <w:rPr>
                <w:rFonts w:ascii="Times New Roman" w:hAnsi="Times New Roman" w:eastAsia="宋体" w:cs="Times New Roman"/>
                <w:sz w:val="24"/>
                <w:szCs w:val="24"/>
              </w:rPr>
            </w:pPr>
            <w:r>
              <w:rPr>
                <w:rFonts w:ascii="Times New Roman" w:hAnsi="Times New Roman" w:eastAsia="宋体" w:cs="Times New Roman"/>
                <w:bCs/>
                <w:sz w:val="24"/>
              </w:rPr>
              <w:t>雨水</w:t>
            </w:r>
          </w:p>
        </w:tc>
        <w:tc>
          <w:tcPr>
            <w:tcW w:w="1904" w:type="pct"/>
            <w:tcBorders>
              <w:right w:val="single" w:color="000000" w:sz="4" w:space="0"/>
            </w:tcBorders>
            <w:vAlign w:val="center"/>
          </w:tcPr>
          <w:p w14:paraId="6B9DA9C0">
            <w:pPr>
              <w:jc w:val="center"/>
              <w:rPr>
                <w:rFonts w:ascii="Times New Roman" w:hAnsi="Times New Roman" w:eastAsia="宋体" w:cs="Times New Roman"/>
                <w:sz w:val="24"/>
                <w:szCs w:val="24"/>
              </w:rPr>
            </w:pPr>
            <w:r>
              <w:rPr>
                <w:rFonts w:hint="eastAsia" w:ascii="Times New Roman" w:hAnsi="Times New Roman" w:eastAsia="宋体" w:cs="Times New Roman"/>
                <w:bCs/>
                <w:kern w:val="0"/>
                <w:sz w:val="24"/>
                <w:szCs w:val="24"/>
              </w:rPr>
              <w:t>雨水导排沟、雨水斗、三级沉淀池等</w:t>
            </w:r>
          </w:p>
        </w:tc>
        <w:tc>
          <w:tcPr>
            <w:tcW w:w="859" w:type="pct"/>
            <w:vMerge w:val="continue"/>
            <w:tcBorders>
              <w:left w:val="single" w:color="000000" w:sz="4" w:space="0"/>
            </w:tcBorders>
            <w:vAlign w:val="center"/>
          </w:tcPr>
          <w:p w14:paraId="1A860CE9">
            <w:pPr>
              <w:jc w:val="center"/>
              <w:rPr>
                <w:rFonts w:ascii="Times New Roman" w:hAnsi="Times New Roman" w:eastAsia="宋体" w:cs="Times New Roman"/>
                <w:sz w:val="24"/>
                <w:szCs w:val="24"/>
              </w:rPr>
            </w:pPr>
          </w:p>
        </w:tc>
      </w:tr>
      <w:tr w14:paraId="5ECEA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Merge w:val="restart"/>
            <w:vAlign w:val="center"/>
          </w:tcPr>
          <w:p w14:paraId="4AA84C09">
            <w:pPr>
              <w:jc w:val="left"/>
              <w:rPr>
                <w:rFonts w:ascii="Times New Roman" w:hAnsi="Times New Roman" w:eastAsia="宋体" w:cs="Times New Roman"/>
                <w:sz w:val="24"/>
                <w:szCs w:val="24"/>
              </w:rPr>
            </w:pPr>
            <w:r>
              <w:rPr>
                <w:rFonts w:ascii="Times New Roman" w:hAnsi="Times New Roman" w:eastAsia="宋体" w:cs="Times New Roman"/>
                <w:sz w:val="24"/>
                <w:szCs w:val="24"/>
              </w:rPr>
              <w:t>固体废弃物</w:t>
            </w:r>
          </w:p>
        </w:tc>
        <w:tc>
          <w:tcPr>
            <w:tcW w:w="535" w:type="pct"/>
            <w:vMerge w:val="restart"/>
            <w:vAlign w:val="center"/>
          </w:tcPr>
          <w:p w14:paraId="3579E4D7">
            <w:pPr>
              <w:jc w:val="center"/>
              <w:rPr>
                <w:rFonts w:ascii="Times New Roman" w:hAnsi="Times New Roman" w:eastAsia="宋体" w:cs="Times New Roman"/>
                <w:sz w:val="24"/>
                <w:szCs w:val="24"/>
              </w:rPr>
            </w:pPr>
            <w:r>
              <w:rPr>
                <w:rFonts w:ascii="Times New Roman" w:hAnsi="Times New Roman" w:eastAsia="宋体" w:cs="Times New Roman"/>
                <w:sz w:val="24"/>
                <w:szCs w:val="24"/>
              </w:rPr>
              <w:t>施工期</w:t>
            </w:r>
          </w:p>
        </w:tc>
        <w:tc>
          <w:tcPr>
            <w:tcW w:w="1269" w:type="pct"/>
            <w:tcBorders>
              <w:bottom w:val="single" w:color="auto" w:sz="4" w:space="0"/>
            </w:tcBorders>
            <w:vAlign w:val="center"/>
          </w:tcPr>
          <w:p w14:paraId="204CD157">
            <w:pPr>
              <w:jc w:val="center"/>
              <w:rPr>
                <w:rFonts w:ascii="Times New Roman" w:hAnsi="Times New Roman" w:eastAsia="宋体" w:cs="Times New Roman"/>
                <w:sz w:val="24"/>
                <w:szCs w:val="24"/>
              </w:rPr>
            </w:pPr>
            <w:r>
              <w:rPr>
                <w:rFonts w:ascii="Times New Roman" w:hAnsi="Times New Roman" w:eastAsia="宋体" w:cs="Times New Roman"/>
                <w:sz w:val="24"/>
                <w:szCs w:val="24"/>
              </w:rPr>
              <w:t>施工人员生活垃圾</w:t>
            </w:r>
          </w:p>
        </w:tc>
        <w:tc>
          <w:tcPr>
            <w:tcW w:w="1904" w:type="pct"/>
            <w:tcBorders>
              <w:right w:val="single" w:color="000000" w:sz="4" w:space="0"/>
            </w:tcBorders>
            <w:vAlign w:val="center"/>
          </w:tcPr>
          <w:p w14:paraId="3E07CA27">
            <w:pPr>
              <w:jc w:val="center"/>
              <w:rPr>
                <w:rFonts w:ascii="Times New Roman" w:hAnsi="Times New Roman" w:eastAsia="宋体" w:cs="Times New Roman"/>
                <w:sz w:val="24"/>
                <w:szCs w:val="24"/>
              </w:rPr>
            </w:pPr>
            <w:r>
              <w:rPr>
                <w:rFonts w:ascii="Times New Roman" w:hAnsi="Times New Roman" w:eastAsia="宋体" w:cs="Times New Roman"/>
                <w:sz w:val="24"/>
                <w:szCs w:val="24"/>
              </w:rPr>
              <w:t>由环卫部门清运</w:t>
            </w:r>
          </w:p>
        </w:tc>
        <w:tc>
          <w:tcPr>
            <w:tcW w:w="859" w:type="pct"/>
            <w:vMerge w:val="restart"/>
            <w:tcBorders>
              <w:left w:val="single" w:color="000000" w:sz="4" w:space="0"/>
            </w:tcBorders>
            <w:vAlign w:val="center"/>
          </w:tcPr>
          <w:p w14:paraId="4BE301F3">
            <w:pPr>
              <w:jc w:val="center"/>
              <w:rPr>
                <w:rFonts w:ascii="Times New Roman" w:hAnsi="Times New Roman" w:eastAsia="宋体" w:cs="Times New Roman"/>
                <w:sz w:val="24"/>
                <w:szCs w:val="24"/>
              </w:rPr>
            </w:pPr>
            <w:r>
              <w:rPr>
                <w:rFonts w:ascii="Times New Roman" w:hAnsi="Times New Roman" w:eastAsia="宋体" w:cs="Times New Roman"/>
                <w:sz w:val="24"/>
                <w:szCs w:val="24"/>
              </w:rPr>
              <w:t>减量化、资源化、无害化</w:t>
            </w:r>
          </w:p>
        </w:tc>
      </w:tr>
      <w:tr w14:paraId="4FFBA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Merge w:val="continue"/>
            <w:vAlign w:val="center"/>
          </w:tcPr>
          <w:p w14:paraId="38190CCC">
            <w:pPr>
              <w:jc w:val="left"/>
              <w:rPr>
                <w:rFonts w:ascii="Times New Roman" w:hAnsi="Times New Roman" w:eastAsia="宋体" w:cs="Times New Roman"/>
                <w:sz w:val="24"/>
                <w:szCs w:val="24"/>
              </w:rPr>
            </w:pPr>
          </w:p>
        </w:tc>
        <w:tc>
          <w:tcPr>
            <w:tcW w:w="535" w:type="pct"/>
            <w:vMerge w:val="continue"/>
            <w:vAlign w:val="center"/>
          </w:tcPr>
          <w:p w14:paraId="340CAEC6">
            <w:pPr>
              <w:jc w:val="center"/>
              <w:rPr>
                <w:rFonts w:ascii="Times New Roman" w:hAnsi="Times New Roman" w:eastAsia="宋体" w:cs="Times New Roman"/>
                <w:sz w:val="24"/>
                <w:szCs w:val="24"/>
              </w:rPr>
            </w:pPr>
          </w:p>
        </w:tc>
        <w:tc>
          <w:tcPr>
            <w:tcW w:w="1269" w:type="pct"/>
            <w:tcBorders>
              <w:bottom w:val="single" w:color="auto" w:sz="4" w:space="0"/>
            </w:tcBorders>
            <w:vAlign w:val="center"/>
          </w:tcPr>
          <w:p w14:paraId="6599B267">
            <w:pPr>
              <w:jc w:val="center"/>
              <w:rPr>
                <w:rFonts w:ascii="Times New Roman" w:hAnsi="Times New Roman" w:eastAsia="宋体" w:cs="Times New Roman"/>
                <w:sz w:val="24"/>
                <w:szCs w:val="24"/>
              </w:rPr>
            </w:pPr>
            <w:r>
              <w:rPr>
                <w:rFonts w:ascii="Times New Roman" w:hAnsi="Times New Roman" w:eastAsia="宋体" w:cs="Times New Roman"/>
                <w:sz w:val="24"/>
                <w:szCs w:val="24"/>
              </w:rPr>
              <w:t>建筑垃圾及弃渣</w:t>
            </w:r>
          </w:p>
        </w:tc>
        <w:tc>
          <w:tcPr>
            <w:tcW w:w="1904" w:type="pct"/>
            <w:tcBorders>
              <w:right w:val="single" w:color="000000" w:sz="4" w:space="0"/>
            </w:tcBorders>
            <w:vAlign w:val="center"/>
          </w:tcPr>
          <w:p w14:paraId="545DF667">
            <w:pPr>
              <w:jc w:val="center"/>
              <w:rPr>
                <w:rFonts w:ascii="Times New Roman" w:hAnsi="Times New Roman" w:eastAsia="宋体" w:cs="Times New Roman"/>
                <w:sz w:val="24"/>
                <w:szCs w:val="24"/>
              </w:rPr>
            </w:pPr>
            <w:r>
              <w:rPr>
                <w:rFonts w:ascii="Times New Roman" w:hAnsi="Times New Roman" w:eastAsia="宋体" w:cs="Times New Roman"/>
                <w:sz w:val="24"/>
                <w:szCs w:val="24"/>
              </w:rPr>
              <w:t>运往政府制定地点</w:t>
            </w:r>
          </w:p>
        </w:tc>
        <w:tc>
          <w:tcPr>
            <w:tcW w:w="859" w:type="pct"/>
            <w:vMerge w:val="continue"/>
            <w:tcBorders>
              <w:left w:val="single" w:color="000000" w:sz="4" w:space="0"/>
            </w:tcBorders>
            <w:vAlign w:val="center"/>
          </w:tcPr>
          <w:p w14:paraId="33C2B738">
            <w:pPr>
              <w:jc w:val="center"/>
              <w:rPr>
                <w:rFonts w:ascii="Times New Roman" w:hAnsi="Times New Roman" w:eastAsia="宋体" w:cs="Times New Roman"/>
                <w:sz w:val="24"/>
                <w:szCs w:val="24"/>
              </w:rPr>
            </w:pPr>
          </w:p>
        </w:tc>
      </w:tr>
      <w:tr w14:paraId="51930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Merge w:val="continue"/>
            <w:vAlign w:val="center"/>
          </w:tcPr>
          <w:p w14:paraId="03F9B469">
            <w:pPr>
              <w:jc w:val="center"/>
              <w:rPr>
                <w:rFonts w:ascii="Times New Roman" w:hAnsi="Times New Roman" w:eastAsia="宋体" w:cs="Times New Roman"/>
                <w:sz w:val="24"/>
                <w:szCs w:val="24"/>
              </w:rPr>
            </w:pPr>
          </w:p>
        </w:tc>
        <w:tc>
          <w:tcPr>
            <w:tcW w:w="535" w:type="pct"/>
            <w:vMerge w:val="restart"/>
            <w:tcBorders>
              <w:top w:val="single" w:color="auto" w:sz="6" w:space="0"/>
            </w:tcBorders>
            <w:vAlign w:val="center"/>
          </w:tcPr>
          <w:p w14:paraId="1D8ACB15">
            <w:pPr>
              <w:jc w:val="center"/>
              <w:rPr>
                <w:rFonts w:ascii="Times New Roman" w:hAnsi="Times New Roman" w:eastAsia="宋体" w:cs="Times New Roman"/>
                <w:sz w:val="24"/>
                <w:szCs w:val="24"/>
              </w:rPr>
            </w:pPr>
            <w:r>
              <w:rPr>
                <w:rFonts w:ascii="Times New Roman" w:hAnsi="Times New Roman" w:eastAsia="宋体" w:cs="Times New Roman"/>
                <w:sz w:val="24"/>
                <w:szCs w:val="24"/>
              </w:rPr>
              <w:t>营运期</w:t>
            </w:r>
          </w:p>
        </w:tc>
        <w:tc>
          <w:tcPr>
            <w:tcW w:w="1269" w:type="pct"/>
            <w:tcBorders>
              <w:top w:val="single" w:color="auto" w:sz="6" w:space="0"/>
              <w:bottom w:val="single" w:color="auto" w:sz="6" w:space="0"/>
            </w:tcBorders>
            <w:vAlign w:val="center"/>
          </w:tcPr>
          <w:p w14:paraId="709D9B2D">
            <w:pPr>
              <w:jc w:val="center"/>
              <w:rPr>
                <w:rFonts w:ascii="Times New Roman" w:hAnsi="Times New Roman" w:eastAsia="宋体" w:cs="Times New Roman"/>
                <w:bCs/>
                <w:caps/>
                <w:sz w:val="24"/>
                <w:szCs w:val="24"/>
              </w:rPr>
            </w:pPr>
            <w:r>
              <w:rPr>
                <w:rFonts w:ascii="Times New Roman" w:hAnsi="Times New Roman" w:eastAsia="宋体" w:cs="Times New Roman"/>
                <w:kern w:val="0"/>
                <w:sz w:val="24"/>
                <w:szCs w:val="24"/>
              </w:rPr>
              <w:t>生活垃圾</w:t>
            </w:r>
          </w:p>
        </w:tc>
        <w:tc>
          <w:tcPr>
            <w:tcW w:w="1904" w:type="pct"/>
            <w:tcBorders>
              <w:top w:val="single" w:color="auto" w:sz="6" w:space="0"/>
              <w:right w:val="single" w:color="000000" w:sz="4" w:space="0"/>
            </w:tcBorders>
            <w:vAlign w:val="center"/>
          </w:tcPr>
          <w:p w14:paraId="6956F02D">
            <w:pPr>
              <w:jc w:val="center"/>
              <w:rPr>
                <w:rFonts w:ascii="Times New Roman" w:hAnsi="Times New Roman" w:eastAsia="宋体" w:cs="Times New Roman"/>
                <w:sz w:val="24"/>
                <w:szCs w:val="24"/>
              </w:rPr>
            </w:pPr>
            <w:r>
              <w:rPr>
                <w:rFonts w:ascii="Times New Roman" w:hAnsi="Times New Roman" w:eastAsia="宋体" w:cs="Times New Roman"/>
                <w:sz w:val="24"/>
                <w:szCs w:val="24"/>
              </w:rPr>
              <w:t>厂区垃圾桶收集后交环卫部门清运处理</w:t>
            </w:r>
          </w:p>
        </w:tc>
        <w:tc>
          <w:tcPr>
            <w:tcW w:w="859" w:type="pct"/>
            <w:vMerge w:val="continue"/>
            <w:tcBorders>
              <w:left w:val="single" w:color="000000" w:sz="4" w:space="0"/>
            </w:tcBorders>
            <w:vAlign w:val="center"/>
          </w:tcPr>
          <w:p w14:paraId="4748DEAA">
            <w:pPr>
              <w:jc w:val="center"/>
              <w:rPr>
                <w:rFonts w:ascii="Times New Roman" w:hAnsi="Times New Roman" w:eastAsia="宋体" w:cs="Times New Roman"/>
                <w:sz w:val="24"/>
                <w:szCs w:val="24"/>
              </w:rPr>
            </w:pPr>
          </w:p>
        </w:tc>
      </w:tr>
      <w:tr w14:paraId="6713C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Merge w:val="continue"/>
            <w:vAlign w:val="center"/>
          </w:tcPr>
          <w:p w14:paraId="101941C3">
            <w:pPr>
              <w:jc w:val="center"/>
              <w:rPr>
                <w:rFonts w:ascii="Times New Roman" w:hAnsi="Times New Roman" w:eastAsia="宋体" w:cs="Times New Roman"/>
                <w:sz w:val="24"/>
                <w:szCs w:val="24"/>
              </w:rPr>
            </w:pPr>
          </w:p>
        </w:tc>
        <w:tc>
          <w:tcPr>
            <w:tcW w:w="535" w:type="pct"/>
            <w:vMerge w:val="continue"/>
            <w:tcBorders>
              <w:top w:val="single" w:color="auto" w:sz="6" w:space="0"/>
            </w:tcBorders>
            <w:vAlign w:val="center"/>
          </w:tcPr>
          <w:p w14:paraId="33FCA15E">
            <w:pPr>
              <w:jc w:val="center"/>
              <w:rPr>
                <w:rFonts w:ascii="Times New Roman" w:hAnsi="Times New Roman" w:eastAsia="宋体" w:cs="Times New Roman"/>
                <w:sz w:val="24"/>
                <w:szCs w:val="24"/>
              </w:rPr>
            </w:pPr>
          </w:p>
        </w:tc>
        <w:tc>
          <w:tcPr>
            <w:tcW w:w="1269" w:type="pct"/>
            <w:tcBorders>
              <w:top w:val="single" w:color="auto" w:sz="6" w:space="0"/>
              <w:bottom w:val="single" w:color="auto" w:sz="6" w:space="0"/>
            </w:tcBorders>
          </w:tcPr>
          <w:p w14:paraId="7DC77095">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磁选废铁渣、分类废料</w:t>
            </w:r>
          </w:p>
        </w:tc>
        <w:tc>
          <w:tcPr>
            <w:tcW w:w="1904" w:type="pct"/>
            <w:tcBorders>
              <w:top w:val="single" w:color="auto" w:sz="6" w:space="0"/>
              <w:right w:val="single" w:color="000000" w:sz="4" w:space="0"/>
            </w:tcBorders>
            <w:vAlign w:val="center"/>
          </w:tcPr>
          <w:p w14:paraId="6736F15F">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废品公司</w:t>
            </w:r>
            <w:r>
              <w:rPr>
                <w:rFonts w:ascii="Times New Roman" w:hAnsi="Times New Roman" w:eastAsia="宋体" w:cs="Times New Roman"/>
                <w:sz w:val="24"/>
                <w:szCs w:val="24"/>
              </w:rPr>
              <w:t>回收外售</w:t>
            </w:r>
          </w:p>
        </w:tc>
        <w:tc>
          <w:tcPr>
            <w:tcW w:w="859" w:type="pct"/>
            <w:vMerge w:val="continue"/>
            <w:tcBorders>
              <w:left w:val="single" w:color="000000" w:sz="4" w:space="0"/>
            </w:tcBorders>
            <w:vAlign w:val="center"/>
          </w:tcPr>
          <w:p w14:paraId="41D6C36C">
            <w:pPr>
              <w:jc w:val="center"/>
              <w:rPr>
                <w:rFonts w:ascii="Times New Roman" w:hAnsi="Times New Roman" w:eastAsia="宋体" w:cs="Times New Roman"/>
                <w:sz w:val="24"/>
                <w:szCs w:val="24"/>
              </w:rPr>
            </w:pPr>
          </w:p>
        </w:tc>
      </w:tr>
      <w:tr w14:paraId="12297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Merge w:val="continue"/>
            <w:vAlign w:val="center"/>
          </w:tcPr>
          <w:p w14:paraId="7DD349BD">
            <w:pPr>
              <w:jc w:val="center"/>
              <w:rPr>
                <w:rFonts w:ascii="Times New Roman" w:hAnsi="Times New Roman" w:eastAsia="宋体" w:cs="Times New Roman"/>
                <w:sz w:val="24"/>
                <w:szCs w:val="24"/>
              </w:rPr>
            </w:pPr>
          </w:p>
        </w:tc>
        <w:tc>
          <w:tcPr>
            <w:tcW w:w="535" w:type="pct"/>
            <w:vMerge w:val="continue"/>
            <w:tcBorders>
              <w:top w:val="single" w:color="auto" w:sz="6" w:space="0"/>
            </w:tcBorders>
            <w:vAlign w:val="center"/>
          </w:tcPr>
          <w:p w14:paraId="2DC0D325">
            <w:pPr>
              <w:jc w:val="center"/>
              <w:rPr>
                <w:rFonts w:ascii="Times New Roman" w:hAnsi="Times New Roman" w:eastAsia="宋体" w:cs="Times New Roman"/>
                <w:sz w:val="24"/>
                <w:szCs w:val="24"/>
              </w:rPr>
            </w:pPr>
          </w:p>
        </w:tc>
        <w:tc>
          <w:tcPr>
            <w:tcW w:w="1269" w:type="pct"/>
            <w:tcBorders>
              <w:top w:val="single" w:color="auto" w:sz="6" w:space="0"/>
              <w:bottom w:val="single" w:color="auto" w:sz="6" w:space="0"/>
            </w:tcBorders>
          </w:tcPr>
          <w:p w14:paraId="5970F31A">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维修废物</w:t>
            </w:r>
          </w:p>
        </w:tc>
        <w:tc>
          <w:tcPr>
            <w:tcW w:w="1904" w:type="pct"/>
            <w:tcBorders>
              <w:top w:val="single" w:color="auto" w:sz="6" w:space="0"/>
              <w:right w:val="single" w:color="000000" w:sz="4" w:space="0"/>
            </w:tcBorders>
            <w:vAlign w:val="center"/>
          </w:tcPr>
          <w:p w14:paraId="5D2B2348">
            <w:pPr>
              <w:jc w:val="center"/>
              <w:rPr>
                <w:rFonts w:ascii="Times New Roman" w:hAnsi="Times New Roman" w:eastAsia="宋体" w:cs="Times New Roman"/>
                <w:sz w:val="24"/>
                <w:szCs w:val="24"/>
              </w:rPr>
            </w:pPr>
            <w:r>
              <w:rPr>
                <w:rFonts w:ascii="Times New Roman" w:hAnsi="Times New Roman" w:eastAsia="宋体" w:cs="Times New Roman"/>
                <w:sz w:val="24"/>
                <w:szCs w:val="24"/>
              </w:rPr>
              <w:t>收集后交环卫部门清运处理</w:t>
            </w:r>
          </w:p>
        </w:tc>
        <w:tc>
          <w:tcPr>
            <w:tcW w:w="859" w:type="pct"/>
            <w:vMerge w:val="continue"/>
            <w:tcBorders>
              <w:left w:val="single" w:color="000000" w:sz="4" w:space="0"/>
            </w:tcBorders>
            <w:vAlign w:val="center"/>
          </w:tcPr>
          <w:p w14:paraId="5AF55E24">
            <w:pPr>
              <w:jc w:val="center"/>
              <w:rPr>
                <w:rFonts w:ascii="Times New Roman" w:hAnsi="Times New Roman" w:eastAsia="宋体" w:cs="Times New Roman"/>
                <w:sz w:val="24"/>
                <w:szCs w:val="24"/>
              </w:rPr>
            </w:pPr>
          </w:p>
        </w:tc>
      </w:tr>
      <w:tr w14:paraId="2E37B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Merge w:val="continue"/>
            <w:vAlign w:val="center"/>
          </w:tcPr>
          <w:p w14:paraId="5B75A17F">
            <w:pPr>
              <w:jc w:val="center"/>
              <w:rPr>
                <w:rFonts w:ascii="Times New Roman" w:hAnsi="Times New Roman" w:eastAsia="宋体" w:cs="Times New Roman"/>
                <w:sz w:val="24"/>
                <w:szCs w:val="24"/>
              </w:rPr>
            </w:pPr>
          </w:p>
        </w:tc>
        <w:tc>
          <w:tcPr>
            <w:tcW w:w="535" w:type="pct"/>
            <w:vMerge w:val="continue"/>
            <w:tcBorders>
              <w:top w:val="single" w:color="auto" w:sz="6" w:space="0"/>
            </w:tcBorders>
            <w:vAlign w:val="center"/>
          </w:tcPr>
          <w:p w14:paraId="4AC16319">
            <w:pPr>
              <w:jc w:val="center"/>
              <w:rPr>
                <w:rFonts w:ascii="Times New Roman" w:hAnsi="Times New Roman" w:eastAsia="宋体" w:cs="Times New Roman"/>
                <w:sz w:val="24"/>
                <w:szCs w:val="24"/>
              </w:rPr>
            </w:pPr>
          </w:p>
        </w:tc>
        <w:tc>
          <w:tcPr>
            <w:tcW w:w="1269" w:type="pct"/>
            <w:tcBorders>
              <w:top w:val="single" w:color="auto" w:sz="6" w:space="0"/>
              <w:bottom w:val="single" w:color="auto" w:sz="6" w:space="0"/>
            </w:tcBorders>
          </w:tcPr>
          <w:p w14:paraId="78038760">
            <w:pPr>
              <w:jc w:val="center"/>
              <w:rPr>
                <w:rFonts w:ascii="Times New Roman" w:hAnsi="Times New Roman" w:eastAsia="宋体" w:cs="Times New Roman"/>
                <w:sz w:val="24"/>
                <w:szCs w:val="24"/>
              </w:rPr>
            </w:pPr>
            <w:r>
              <w:rPr>
                <w:rFonts w:hint="eastAsia" w:ascii="Times New Roman" w:hAnsi="Times New Roman" w:eastAsia="宋体" w:cs="Times New Roman"/>
                <w:kern w:val="0"/>
                <w:sz w:val="24"/>
                <w:szCs w:val="24"/>
              </w:rPr>
              <w:t>沉淀池淤泥</w:t>
            </w:r>
          </w:p>
        </w:tc>
        <w:tc>
          <w:tcPr>
            <w:tcW w:w="1904" w:type="pct"/>
            <w:tcBorders>
              <w:top w:val="single" w:color="auto" w:sz="6" w:space="0"/>
              <w:right w:val="single" w:color="000000" w:sz="4" w:space="0"/>
            </w:tcBorders>
            <w:vAlign w:val="center"/>
          </w:tcPr>
          <w:p w14:paraId="3A6D7126">
            <w:pPr>
              <w:jc w:val="center"/>
              <w:rPr>
                <w:rFonts w:ascii="Times New Roman" w:hAnsi="Times New Roman" w:eastAsia="宋体" w:cs="Times New Roman"/>
                <w:sz w:val="24"/>
                <w:szCs w:val="24"/>
              </w:rPr>
            </w:pPr>
            <w:r>
              <w:rPr>
                <w:rFonts w:hint="eastAsia" w:ascii="Times New Roman" w:hAnsi="Times New Roman" w:eastAsia="宋体" w:cs="Times New Roman"/>
                <w:sz w:val="24"/>
                <w:szCs w:val="24"/>
              </w:rPr>
              <w:t>干化后回填中铁十五局弃土场</w:t>
            </w:r>
          </w:p>
        </w:tc>
        <w:tc>
          <w:tcPr>
            <w:tcW w:w="859" w:type="pct"/>
            <w:vMerge w:val="continue"/>
            <w:tcBorders>
              <w:left w:val="single" w:color="000000" w:sz="4" w:space="0"/>
            </w:tcBorders>
            <w:vAlign w:val="center"/>
          </w:tcPr>
          <w:p w14:paraId="139AA1A3">
            <w:pPr>
              <w:jc w:val="center"/>
              <w:rPr>
                <w:rFonts w:ascii="Times New Roman" w:hAnsi="Times New Roman" w:eastAsia="宋体" w:cs="Times New Roman"/>
                <w:sz w:val="24"/>
                <w:szCs w:val="24"/>
              </w:rPr>
            </w:pPr>
          </w:p>
        </w:tc>
      </w:tr>
      <w:tr w14:paraId="1992A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Merge w:val="restart"/>
            <w:vAlign w:val="center"/>
          </w:tcPr>
          <w:p w14:paraId="2A04DA4E">
            <w:pPr>
              <w:jc w:val="center"/>
              <w:rPr>
                <w:rFonts w:ascii="Times New Roman" w:hAnsi="Times New Roman" w:eastAsia="宋体" w:cs="Times New Roman"/>
                <w:sz w:val="24"/>
                <w:szCs w:val="24"/>
              </w:rPr>
            </w:pPr>
            <w:r>
              <w:rPr>
                <w:rFonts w:ascii="Times New Roman" w:hAnsi="Times New Roman" w:eastAsia="宋体" w:cs="Times New Roman"/>
                <w:sz w:val="24"/>
                <w:szCs w:val="24"/>
              </w:rPr>
              <w:t>噪</w:t>
            </w:r>
          </w:p>
          <w:p w14:paraId="1737B728">
            <w:pPr>
              <w:jc w:val="center"/>
              <w:rPr>
                <w:rFonts w:ascii="Times New Roman" w:hAnsi="Times New Roman" w:eastAsia="宋体" w:cs="Times New Roman"/>
                <w:sz w:val="24"/>
                <w:szCs w:val="24"/>
              </w:rPr>
            </w:pPr>
            <w:r>
              <w:rPr>
                <w:rFonts w:ascii="Times New Roman" w:hAnsi="Times New Roman" w:eastAsia="宋体" w:cs="Times New Roman"/>
                <w:sz w:val="24"/>
                <w:szCs w:val="24"/>
              </w:rPr>
              <w:t>声</w:t>
            </w:r>
          </w:p>
        </w:tc>
        <w:tc>
          <w:tcPr>
            <w:tcW w:w="535" w:type="pct"/>
            <w:vAlign w:val="center"/>
          </w:tcPr>
          <w:p w14:paraId="4F7A44AF">
            <w:pPr>
              <w:jc w:val="center"/>
              <w:rPr>
                <w:rFonts w:ascii="Times New Roman" w:hAnsi="Times New Roman" w:eastAsia="宋体" w:cs="Times New Roman"/>
                <w:sz w:val="24"/>
                <w:szCs w:val="24"/>
              </w:rPr>
            </w:pPr>
            <w:r>
              <w:rPr>
                <w:rFonts w:ascii="Times New Roman" w:hAnsi="Times New Roman" w:eastAsia="宋体" w:cs="Times New Roman"/>
                <w:spacing w:val="-6"/>
                <w:sz w:val="24"/>
                <w:szCs w:val="24"/>
              </w:rPr>
              <w:t>施工期</w:t>
            </w:r>
          </w:p>
        </w:tc>
        <w:tc>
          <w:tcPr>
            <w:tcW w:w="1269" w:type="pct"/>
            <w:vAlign w:val="center"/>
          </w:tcPr>
          <w:p w14:paraId="20A9CE89">
            <w:pPr>
              <w:jc w:val="center"/>
              <w:rPr>
                <w:rFonts w:ascii="Times New Roman" w:hAnsi="Times New Roman" w:eastAsia="宋体" w:cs="Times New Roman"/>
                <w:sz w:val="24"/>
                <w:szCs w:val="24"/>
              </w:rPr>
            </w:pPr>
            <w:r>
              <w:rPr>
                <w:rFonts w:ascii="Times New Roman" w:hAnsi="Times New Roman" w:eastAsia="宋体" w:cs="Times New Roman"/>
                <w:sz w:val="24"/>
                <w:szCs w:val="24"/>
              </w:rPr>
              <w:t>施工噪声</w:t>
            </w:r>
          </w:p>
        </w:tc>
        <w:tc>
          <w:tcPr>
            <w:tcW w:w="2763" w:type="pct"/>
            <w:gridSpan w:val="2"/>
            <w:tcBorders>
              <w:top w:val="single" w:color="000000" w:sz="4" w:space="0"/>
            </w:tcBorders>
            <w:vAlign w:val="center"/>
          </w:tcPr>
          <w:p w14:paraId="2D6512E5">
            <w:pPr>
              <w:jc w:val="center"/>
              <w:rPr>
                <w:rFonts w:ascii="Times New Roman" w:hAnsi="Times New Roman" w:eastAsia="宋体" w:cs="Times New Roman"/>
                <w:sz w:val="24"/>
                <w:szCs w:val="24"/>
              </w:rPr>
            </w:pPr>
            <w:r>
              <w:rPr>
                <w:rFonts w:ascii="Times New Roman" w:hAnsi="Times New Roman" w:eastAsia="宋体" w:cs="Times New Roman"/>
                <w:sz w:val="24"/>
                <w:szCs w:val="24"/>
              </w:rPr>
              <w:t>昼间&lt;70 dB（A），夜间&lt;55 dB（A）</w:t>
            </w:r>
          </w:p>
        </w:tc>
      </w:tr>
      <w:tr w14:paraId="0D32F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Merge w:val="continue"/>
            <w:vAlign w:val="center"/>
          </w:tcPr>
          <w:p w14:paraId="2AF8B3EF">
            <w:pPr>
              <w:jc w:val="center"/>
              <w:rPr>
                <w:rFonts w:ascii="Times New Roman" w:hAnsi="Times New Roman" w:eastAsia="宋体" w:cs="Times New Roman"/>
                <w:sz w:val="24"/>
                <w:szCs w:val="24"/>
              </w:rPr>
            </w:pPr>
          </w:p>
        </w:tc>
        <w:tc>
          <w:tcPr>
            <w:tcW w:w="535" w:type="pct"/>
            <w:vAlign w:val="center"/>
          </w:tcPr>
          <w:p w14:paraId="221BAE4B">
            <w:pPr>
              <w:jc w:val="center"/>
              <w:rPr>
                <w:rFonts w:ascii="Times New Roman" w:hAnsi="Times New Roman" w:eastAsia="宋体" w:cs="Times New Roman"/>
                <w:spacing w:val="-6"/>
                <w:sz w:val="24"/>
                <w:szCs w:val="24"/>
              </w:rPr>
            </w:pPr>
            <w:r>
              <w:rPr>
                <w:rFonts w:ascii="Times New Roman" w:hAnsi="Times New Roman" w:eastAsia="宋体" w:cs="Times New Roman"/>
                <w:spacing w:val="-6"/>
                <w:sz w:val="24"/>
                <w:szCs w:val="24"/>
              </w:rPr>
              <w:t>运营期</w:t>
            </w:r>
          </w:p>
        </w:tc>
        <w:tc>
          <w:tcPr>
            <w:tcW w:w="4032" w:type="pct"/>
            <w:gridSpan w:val="3"/>
            <w:vAlign w:val="center"/>
          </w:tcPr>
          <w:p w14:paraId="1AFA3E40">
            <w:pPr>
              <w:jc w:val="left"/>
              <w:rPr>
                <w:rFonts w:ascii="Times New Roman" w:hAnsi="Times New Roman" w:eastAsia="宋体" w:cs="Times New Roman"/>
                <w:bCs/>
                <w:sz w:val="24"/>
                <w:szCs w:val="24"/>
              </w:rPr>
            </w:pPr>
            <w:r>
              <w:rPr>
                <w:rFonts w:ascii="Times New Roman" w:hAnsi="Times New Roman" w:eastAsia="宋体" w:cs="Times New Roman"/>
                <w:sz w:val="24"/>
                <w:szCs w:val="24"/>
              </w:rPr>
              <w:t>《工业企业厂界环境噪声排放标准》(GB12348-2008</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rPr>
              <w:t>中2类标准</w:t>
            </w:r>
          </w:p>
        </w:tc>
      </w:tr>
      <w:tr w14:paraId="31BD9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5"/>
            <w:vAlign w:val="center"/>
          </w:tcPr>
          <w:p w14:paraId="76386ACB">
            <w:pPr>
              <w:spacing w:line="360" w:lineRule="auto"/>
              <w:rPr>
                <w:rFonts w:ascii="Times New Roman" w:hAnsi="Times New Roman" w:eastAsia="宋体" w:cs="Times New Roman"/>
                <w:b/>
                <w:bCs/>
                <w:sz w:val="24"/>
                <w:szCs w:val="24"/>
              </w:rPr>
            </w:pPr>
            <w:r>
              <w:rPr>
                <w:rFonts w:ascii="Times New Roman" w:hAnsi="Times New Roman" w:eastAsia="宋体" w:cs="Times New Roman"/>
                <w:b/>
                <w:bCs/>
                <w:sz w:val="24"/>
                <w:szCs w:val="24"/>
              </w:rPr>
              <w:t>生态保护措施及预期效果：</w:t>
            </w:r>
          </w:p>
          <w:p w14:paraId="6D65E4E1">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w:t>
            </w:r>
            <w:r>
              <w:rPr>
                <w:rFonts w:hint="eastAsia" w:ascii="Times New Roman" w:hAnsi="Times New Roman" w:eastAsia="宋体" w:cs="Times New Roman"/>
                <w:sz w:val="24"/>
                <w:szCs w:val="24"/>
              </w:rPr>
              <w:t>新建</w:t>
            </w:r>
            <w:r>
              <w:rPr>
                <w:rFonts w:ascii="Times New Roman" w:hAnsi="Times New Roman" w:eastAsia="宋体" w:cs="Times New Roman"/>
                <w:sz w:val="24"/>
                <w:szCs w:val="24"/>
              </w:rPr>
              <w:t>范围为</w:t>
            </w:r>
            <w:r>
              <w:rPr>
                <w:rFonts w:hint="eastAsia" w:ascii="Times New Roman" w:hAnsi="Times New Roman" w:eastAsia="宋体" w:cs="Times New Roman"/>
                <w:sz w:val="24"/>
                <w:szCs w:val="24"/>
              </w:rPr>
              <w:t>原中铁十二局搅拌站遗留场地</w:t>
            </w:r>
            <w:r>
              <w:rPr>
                <w:rFonts w:ascii="Times New Roman" w:hAnsi="Times New Roman" w:eastAsia="宋体" w:cs="Times New Roman"/>
                <w:sz w:val="24"/>
                <w:szCs w:val="24"/>
              </w:rPr>
              <w:t>范围，该区域人类活动频繁，无珍稀保护动植物。本项目施工期主要影响为施工造成地面扰动引起的水土流失，项目用地范围较为平整，不需要进行大量土石方开挖，平整后立刻进行压实，水土流失影响较小。</w:t>
            </w:r>
          </w:p>
          <w:p w14:paraId="790A84BF">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因此，项目的建设对生态环境不会产生较大影响。本项目在营运期对生态环境不会产生明显影响。</w:t>
            </w:r>
          </w:p>
          <w:p w14:paraId="23937AB7">
            <w:pPr>
              <w:spacing w:line="360" w:lineRule="auto"/>
              <w:ind w:firstLine="480" w:firstLineChars="200"/>
              <w:rPr>
                <w:rFonts w:ascii="Times New Roman" w:hAnsi="Times New Roman" w:eastAsia="宋体" w:cs="Times New Roman"/>
                <w:sz w:val="24"/>
                <w:szCs w:val="24"/>
              </w:rPr>
            </w:pPr>
          </w:p>
          <w:p w14:paraId="6BD78489">
            <w:pPr>
              <w:spacing w:line="360" w:lineRule="auto"/>
              <w:ind w:firstLine="480" w:firstLineChars="200"/>
              <w:rPr>
                <w:rFonts w:ascii="Times New Roman" w:hAnsi="Times New Roman" w:eastAsia="宋体" w:cs="Times New Roman"/>
                <w:sz w:val="24"/>
                <w:szCs w:val="24"/>
              </w:rPr>
            </w:pPr>
          </w:p>
          <w:p w14:paraId="4604759A">
            <w:pPr>
              <w:spacing w:line="360" w:lineRule="auto"/>
              <w:ind w:firstLine="480" w:firstLineChars="200"/>
              <w:rPr>
                <w:rFonts w:ascii="Times New Roman" w:hAnsi="Times New Roman" w:eastAsia="宋体" w:cs="Times New Roman"/>
                <w:sz w:val="24"/>
                <w:szCs w:val="24"/>
              </w:rPr>
            </w:pPr>
          </w:p>
          <w:p w14:paraId="34207C46">
            <w:pPr>
              <w:spacing w:line="360" w:lineRule="auto"/>
              <w:ind w:firstLine="480" w:firstLineChars="200"/>
              <w:rPr>
                <w:rFonts w:ascii="Times New Roman" w:hAnsi="Times New Roman" w:eastAsia="宋体" w:cs="Times New Roman"/>
                <w:sz w:val="24"/>
                <w:szCs w:val="24"/>
              </w:rPr>
            </w:pPr>
          </w:p>
          <w:p w14:paraId="5D4C4F69">
            <w:pPr>
              <w:spacing w:line="360" w:lineRule="auto"/>
              <w:ind w:firstLine="480" w:firstLineChars="200"/>
              <w:rPr>
                <w:rFonts w:ascii="Times New Roman" w:hAnsi="Times New Roman" w:eastAsia="宋体" w:cs="Times New Roman"/>
                <w:sz w:val="24"/>
                <w:szCs w:val="24"/>
              </w:rPr>
            </w:pPr>
          </w:p>
          <w:p w14:paraId="538F6202">
            <w:pPr>
              <w:spacing w:line="360" w:lineRule="auto"/>
              <w:ind w:firstLine="480" w:firstLineChars="200"/>
              <w:rPr>
                <w:rFonts w:ascii="Times New Roman" w:hAnsi="Times New Roman" w:eastAsia="宋体" w:cs="Times New Roman"/>
                <w:sz w:val="24"/>
                <w:szCs w:val="24"/>
              </w:rPr>
            </w:pPr>
          </w:p>
          <w:p w14:paraId="3EAFD206">
            <w:pPr>
              <w:spacing w:line="360" w:lineRule="auto"/>
              <w:ind w:firstLine="480" w:firstLineChars="200"/>
              <w:rPr>
                <w:rFonts w:ascii="Times New Roman" w:hAnsi="Times New Roman" w:eastAsia="宋体" w:cs="Times New Roman"/>
                <w:sz w:val="24"/>
                <w:szCs w:val="24"/>
              </w:rPr>
            </w:pPr>
          </w:p>
          <w:p w14:paraId="7A190E36">
            <w:pPr>
              <w:spacing w:line="360" w:lineRule="auto"/>
              <w:ind w:firstLine="480" w:firstLineChars="200"/>
              <w:rPr>
                <w:rFonts w:ascii="Times New Roman" w:hAnsi="Times New Roman" w:eastAsia="宋体" w:cs="Times New Roman"/>
                <w:sz w:val="24"/>
                <w:szCs w:val="24"/>
              </w:rPr>
            </w:pPr>
          </w:p>
          <w:p w14:paraId="2E432C3F">
            <w:pPr>
              <w:spacing w:line="360" w:lineRule="auto"/>
              <w:ind w:firstLine="480" w:firstLineChars="200"/>
              <w:rPr>
                <w:rFonts w:ascii="Times New Roman" w:hAnsi="Times New Roman" w:eastAsia="宋体" w:cs="Times New Roman"/>
                <w:sz w:val="24"/>
                <w:szCs w:val="24"/>
              </w:rPr>
            </w:pPr>
          </w:p>
          <w:p w14:paraId="620545D3">
            <w:pPr>
              <w:spacing w:line="360" w:lineRule="auto"/>
              <w:ind w:firstLine="480" w:firstLineChars="200"/>
              <w:rPr>
                <w:rFonts w:ascii="Times New Roman" w:hAnsi="Times New Roman" w:eastAsia="宋体" w:cs="Times New Roman"/>
                <w:sz w:val="24"/>
                <w:szCs w:val="24"/>
              </w:rPr>
            </w:pPr>
          </w:p>
          <w:p w14:paraId="7F54A0CA">
            <w:pPr>
              <w:spacing w:line="360" w:lineRule="auto"/>
              <w:ind w:firstLine="480" w:firstLineChars="200"/>
              <w:rPr>
                <w:rFonts w:ascii="Times New Roman" w:hAnsi="Times New Roman" w:eastAsia="宋体" w:cs="Times New Roman"/>
                <w:sz w:val="24"/>
                <w:szCs w:val="24"/>
              </w:rPr>
            </w:pPr>
          </w:p>
          <w:p w14:paraId="6CA97039">
            <w:pPr>
              <w:spacing w:line="360" w:lineRule="auto"/>
              <w:ind w:firstLine="480" w:firstLineChars="200"/>
              <w:rPr>
                <w:rFonts w:ascii="Times New Roman" w:hAnsi="Times New Roman" w:eastAsia="宋体" w:cs="Times New Roman"/>
                <w:sz w:val="24"/>
                <w:szCs w:val="24"/>
              </w:rPr>
            </w:pPr>
          </w:p>
          <w:p w14:paraId="3B432AE0">
            <w:pPr>
              <w:spacing w:line="360" w:lineRule="auto"/>
              <w:ind w:firstLine="480" w:firstLineChars="200"/>
              <w:rPr>
                <w:rFonts w:ascii="Times New Roman" w:hAnsi="Times New Roman" w:eastAsia="宋体" w:cs="Times New Roman"/>
                <w:sz w:val="24"/>
                <w:szCs w:val="24"/>
              </w:rPr>
            </w:pPr>
          </w:p>
          <w:p w14:paraId="1AD0AA12">
            <w:pPr>
              <w:spacing w:line="360" w:lineRule="auto"/>
              <w:ind w:firstLine="480" w:firstLineChars="200"/>
              <w:rPr>
                <w:rFonts w:ascii="Times New Roman" w:hAnsi="Times New Roman" w:eastAsia="宋体" w:cs="Times New Roman"/>
                <w:sz w:val="24"/>
                <w:szCs w:val="24"/>
              </w:rPr>
            </w:pPr>
          </w:p>
          <w:p w14:paraId="52192E15">
            <w:pPr>
              <w:spacing w:line="360" w:lineRule="auto"/>
              <w:ind w:firstLine="480" w:firstLineChars="200"/>
              <w:rPr>
                <w:rFonts w:ascii="Times New Roman" w:hAnsi="Times New Roman" w:eastAsia="宋体" w:cs="Times New Roman"/>
                <w:sz w:val="24"/>
                <w:szCs w:val="24"/>
              </w:rPr>
            </w:pPr>
          </w:p>
          <w:p w14:paraId="2B09C8A7">
            <w:pPr>
              <w:spacing w:line="360" w:lineRule="auto"/>
              <w:ind w:firstLine="480" w:firstLineChars="200"/>
              <w:rPr>
                <w:rFonts w:ascii="Times New Roman" w:hAnsi="Times New Roman" w:eastAsia="宋体" w:cs="Times New Roman"/>
                <w:sz w:val="24"/>
                <w:szCs w:val="24"/>
              </w:rPr>
            </w:pPr>
          </w:p>
          <w:p w14:paraId="31636D29">
            <w:pPr>
              <w:spacing w:line="360" w:lineRule="auto"/>
              <w:ind w:firstLine="480" w:firstLineChars="200"/>
              <w:rPr>
                <w:rFonts w:ascii="Times New Roman" w:hAnsi="Times New Roman" w:eastAsia="宋体" w:cs="Times New Roman"/>
                <w:sz w:val="24"/>
                <w:szCs w:val="24"/>
              </w:rPr>
            </w:pPr>
          </w:p>
          <w:p w14:paraId="4E5F841A">
            <w:pPr>
              <w:spacing w:line="360" w:lineRule="auto"/>
              <w:ind w:firstLine="480" w:firstLineChars="200"/>
              <w:rPr>
                <w:rFonts w:ascii="Times New Roman" w:hAnsi="Times New Roman" w:eastAsia="宋体" w:cs="Times New Roman"/>
                <w:sz w:val="24"/>
                <w:szCs w:val="24"/>
              </w:rPr>
            </w:pPr>
          </w:p>
          <w:p w14:paraId="415BBADA">
            <w:pPr>
              <w:spacing w:line="360" w:lineRule="auto"/>
              <w:ind w:firstLine="480" w:firstLineChars="200"/>
              <w:rPr>
                <w:rFonts w:ascii="Times New Roman" w:hAnsi="Times New Roman" w:eastAsia="宋体" w:cs="Times New Roman"/>
                <w:sz w:val="24"/>
                <w:szCs w:val="24"/>
              </w:rPr>
            </w:pPr>
          </w:p>
          <w:p w14:paraId="771C1C20">
            <w:pPr>
              <w:spacing w:line="360" w:lineRule="auto"/>
              <w:ind w:firstLine="480" w:firstLineChars="200"/>
              <w:rPr>
                <w:rFonts w:ascii="Times New Roman" w:hAnsi="Times New Roman" w:eastAsia="宋体" w:cs="Times New Roman"/>
                <w:sz w:val="24"/>
                <w:szCs w:val="24"/>
              </w:rPr>
            </w:pPr>
          </w:p>
          <w:p w14:paraId="0C6FFD27">
            <w:pPr>
              <w:spacing w:line="360" w:lineRule="auto"/>
              <w:ind w:firstLine="480" w:firstLineChars="200"/>
              <w:rPr>
                <w:rFonts w:ascii="Times New Roman" w:hAnsi="Times New Roman" w:eastAsia="宋体" w:cs="Times New Roman"/>
                <w:sz w:val="24"/>
                <w:szCs w:val="24"/>
              </w:rPr>
            </w:pPr>
          </w:p>
          <w:p w14:paraId="3F4F68A8">
            <w:pPr>
              <w:spacing w:line="360" w:lineRule="auto"/>
              <w:ind w:firstLine="480" w:firstLineChars="200"/>
              <w:rPr>
                <w:rFonts w:ascii="Times New Roman" w:hAnsi="Times New Roman" w:eastAsia="宋体" w:cs="Times New Roman"/>
                <w:sz w:val="24"/>
                <w:szCs w:val="24"/>
              </w:rPr>
            </w:pPr>
          </w:p>
          <w:p w14:paraId="646EC44E">
            <w:pPr>
              <w:spacing w:line="360" w:lineRule="auto"/>
              <w:ind w:firstLine="480" w:firstLineChars="200"/>
              <w:rPr>
                <w:rFonts w:ascii="Times New Roman" w:hAnsi="Times New Roman" w:eastAsia="宋体" w:cs="Times New Roman"/>
                <w:sz w:val="24"/>
                <w:szCs w:val="24"/>
              </w:rPr>
            </w:pPr>
          </w:p>
          <w:p w14:paraId="086DC4EC">
            <w:pPr>
              <w:spacing w:line="360" w:lineRule="auto"/>
              <w:ind w:firstLine="480" w:firstLineChars="200"/>
              <w:rPr>
                <w:rFonts w:ascii="Times New Roman" w:hAnsi="Times New Roman" w:eastAsia="宋体" w:cs="Times New Roman"/>
                <w:sz w:val="24"/>
                <w:szCs w:val="24"/>
              </w:rPr>
            </w:pPr>
          </w:p>
          <w:p w14:paraId="76284A61">
            <w:pPr>
              <w:spacing w:line="360" w:lineRule="auto"/>
              <w:ind w:firstLine="480" w:firstLineChars="200"/>
              <w:rPr>
                <w:rFonts w:ascii="Times New Roman" w:hAnsi="Times New Roman" w:eastAsia="宋体" w:cs="Times New Roman"/>
                <w:sz w:val="24"/>
                <w:szCs w:val="24"/>
              </w:rPr>
            </w:pPr>
          </w:p>
          <w:p w14:paraId="02BA515F">
            <w:pPr>
              <w:spacing w:line="360" w:lineRule="auto"/>
              <w:ind w:firstLine="480" w:firstLineChars="200"/>
              <w:rPr>
                <w:rFonts w:ascii="Times New Roman" w:hAnsi="Times New Roman" w:eastAsia="宋体" w:cs="Times New Roman"/>
                <w:sz w:val="24"/>
                <w:szCs w:val="24"/>
              </w:rPr>
            </w:pPr>
          </w:p>
          <w:p w14:paraId="40D04CCE">
            <w:pPr>
              <w:spacing w:line="360" w:lineRule="auto"/>
              <w:ind w:firstLine="480" w:firstLineChars="200"/>
              <w:rPr>
                <w:rFonts w:ascii="Times New Roman" w:hAnsi="Times New Roman" w:eastAsia="宋体" w:cs="Times New Roman"/>
                <w:sz w:val="24"/>
                <w:szCs w:val="24"/>
              </w:rPr>
            </w:pPr>
          </w:p>
          <w:p w14:paraId="121F4386">
            <w:pPr>
              <w:spacing w:line="360" w:lineRule="auto"/>
              <w:ind w:firstLine="480" w:firstLineChars="200"/>
              <w:rPr>
                <w:rFonts w:ascii="Times New Roman" w:hAnsi="Times New Roman" w:eastAsia="宋体" w:cs="Times New Roman"/>
                <w:sz w:val="24"/>
                <w:szCs w:val="24"/>
              </w:rPr>
            </w:pPr>
          </w:p>
          <w:p w14:paraId="546E1723">
            <w:pPr>
              <w:spacing w:line="360" w:lineRule="auto"/>
              <w:ind w:firstLine="480" w:firstLineChars="200"/>
              <w:rPr>
                <w:rFonts w:ascii="Times New Roman" w:hAnsi="Times New Roman" w:eastAsia="宋体" w:cs="Times New Roman"/>
                <w:sz w:val="24"/>
                <w:szCs w:val="24"/>
              </w:rPr>
            </w:pPr>
          </w:p>
          <w:p w14:paraId="1E7A810B">
            <w:pPr>
              <w:spacing w:line="360" w:lineRule="auto"/>
              <w:ind w:firstLine="480" w:firstLineChars="200"/>
              <w:rPr>
                <w:rFonts w:ascii="Times New Roman" w:hAnsi="Times New Roman" w:eastAsia="宋体" w:cs="Times New Roman"/>
                <w:sz w:val="24"/>
                <w:szCs w:val="24"/>
              </w:rPr>
            </w:pPr>
          </w:p>
          <w:p w14:paraId="5CB548FA">
            <w:pPr>
              <w:spacing w:line="360" w:lineRule="auto"/>
              <w:ind w:firstLine="480" w:firstLineChars="200"/>
              <w:rPr>
                <w:rFonts w:ascii="Times New Roman" w:hAnsi="Times New Roman" w:eastAsia="宋体" w:cs="Times New Roman"/>
                <w:sz w:val="24"/>
                <w:szCs w:val="24"/>
              </w:rPr>
            </w:pPr>
          </w:p>
        </w:tc>
      </w:tr>
    </w:tbl>
    <w:p w14:paraId="508AD1DF">
      <w:pPr>
        <w:outlineLvl w:val="0"/>
        <w:rPr>
          <w:rFonts w:ascii="Times New Roman" w:hAnsi="Times New Roman" w:eastAsia="宋体" w:cs="Times New Roman"/>
          <w:b/>
          <w:sz w:val="30"/>
          <w:szCs w:val="30"/>
        </w:rPr>
      </w:pPr>
      <w:r>
        <w:rPr>
          <w:rFonts w:ascii="Times New Roman" w:hAnsi="Times New Roman" w:eastAsia="宋体" w:cs="Times New Roman"/>
          <w:b/>
          <w:sz w:val="30"/>
          <w:szCs w:val="30"/>
        </w:rPr>
        <w:br w:type="page"/>
      </w:r>
      <w:r>
        <w:rPr>
          <w:rFonts w:ascii="Times New Roman" w:hAnsi="Times New Roman" w:eastAsia="宋体" w:cs="Times New Roman"/>
          <w:b/>
          <w:sz w:val="30"/>
          <w:szCs w:val="30"/>
        </w:rPr>
        <w:t>结论与建议（表九）</w:t>
      </w:r>
    </w:p>
    <w:tbl>
      <w:tblPr>
        <w:tblStyle w:val="26"/>
        <w:tblW w:w="85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27"/>
        <w:gridCol w:w="101"/>
      </w:tblGrid>
      <w:tr w14:paraId="3598F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1" w:type="dxa"/>
          <w:trHeight w:val="8856" w:hRule="atLeast"/>
          <w:jc w:val="center"/>
        </w:trPr>
        <w:tc>
          <w:tcPr>
            <w:tcW w:w="8427" w:type="dxa"/>
          </w:tcPr>
          <w:p w14:paraId="78A2360B">
            <w:pPr>
              <w:spacing w:before="120" w:after="120" w:line="480" w:lineRule="exact"/>
              <w:rPr>
                <w:rFonts w:ascii="Times New Roman" w:hAnsi="Times New Roman" w:eastAsia="宋体" w:cs="Times New Roman"/>
                <w:b/>
                <w:sz w:val="28"/>
                <w:szCs w:val="28"/>
              </w:rPr>
            </w:pPr>
            <w:r>
              <w:rPr>
                <w:rFonts w:ascii="Times New Roman" w:hAnsi="Times New Roman" w:eastAsia="宋体" w:cs="Times New Roman"/>
                <w:b/>
                <w:sz w:val="28"/>
                <w:szCs w:val="28"/>
              </w:rPr>
              <w:t>一、结论</w:t>
            </w:r>
          </w:p>
          <w:p w14:paraId="020042A1">
            <w:pPr>
              <w:spacing w:line="360" w:lineRule="auto"/>
              <w:ind w:firstLine="470" w:firstLineChars="196"/>
              <w:rPr>
                <w:rFonts w:ascii="Times New Roman" w:hAnsi="Times New Roman" w:eastAsia="宋体" w:cs="Times New Roman"/>
                <w:bCs/>
                <w:sz w:val="24"/>
                <w:szCs w:val="24"/>
              </w:rPr>
            </w:pPr>
            <w:r>
              <w:rPr>
                <w:rFonts w:hint="eastAsia" w:ascii="Times New Roman" w:hAnsi="Times New Roman" w:eastAsia="宋体" w:cs="Times New Roman"/>
                <w:bCs/>
                <w:sz w:val="24"/>
                <w:szCs w:val="24"/>
                <w:lang w:eastAsia="zh-CN"/>
              </w:rPr>
              <w:t>峨边彝族自治县</w:t>
            </w:r>
            <w:r>
              <w:rPr>
                <w:rFonts w:hint="eastAsia" w:ascii="Times New Roman" w:hAnsi="Times New Roman" w:eastAsia="宋体" w:cs="Times New Roman"/>
                <w:bCs/>
                <w:sz w:val="24"/>
                <w:szCs w:val="24"/>
              </w:rPr>
              <w:t>建筑垃圾资源化回收利用项目</w:t>
            </w:r>
            <w:r>
              <w:rPr>
                <w:rFonts w:ascii="Times New Roman" w:hAnsi="Times New Roman" w:eastAsia="宋体" w:cs="Times New Roman"/>
                <w:bCs/>
                <w:sz w:val="24"/>
                <w:szCs w:val="24"/>
              </w:rPr>
              <w:t>位于</w:t>
            </w:r>
            <w:r>
              <w:rPr>
                <w:rFonts w:hint="eastAsia" w:ascii="Times New Roman" w:hAnsi="Times New Roman" w:eastAsia="宋体" w:cs="Times New Roman"/>
                <w:bCs/>
                <w:sz w:val="24"/>
                <w:szCs w:val="24"/>
              </w:rPr>
              <w:t>峨边彝族自治县新林镇卷木村4组、7组（E103.2309°，N29.1976°）</w:t>
            </w:r>
            <w:r>
              <w:rPr>
                <w:rFonts w:ascii="Times New Roman" w:hAnsi="Times New Roman" w:eastAsia="宋体" w:cs="Times New Roman"/>
                <w:bCs/>
                <w:sz w:val="24"/>
                <w:szCs w:val="24"/>
              </w:rPr>
              <w:t>，项目用地属于</w:t>
            </w:r>
            <w:r>
              <w:rPr>
                <w:rFonts w:hint="eastAsia" w:ascii="Times New Roman" w:hAnsi="Times New Roman" w:eastAsia="宋体" w:cs="Times New Roman"/>
                <w:bCs/>
                <w:sz w:val="24"/>
                <w:szCs w:val="24"/>
              </w:rPr>
              <w:t>临时建设用</w:t>
            </w:r>
            <w:r>
              <w:rPr>
                <w:rFonts w:ascii="Times New Roman" w:hAnsi="Times New Roman" w:eastAsia="宋体" w:cs="Times New Roman"/>
                <w:bCs/>
                <w:sz w:val="24"/>
                <w:szCs w:val="24"/>
              </w:rPr>
              <w:t>地，系在现有</w:t>
            </w:r>
            <w:r>
              <w:rPr>
                <w:rFonts w:hint="eastAsia" w:ascii="Times New Roman" w:hAnsi="Times New Roman" w:eastAsia="宋体" w:cs="Times New Roman"/>
                <w:bCs/>
                <w:sz w:val="24"/>
                <w:szCs w:val="24"/>
              </w:rPr>
              <w:t>平整</w:t>
            </w:r>
            <w:r>
              <w:rPr>
                <w:rFonts w:ascii="Times New Roman" w:hAnsi="Times New Roman" w:eastAsia="宋体" w:cs="Times New Roman"/>
                <w:bCs/>
                <w:sz w:val="24"/>
                <w:szCs w:val="24"/>
              </w:rPr>
              <w:t>场地内</w:t>
            </w:r>
            <w:r>
              <w:rPr>
                <w:rFonts w:hint="eastAsia" w:ascii="Times New Roman" w:hAnsi="Times New Roman" w:eastAsia="宋体" w:cs="Times New Roman"/>
                <w:bCs/>
                <w:sz w:val="24"/>
                <w:szCs w:val="24"/>
              </w:rPr>
              <w:t>建设。项目设计年回收加工建筑垃圾20万吨，主要产品为：建筑颗粒</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其中0.5cm颗粒12万吨，2</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4cm颗粒8万吨</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，项目总建筑面积5000平方米</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5×5×3料仓10个、机械厂房1500平方米，环保配套设施500平方米其他辅助设施2250平方米</w:t>
            </w:r>
            <w:r>
              <w:rPr>
                <w:rFonts w:hint="eastAsia" w:ascii="Times New Roman" w:hAnsi="Times New Roman" w:eastAsia="宋体" w:cs="Times New Roman"/>
                <w:bCs/>
                <w:sz w:val="24"/>
                <w:szCs w:val="24"/>
                <w:lang w:eastAsia="zh-CN"/>
              </w:rPr>
              <w:t>）</w:t>
            </w:r>
            <w:r>
              <w:rPr>
                <w:rFonts w:hint="eastAsia" w:ascii="Times New Roman" w:hAnsi="Times New Roman" w:eastAsia="宋体" w:cs="Times New Roman"/>
                <w:bCs/>
                <w:sz w:val="24"/>
                <w:szCs w:val="24"/>
              </w:rPr>
              <w:t>，主要设备：1142重型给料机1台、1060×750鄂破机1台、141制砂机1台、2470振动筛1台、输送机1台、30装载机1台、降尘喷雾机4台，厂区采用封闭作业，全面降尘，粉尘不出车间。</w:t>
            </w:r>
            <w:r>
              <w:rPr>
                <w:rFonts w:ascii="Times New Roman" w:hAnsi="Times New Roman" w:eastAsia="宋体" w:cs="Times New Roman"/>
                <w:sz w:val="24"/>
              </w:rPr>
              <w:t>项目总投资为200万，其中环保投资为17.5万元，占总投资的8.75%。</w:t>
            </w:r>
            <w:r>
              <w:rPr>
                <w:rFonts w:ascii="Times New Roman" w:hAnsi="Times New Roman" w:eastAsia="宋体" w:cs="Times New Roman"/>
                <w:bCs/>
                <w:sz w:val="24"/>
              </w:rPr>
              <w:t>经过评价形成结论如下：</w:t>
            </w:r>
          </w:p>
          <w:p w14:paraId="5F08CD10">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1、政策符合性</w:t>
            </w:r>
          </w:p>
          <w:p w14:paraId="6FAFCFF4">
            <w:pPr>
              <w:widowControl/>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根据国民经济行业分类与代码（GB/T4754－2017），本项目属于“C4220 非金属废料和碎屑加工处理”，中华人民共和国国家发展和改革委员会令第29号《产业结构调整指导目录（2019年本）》，本项目为建筑垃圾再生利用项目，属于“第一类 鼓励类”中的“四十三、环境保护与资源节约综合利用 26、再生资源、建筑垃圾资源化回收利用工程和产业化”，且符合国家有关</w:t>
            </w:r>
            <w:r>
              <w:rPr>
                <w:rFonts w:hint="eastAsia" w:ascii="Times New Roman" w:hAnsi="Times New Roman" w:eastAsia="宋体" w:cs="Times New Roman"/>
                <w:sz w:val="24"/>
                <w:szCs w:val="24"/>
                <w:lang w:eastAsia="zh-CN"/>
              </w:rPr>
              <w:t>法律法规</w:t>
            </w:r>
            <w:r>
              <w:rPr>
                <w:rFonts w:hint="eastAsia" w:ascii="Times New Roman" w:hAnsi="Times New Roman" w:eastAsia="宋体" w:cs="Times New Roman"/>
                <w:sz w:val="24"/>
                <w:szCs w:val="24"/>
              </w:rPr>
              <w:t>和政策规定，为鼓励类。</w:t>
            </w:r>
          </w:p>
          <w:p w14:paraId="46C9BF1F">
            <w:pPr>
              <w:widowControl/>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因此，本项目属于鼓励类，符合相关法律法规和相关政策规定。</w:t>
            </w:r>
          </w:p>
          <w:p w14:paraId="44B5EF4A">
            <w:pPr>
              <w:widowControl/>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同时，峨边彝族自治县发展和改革局以《四川省固定资产投资项目备案表》（川投资备【2020-511132-42-03-422053】FGQB-0003号）予以备案，同意实施。</w:t>
            </w:r>
          </w:p>
          <w:p w14:paraId="12A9BA5C">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综上所述，本项目的建设符合国家现行的产业政策。</w:t>
            </w:r>
          </w:p>
          <w:p w14:paraId="145F120C">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2、规划选址符合性分析</w:t>
            </w:r>
          </w:p>
          <w:p w14:paraId="1E4419CC">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经分析，</w:t>
            </w:r>
            <w:r>
              <w:rPr>
                <w:rFonts w:ascii="Times New Roman" w:hAnsi="Times New Roman" w:eastAsia="宋体" w:cs="Times New Roman"/>
                <w:sz w:val="24"/>
              </w:rPr>
              <w:t>项目符合国家产业政策、符合“三线一单”、</w:t>
            </w:r>
            <w:r>
              <w:rPr>
                <w:rFonts w:hint="eastAsia"/>
              </w:rPr>
              <w:t xml:space="preserve"> </w:t>
            </w:r>
            <w:r>
              <w:rPr>
                <w:rFonts w:hint="eastAsia" w:ascii="Times New Roman" w:hAnsi="Times New Roman" w:eastAsia="宋体" w:cs="Times New Roman"/>
                <w:sz w:val="24"/>
              </w:rPr>
              <w:t>《建筑垃圾资源化利用行业规范条件（暂行）》、</w:t>
            </w:r>
            <w:r>
              <w:rPr>
                <w:rFonts w:ascii="Times New Roman" w:hAnsi="Times New Roman" w:eastAsia="宋体" w:cs="Times New Roman"/>
                <w:sz w:val="24"/>
                <w:szCs w:val="24"/>
              </w:rPr>
              <w:t>乐山市打赢蓝天保卫战等九个实施方案</w:t>
            </w:r>
            <w:r>
              <w:rPr>
                <w:rFonts w:ascii="Times New Roman" w:hAnsi="Times New Roman" w:eastAsia="宋体" w:cs="Times New Roman"/>
                <w:sz w:val="24"/>
              </w:rPr>
              <w:t>等相关要求，项目外环境单纯，项目采取相应的污染防治措施后，污染物</w:t>
            </w:r>
            <w:r>
              <w:rPr>
                <w:rFonts w:ascii="Times New Roman" w:hAnsi="Times New Roman" w:eastAsia="宋体" w:cs="Times New Roman"/>
                <w:sz w:val="24"/>
                <w:szCs w:val="24"/>
              </w:rPr>
              <w:t>可达标排放，项目周围无自然保护区、风景名胜区、饮用水源等敏感区，从环保角度看该项目选址可行。</w:t>
            </w:r>
          </w:p>
          <w:p w14:paraId="359E6CDE">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项目符合</w:t>
            </w:r>
            <w:r>
              <w:rPr>
                <w:rFonts w:hint="eastAsia" w:ascii="Times New Roman" w:hAnsi="Times New Roman" w:eastAsia="宋体" w:cs="Times New Roman"/>
                <w:sz w:val="24"/>
                <w:szCs w:val="24"/>
              </w:rPr>
              <w:t>“</w:t>
            </w:r>
            <w:r>
              <w:rPr>
                <w:rFonts w:ascii="Times New Roman" w:hAnsi="Times New Roman" w:eastAsia="宋体" w:cs="Times New Roman"/>
                <w:sz w:val="24"/>
                <w:szCs w:val="24"/>
              </w:rPr>
              <w:t>三线一单</w:t>
            </w:r>
            <w:r>
              <w:rPr>
                <w:rFonts w:hint="eastAsia" w:ascii="Times New Roman" w:hAnsi="Times New Roman" w:eastAsia="宋体" w:cs="Times New Roman"/>
                <w:sz w:val="24"/>
                <w:szCs w:val="24"/>
              </w:rPr>
              <w:t>”</w:t>
            </w:r>
            <w:r>
              <w:rPr>
                <w:rFonts w:ascii="Times New Roman" w:hAnsi="Times New Roman" w:eastAsia="宋体" w:cs="Times New Roman"/>
                <w:sz w:val="24"/>
                <w:szCs w:val="24"/>
              </w:rPr>
              <w:t>要求，外环境关系较为单纯，项目采取相应的污染防治措施后，污染物可达标排放，项目周围无自然保护区、风景名胜区、饮用水源等敏感区，从环保角度看该项目选址基本可行。</w:t>
            </w:r>
          </w:p>
          <w:p w14:paraId="19C35E9C">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3、总平面布置合理性分析</w:t>
            </w:r>
          </w:p>
          <w:p w14:paraId="771157F7">
            <w:pPr>
              <w:spacing w:line="360" w:lineRule="auto"/>
              <w:ind w:firstLine="470" w:firstLineChars="196"/>
              <w:rPr>
                <w:rFonts w:ascii="Times New Roman" w:hAnsi="Times New Roman" w:eastAsia="宋体" w:cs="Times New Roman"/>
                <w:sz w:val="24"/>
              </w:rPr>
            </w:pPr>
            <w:r>
              <w:rPr>
                <w:rFonts w:ascii="Times New Roman" w:hAnsi="Times New Roman" w:eastAsia="宋体" w:cs="Times New Roman"/>
                <w:sz w:val="24"/>
              </w:rPr>
              <w:t>本项目</w:t>
            </w:r>
            <w:r>
              <w:rPr>
                <w:rFonts w:ascii="Times New Roman" w:hAnsi="Times New Roman" w:eastAsia="宋体" w:cs="Times New Roman"/>
                <w:sz w:val="24"/>
                <w:szCs w:val="24"/>
              </w:rPr>
              <w:t>位于</w:t>
            </w:r>
            <w:r>
              <w:rPr>
                <w:rFonts w:hint="eastAsia" w:ascii="Times New Roman" w:hAnsi="Times New Roman" w:eastAsia="宋体" w:cs="Times New Roman"/>
                <w:sz w:val="24"/>
                <w:szCs w:val="24"/>
              </w:rPr>
              <w:t>峨边彝族自治县新林镇卷木村4组、7组</w:t>
            </w:r>
            <w:r>
              <w:rPr>
                <w:rFonts w:ascii="Times New Roman" w:hAnsi="Times New Roman" w:eastAsia="宋体" w:cs="Times New Roman"/>
                <w:sz w:val="24"/>
                <w:szCs w:val="24"/>
              </w:rPr>
              <w:t>，</w:t>
            </w:r>
            <w:r>
              <w:rPr>
                <w:rFonts w:hint="eastAsia" w:ascii="Times New Roman" w:hAnsi="Times New Roman" w:eastAsia="宋体" w:cs="Times New Roman"/>
                <w:sz w:val="24"/>
                <w:szCs w:val="24"/>
              </w:rPr>
              <w:t>所在地为已退役中铁十二局搅拌站遗留硬化平整场地。</w:t>
            </w:r>
            <w:r>
              <w:rPr>
                <w:rFonts w:ascii="Times New Roman" w:hAnsi="Times New Roman" w:eastAsia="宋体" w:cs="Times New Roman"/>
                <w:sz w:val="24"/>
                <w:szCs w:val="24"/>
              </w:rPr>
              <w:t>本次环评在原有场地上</w:t>
            </w:r>
            <w:r>
              <w:rPr>
                <w:rFonts w:hint="eastAsia" w:ascii="Times New Roman" w:hAnsi="Times New Roman" w:eastAsia="宋体" w:cs="Times New Roman"/>
                <w:sz w:val="24"/>
                <w:szCs w:val="24"/>
              </w:rPr>
              <w:t>新建</w:t>
            </w:r>
            <w:r>
              <w:rPr>
                <w:rFonts w:ascii="Times New Roman" w:hAnsi="Times New Roman" w:eastAsia="宋体" w:cs="Times New Roman"/>
                <w:sz w:val="24"/>
                <w:szCs w:val="24"/>
              </w:rPr>
              <w:t>厂房及附属</w:t>
            </w:r>
            <w:r>
              <w:rPr>
                <w:rFonts w:hint="eastAsia" w:ascii="Times New Roman" w:hAnsi="Times New Roman" w:eastAsia="宋体" w:cs="Times New Roman"/>
                <w:sz w:val="24"/>
                <w:szCs w:val="24"/>
              </w:rPr>
              <w:t>辅助</w:t>
            </w:r>
            <w:r>
              <w:rPr>
                <w:rFonts w:ascii="Times New Roman" w:hAnsi="Times New Roman" w:eastAsia="宋体" w:cs="Times New Roman"/>
                <w:sz w:val="24"/>
                <w:szCs w:val="24"/>
              </w:rPr>
              <w:t>设施</w:t>
            </w:r>
            <w:r>
              <w:rPr>
                <w:rFonts w:hint="eastAsia" w:ascii="Times New Roman" w:hAnsi="Times New Roman" w:eastAsia="宋体" w:cs="Times New Roman"/>
                <w:sz w:val="24"/>
                <w:szCs w:val="24"/>
              </w:rPr>
              <w:t>等</w:t>
            </w:r>
            <w:r>
              <w:rPr>
                <w:rFonts w:ascii="Times New Roman" w:hAnsi="Times New Roman" w:eastAsia="宋体" w:cs="Times New Roman"/>
                <w:sz w:val="24"/>
                <w:szCs w:val="24"/>
              </w:rPr>
              <w:t>，</w:t>
            </w:r>
            <w:r>
              <w:rPr>
                <w:rFonts w:hint="eastAsia" w:ascii="Times New Roman" w:hAnsi="Times New Roman" w:eastAsia="宋体" w:cs="Times New Roman"/>
                <w:sz w:val="24"/>
                <w:szCs w:val="24"/>
              </w:rPr>
              <w:t>主要建设料仓1</w:t>
            </w:r>
            <w:r>
              <w:rPr>
                <w:rFonts w:ascii="Times New Roman" w:hAnsi="Times New Roman" w:eastAsia="宋体" w:cs="Times New Roman"/>
                <w:sz w:val="24"/>
                <w:szCs w:val="24"/>
              </w:rPr>
              <w:t>0</w:t>
            </w:r>
            <w:r>
              <w:rPr>
                <w:rFonts w:hint="eastAsia" w:ascii="Times New Roman" w:hAnsi="Times New Roman" w:eastAsia="宋体" w:cs="Times New Roman"/>
                <w:sz w:val="24"/>
                <w:szCs w:val="24"/>
              </w:rPr>
              <w:t>个、机械厂房1</w:t>
            </w:r>
            <w:r>
              <w:rPr>
                <w:rFonts w:ascii="Times New Roman" w:hAnsi="Times New Roman" w:eastAsia="宋体" w:cs="Times New Roman"/>
                <w:sz w:val="24"/>
                <w:szCs w:val="24"/>
              </w:rPr>
              <w:t>500</w:t>
            </w:r>
            <w:r>
              <w:rPr>
                <w:rFonts w:hint="eastAsia" w:ascii="Times New Roman" w:hAnsi="Times New Roman" w:eastAsia="宋体" w:cs="Times New Roman"/>
                <w:sz w:val="24"/>
                <w:szCs w:val="24"/>
              </w:rPr>
              <w:t>平方米，环保设施5</w:t>
            </w:r>
            <w:r>
              <w:rPr>
                <w:rFonts w:ascii="Times New Roman" w:hAnsi="Times New Roman" w:eastAsia="宋体" w:cs="Times New Roman"/>
                <w:sz w:val="24"/>
                <w:szCs w:val="24"/>
              </w:rPr>
              <w:t>00</w:t>
            </w:r>
            <w:r>
              <w:rPr>
                <w:rFonts w:hint="eastAsia" w:ascii="Times New Roman" w:hAnsi="Times New Roman" w:eastAsia="宋体" w:cs="Times New Roman"/>
                <w:sz w:val="24"/>
                <w:szCs w:val="24"/>
              </w:rPr>
              <w:t>平方米及其他辅助设施。项目</w:t>
            </w:r>
            <w:r>
              <w:rPr>
                <w:rFonts w:ascii="Times New Roman" w:hAnsi="Times New Roman" w:eastAsia="宋体" w:cs="Times New Roman"/>
                <w:sz w:val="24"/>
              </w:rPr>
              <w:t>依托</w:t>
            </w:r>
            <w:r>
              <w:rPr>
                <w:rFonts w:hint="eastAsia" w:ascii="Times New Roman" w:hAnsi="Times New Roman" w:eastAsia="宋体" w:cs="Times New Roman"/>
                <w:sz w:val="24"/>
              </w:rPr>
              <w:t>原有</w:t>
            </w:r>
            <w:r>
              <w:rPr>
                <w:rFonts w:ascii="Times New Roman" w:hAnsi="Times New Roman" w:eastAsia="宋体" w:cs="Times New Roman"/>
                <w:sz w:val="24"/>
              </w:rPr>
              <w:t>办公</w:t>
            </w:r>
            <w:r>
              <w:rPr>
                <w:rFonts w:hint="eastAsia" w:ascii="Times New Roman" w:hAnsi="Times New Roman" w:eastAsia="宋体" w:cs="Times New Roman"/>
                <w:sz w:val="24"/>
              </w:rPr>
              <w:t>生活</w:t>
            </w:r>
            <w:r>
              <w:rPr>
                <w:rFonts w:ascii="Times New Roman" w:hAnsi="Times New Roman" w:eastAsia="宋体" w:cs="Times New Roman"/>
                <w:sz w:val="24"/>
              </w:rPr>
              <w:t>等辅助配套设施均已建成，满足工艺流程，也满足功能分区要求及运输作业要求。</w:t>
            </w:r>
          </w:p>
          <w:p w14:paraId="6F68A201">
            <w:pPr>
              <w:spacing w:line="360" w:lineRule="auto"/>
              <w:ind w:firstLine="470" w:firstLineChars="196"/>
              <w:rPr>
                <w:rFonts w:ascii="Times New Roman" w:hAnsi="Times New Roman" w:eastAsia="宋体" w:cs="Times New Roman"/>
                <w:sz w:val="24"/>
              </w:rPr>
            </w:pPr>
            <w:r>
              <w:rPr>
                <w:rFonts w:ascii="Times New Roman" w:hAnsi="Times New Roman" w:eastAsia="宋体" w:cs="Times New Roman"/>
                <w:sz w:val="24"/>
              </w:rPr>
              <w:t>根据建设单位设计，项目</w:t>
            </w:r>
            <w:r>
              <w:rPr>
                <w:rFonts w:hint="eastAsia" w:ascii="Times New Roman" w:hAnsi="Times New Roman" w:eastAsia="宋体" w:cs="Times New Roman"/>
                <w:sz w:val="24"/>
              </w:rPr>
              <w:t>厂区布置简单，由北至南主要分布为办公及生活区、</w:t>
            </w:r>
            <w:bookmarkStart w:id="5" w:name="_GoBack"/>
            <w:r>
              <w:rPr>
                <w:rFonts w:hint="eastAsia" w:ascii="Times New Roman" w:hAnsi="Times New Roman" w:eastAsia="宋体" w:cs="Times New Roman"/>
                <w:sz w:val="24"/>
              </w:rPr>
              <w:t>磅房</w:t>
            </w:r>
            <w:bookmarkEnd w:id="5"/>
            <w:r>
              <w:rPr>
                <w:rFonts w:hint="eastAsia" w:ascii="Times New Roman" w:hAnsi="Times New Roman" w:eastAsia="宋体" w:cs="Times New Roman"/>
                <w:sz w:val="24"/>
              </w:rPr>
              <w:t>、生产废水沉淀池、清水池、生产加工车间、料仓等；生活区主要依托原有办公生活区。</w:t>
            </w:r>
            <w:r>
              <w:rPr>
                <w:rFonts w:ascii="Times New Roman" w:hAnsi="Times New Roman" w:eastAsia="宋体" w:cs="Times New Roman"/>
                <w:sz w:val="24"/>
              </w:rPr>
              <w:t>项目工程平面布置基本合理，做到了统一布置，综合平衡，功能分区明确，工艺流程合理，管线短捷，运输方便，并符合环保、消防及安全要求等。</w:t>
            </w:r>
          </w:p>
          <w:p w14:paraId="1C1BE332">
            <w:pPr>
              <w:widowControl/>
              <w:spacing w:line="360" w:lineRule="auto"/>
              <w:ind w:firstLine="480" w:firstLineChars="200"/>
              <w:jc w:val="left"/>
              <w:rPr>
                <w:rFonts w:ascii="Times New Roman" w:hAnsi="Times New Roman" w:eastAsia="宋体" w:cs="Times New Roman"/>
                <w:bCs/>
                <w:sz w:val="24"/>
              </w:rPr>
            </w:pPr>
            <w:r>
              <w:rPr>
                <w:rFonts w:ascii="Times New Roman" w:hAnsi="Times New Roman" w:eastAsia="宋体" w:cs="Times New Roman"/>
                <w:bCs/>
                <w:sz w:val="24"/>
              </w:rPr>
              <w:t>综上所述，</w:t>
            </w:r>
            <w:r>
              <w:rPr>
                <w:rFonts w:ascii="Times New Roman" w:hAnsi="Times New Roman" w:eastAsia="宋体" w:cs="Times New Roman"/>
                <w:sz w:val="24"/>
              </w:rPr>
              <w:t>本项目在总体布局上，遵循“分区合理、工艺流畅、物流短捷；突出环保与安全”的原则，结合场地的用地条件及生产工艺，综合考虑环保、消防、劳动卫生等要求，进行了平面布置统筹安排，总图布置从环保角度合理</w:t>
            </w:r>
            <w:r>
              <w:rPr>
                <w:rFonts w:ascii="Times New Roman" w:hAnsi="Times New Roman" w:eastAsia="宋体" w:cs="Times New Roman"/>
                <w:bCs/>
                <w:sz w:val="24"/>
              </w:rPr>
              <w:t>。</w:t>
            </w:r>
          </w:p>
          <w:p w14:paraId="74E7BF1E">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综上所述，项目布局紧凑合理，从环保角度来讲是合理的。</w:t>
            </w:r>
          </w:p>
          <w:p w14:paraId="799BC673">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4、区域环境质量状况结论</w:t>
            </w:r>
          </w:p>
          <w:p w14:paraId="681920FC">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（1）大气环境质量</w:t>
            </w:r>
          </w:p>
          <w:p w14:paraId="27136374">
            <w:pPr>
              <w:adjustRightInd w:val="0"/>
              <w:snapToGrid w:val="0"/>
              <w:spacing w:line="360" w:lineRule="auto"/>
              <w:ind w:right="78" w:rightChars="37"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根据《乐山</w:t>
            </w:r>
            <w:r>
              <w:rPr>
                <w:rFonts w:ascii="Times New Roman" w:hAnsi="Times New Roman" w:eastAsia="宋体" w:cs="Times New Roman"/>
                <w:sz w:val="24"/>
              </w:rPr>
              <w:t>市2019年环境质量公报》全市11个</w:t>
            </w:r>
            <w:r>
              <w:rPr>
                <w:rFonts w:hint="eastAsia" w:ascii="Times New Roman" w:hAnsi="Times New Roman" w:eastAsia="宋体" w:cs="Times New Roman"/>
                <w:sz w:val="24"/>
                <w:lang w:eastAsia="zh-CN"/>
              </w:rPr>
              <w:t>县（市、区）</w:t>
            </w:r>
            <w:r>
              <w:rPr>
                <w:rFonts w:ascii="Times New Roman" w:hAnsi="Times New Roman" w:eastAsia="宋体" w:cs="Times New Roman"/>
                <w:sz w:val="24"/>
              </w:rPr>
              <w:t>环境空气中二氧化硫、二氧化氮、臭氧</w:t>
            </w:r>
            <w:r>
              <w:rPr>
                <w:rFonts w:hint="eastAsia" w:ascii="Times New Roman" w:hAnsi="Times New Roman" w:eastAsia="宋体" w:cs="Times New Roman"/>
                <w:sz w:val="24"/>
              </w:rPr>
              <w:t>、</w:t>
            </w:r>
            <w:r>
              <w:rPr>
                <w:rFonts w:ascii="Times New Roman" w:hAnsi="Times New Roman" w:eastAsia="宋体" w:cs="Times New Roman"/>
                <w:sz w:val="24"/>
              </w:rPr>
              <w:t>一氧化碳和</w:t>
            </w:r>
            <w:r>
              <w:rPr>
                <w:rFonts w:hint="eastAsia" w:ascii="Times New Roman" w:hAnsi="Times New Roman" w:eastAsia="宋体" w:cs="Times New Roman"/>
                <w:sz w:val="24"/>
              </w:rPr>
              <w:t>可吸入颗粒物</w:t>
            </w:r>
            <w:r>
              <w:rPr>
                <w:rFonts w:ascii="Times New Roman" w:hAnsi="Times New Roman" w:eastAsia="宋体" w:cs="Times New Roman"/>
                <w:sz w:val="24"/>
              </w:rPr>
              <w:t>年均浓</w:t>
            </w:r>
            <w:r>
              <w:rPr>
                <w:rFonts w:ascii="Times New Roman" w:hAnsi="Times New Roman" w:eastAsia="宋体" w:cs="Times New Roman"/>
                <w:sz w:val="24"/>
                <w:szCs w:val="24"/>
              </w:rPr>
              <w:t>度分别为12.9μg/m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、24.0μg/m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、121.4μg/m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w:t>
            </w:r>
            <w:r>
              <w:rPr>
                <w:rFonts w:ascii="Times New Roman" w:hAnsi="Times New Roman" w:eastAsia="宋体" w:cs="Times New Roman"/>
                <w:sz w:val="24"/>
                <w:szCs w:val="24"/>
              </w:rPr>
              <w:t>1.4μg/m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和61.7mg/m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，均优于国家环境空气二级标准；细颗粒物平均浓度为39.1μg/m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，超过国家环境空气二级标准。</w:t>
            </w:r>
          </w:p>
          <w:p w14:paraId="2DDB0EF1">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项目所在区域环境空气质量不达标，属于不达标区。</w:t>
            </w:r>
          </w:p>
          <w:p w14:paraId="47D8F710">
            <w:pPr>
              <w:widowControl/>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根据</w:t>
            </w:r>
            <w:r>
              <w:rPr>
                <w:rFonts w:hint="eastAsia" w:ascii="Times New Roman" w:hAnsi="Times New Roman" w:eastAsia="宋体" w:cs="Times New Roman"/>
                <w:sz w:val="24"/>
                <w:szCs w:val="24"/>
              </w:rPr>
              <w:t>《峨边彝族自治县环境空气质量限期达标规划（</w:t>
            </w:r>
            <w:r>
              <w:rPr>
                <w:rFonts w:ascii="Times New Roman" w:hAnsi="Times New Roman" w:eastAsia="宋体" w:cs="Times New Roman"/>
                <w:sz w:val="24"/>
                <w:szCs w:val="24"/>
              </w:rPr>
              <w:t>2018年</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rPr>
              <w:t>2025年）》</w:t>
            </w:r>
            <w:r>
              <w:rPr>
                <w:rFonts w:hint="eastAsia" w:ascii="Times New Roman" w:hAnsi="Times New Roman" w:eastAsia="宋体" w:cs="Times New Roman"/>
                <w:sz w:val="24"/>
                <w:szCs w:val="24"/>
              </w:rPr>
              <w:t>，采取通过调整能源结构、升级产业结构、优化空间布局、强化污染减排等手段，逐步推进大气污染源头控制；以矿山、建材、铁合金、化工、扬尘、机动车、餐饮、秸秆燃烧为重点污染源，推进多污染源综合控制；针对</w:t>
            </w:r>
            <w:r>
              <w:rPr>
                <w:rFonts w:ascii="Times New Roman" w:hAnsi="Times New Roman" w:eastAsia="宋体" w:cs="Times New Roman"/>
                <w:sz w:val="24"/>
                <w:szCs w:val="24"/>
              </w:rPr>
              <w:t>SO2、NOx、PM、VOCs等大气污染物，推进多污染物协同控制，同时把对NH</w:t>
            </w:r>
            <w:r>
              <w:rPr>
                <w:rFonts w:ascii="Times New Roman" w:hAnsi="Times New Roman" w:eastAsia="宋体" w:cs="Times New Roman"/>
                <w:sz w:val="24"/>
                <w:szCs w:val="24"/>
                <w:vertAlign w:val="subscript"/>
              </w:rPr>
              <w:t>3</w:t>
            </w:r>
            <w:r>
              <w:rPr>
                <w:rFonts w:ascii="Times New Roman" w:hAnsi="Times New Roman" w:eastAsia="宋体" w:cs="Times New Roman"/>
                <w:sz w:val="24"/>
                <w:szCs w:val="24"/>
              </w:rPr>
              <w:t>的排放控制纳入政策视野。在2020年、2022年、2024年对空气质量达标规划实施情况开展跟踪评价，查找不足，有针对性地提出改进措施，</w:t>
            </w:r>
            <w:r>
              <w:rPr>
                <w:rFonts w:hint="eastAsia" w:ascii="Times New Roman" w:hAnsi="Times New Roman" w:eastAsia="宋体" w:cs="Times New Roman"/>
                <w:sz w:val="24"/>
                <w:szCs w:val="24"/>
              </w:rPr>
              <w:t>逐步实现城市空气质量达标。</w:t>
            </w:r>
          </w:p>
          <w:p w14:paraId="698AED89">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（2）声环境质量</w:t>
            </w:r>
          </w:p>
          <w:p w14:paraId="11C7A0FA">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监测结果表明：项目</w:t>
            </w:r>
            <w:r>
              <w:rPr>
                <w:rFonts w:hint="eastAsia" w:ascii="Times New Roman" w:hAnsi="Times New Roman" w:eastAsia="宋体" w:cs="Times New Roman"/>
                <w:sz w:val="24"/>
                <w:szCs w:val="24"/>
              </w:rPr>
              <w:t>四周声环境</w:t>
            </w:r>
            <w:r>
              <w:rPr>
                <w:rFonts w:ascii="Times New Roman" w:hAnsi="Times New Roman" w:eastAsia="宋体" w:cs="Times New Roman"/>
                <w:sz w:val="24"/>
                <w:szCs w:val="24"/>
              </w:rPr>
              <w:t>噪声值</w:t>
            </w:r>
            <w:r>
              <w:rPr>
                <w:rFonts w:hint="eastAsia" w:ascii="Times New Roman" w:hAnsi="Times New Roman" w:eastAsia="宋体" w:cs="Times New Roman"/>
                <w:sz w:val="24"/>
                <w:szCs w:val="24"/>
              </w:rPr>
              <w:t>除1#、4#点位夜间噪声值外，均符合《声环境质量标准》GB 3096-2008表1中2类功能区排放限值</w:t>
            </w:r>
            <w:r>
              <w:rPr>
                <w:rFonts w:ascii="Times New Roman" w:hAnsi="Times New Roman" w:eastAsia="宋体" w:cs="Times New Roman"/>
                <w:sz w:val="24"/>
                <w:szCs w:val="24"/>
              </w:rPr>
              <w:t>要求</w:t>
            </w:r>
            <w:r>
              <w:rPr>
                <w:rFonts w:hint="eastAsia" w:ascii="Times New Roman" w:hAnsi="Times New Roman" w:eastAsia="宋体" w:cs="Times New Roman"/>
                <w:sz w:val="24"/>
                <w:szCs w:val="24"/>
              </w:rPr>
              <w:t>。1#、4#点位临近道路及河流，洪水季节的河流及周边车辆通过对声环境影响较大。本项目夜间不生产，对声环境夜间声环境无影响。</w:t>
            </w:r>
          </w:p>
          <w:p w14:paraId="32774221">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（3）地表水环境质量</w:t>
            </w:r>
          </w:p>
          <w:p w14:paraId="2430C561">
            <w:pPr>
              <w:widowControl/>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sz w:val="24"/>
                <w:szCs w:val="24"/>
              </w:rPr>
              <w:t>根据《乐山市2019年环境质量公报》数据显示：</w:t>
            </w:r>
            <w:r>
              <w:rPr>
                <w:rFonts w:hint="eastAsia" w:ascii="Times New Roman" w:hAnsi="Times New Roman" w:eastAsia="宋体" w:cs="Times New Roman"/>
                <w:sz w:val="24"/>
                <w:szCs w:val="24"/>
              </w:rPr>
              <w:t>乐山市10个国控、省控地表水断面中，监测断面总体达标率为90%；青衣江、大渡河、马边河、龙溪河水质优，岷江乐山段水质良好，茫溪河水质受到中度污染。</w:t>
            </w:r>
          </w:p>
          <w:p w14:paraId="7E10E876">
            <w:pPr>
              <w:widowControl/>
              <w:spacing w:line="360" w:lineRule="auto"/>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同时，根据补充检测报告结果显示：补充检测两个断面检测指标除悬浮物无标准外，均符合《地表水质量标准》GB 3838-2008表1中Ⅲ类标准限值。</w:t>
            </w:r>
            <w:r>
              <w:rPr>
                <w:rFonts w:ascii="Times New Roman" w:hAnsi="Times New Roman" w:eastAsia="宋体" w:cs="Times New Roman"/>
                <w:sz w:val="24"/>
                <w:szCs w:val="24"/>
              </w:rPr>
              <w:t>项目所在区域地表水环境质量优良。</w:t>
            </w:r>
          </w:p>
          <w:p w14:paraId="69B2E8FB">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5、环境影响评价结论</w:t>
            </w:r>
            <w:r>
              <w:rPr>
                <w:rFonts w:ascii="Times New Roman" w:hAnsi="Times New Roman" w:eastAsia="宋体" w:cs="Times New Roman"/>
                <w:sz w:val="24"/>
                <w:szCs w:val="24"/>
              </w:rPr>
              <w:tab/>
            </w:r>
          </w:p>
          <w:p w14:paraId="0FA0D79A">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（1）施工期环境影响分析</w:t>
            </w:r>
          </w:p>
          <w:p w14:paraId="287BF06F">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项目施工期应加强施工期的环境管理，将施工期对周围大气环境和声环境的影响降至最低。只要施工单位做到文明施工并加强施工人员的环境保护安全意识教育，尽量降低本项目对周围环境影响，施工结束后本项目施工期产生的环境影响将随之消除。</w:t>
            </w:r>
          </w:p>
          <w:p w14:paraId="35C3A2B9">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（2）营运期废气环境影响分析结论</w:t>
            </w:r>
          </w:p>
          <w:p w14:paraId="2D46693A">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w:t>
            </w:r>
            <w:r>
              <w:rPr>
                <w:rFonts w:hint="eastAsia" w:ascii="Times New Roman" w:hAnsi="Times New Roman" w:eastAsia="宋体" w:cs="Times New Roman"/>
                <w:sz w:val="24"/>
              </w:rPr>
              <w:t>破碎、筛分、制砂</w:t>
            </w:r>
            <w:r>
              <w:rPr>
                <w:rFonts w:hint="eastAsia" w:ascii="Times New Roman" w:hAnsi="Times New Roman" w:eastAsia="宋体" w:cs="Times New Roman"/>
                <w:sz w:val="24"/>
                <w:szCs w:val="24"/>
              </w:rPr>
              <w:t>、</w:t>
            </w:r>
            <w:r>
              <w:rPr>
                <w:rFonts w:ascii="Times New Roman" w:hAnsi="Times New Roman" w:eastAsia="宋体" w:cs="Times New Roman"/>
                <w:sz w:val="24"/>
                <w:szCs w:val="24"/>
              </w:rPr>
              <w:t>原料装卸、堆放、车辆运输</w:t>
            </w:r>
            <w:r>
              <w:rPr>
                <w:rFonts w:hint="eastAsia" w:ascii="Times New Roman" w:hAnsi="Times New Roman" w:eastAsia="宋体" w:cs="Times New Roman"/>
                <w:sz w:val="24"/>
                <w:szCs w:val="24"/>
              </w:rPr>
              <w:t>等</w:t>
            </w:r>
            <w:r>
              <w:rPr>
                <w:rFonts w:ascii="Times New Roman" w:hAnsi="Times New Roman" w:eastAsia="宋体" w:cs="Times New Roman"/>
                <w:sz w:val="24"/>
                <w:szCs w:val="24"/>
              </w:rPr>
              <w:t>加工过程中易产生少量粉尘逸散。</w:t>
            </w:r>
          </w:p>
          <w:p w14:paraId="013F9DA2">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szCs w:val="24"/>
              </w:rPr>
              <w:t>根据预测</w:t>
            </w:r>
            <w:r>
              <w:rPr>
                <w:rFonts w:ascii="Times New Roman" w:hAnsi="Times New Roman" w:eastAsia="宋体" w:cs="Times New Roman"/>
                <w:sz w:val="24"/>
              </w:rPr>
              <w:t>，</w:t>
            </w:r>
            <w:r>
              <w:rPr>
                <w:rFonts w:ascii="Times New Roman" w:hAnsi="Times New Roman" w:eastAsia="宋体" w:cs="Times New Roman"/>
                <w:b/>
                <w:sz w:val="24"/>
              </w:rPr>
              <w:t>结果显示</w:t>
            </w:r>
            <w:r>
              <w:rPr>
                <w:rFonts w:ascii="Times New Roman" w:hAnsi="Times New Roman" w:eastAsia="宋体" w:cs="Times New Roman"/>
                <w:sz w:val="24"/>
              </w:rPr>
              <w:t>：</w:t>
            </w:r>
            <w:r>
              <w:rPr>
                <w:rFonts w:hint="eastAsia" w:ascii="Times New Roman" w:hAnsi="Times New Roman" w:eastAsia="宋体" w:cs="Times New Roman"/>
                <w:sz w:val="24"/>
              </w:rPr>
              <w:t>本项目Pmax最大值出现为装卸扬尘排放的TSPPmax值为5.9368%，Cmax为53.431μg/m³，根据《环境影响评价技术导则 大气环境》（HJ2.2-2018）分级判据，确定本项目大气环境影响评价工作等级为二级，评价范围边长取5km。</w:t>
            </w:r>
            <w:r>
              <w:rPr>
                <w:rFonts w:ascii="Times New Roman" w:hAnsi="Times New Roman" w:eastAsia="宋体" w:cs="Times New Roman"/>
                <w:sz w:val="24"/>
              </w:rPr>
              <w:t>不会对区域大气环境造成不良影响。</w:t>
            </w:r>
          </w:p>
          <w:p w14:paraId="008EEEE0">
            <w:pPr>
              <w:spacing w:line="360" w:lineRule="auto"/>
              <w:ind w:firstLine="470" w:firstLineChars="196"/>
              <w:rPr>
                <w:rFonts w:ascii="Times New Roman" w:hAnsi="Times New Roman" w:eastAsia="宋体" w:cs="Times New Roman"/>
                <w:sz w:val="24"/>
              </w:rPr>
            </w:pPr>
            <w:r>
              <w:rPr>
                <w:rFonts w:ascii="Times New Roman" w:hAnsi="Times New Roman" w:eastAsia="宋体" w:cs="Times New Roman"/>
                <w:sz w:val="24"/>
              </w:rPr>
              <w:t>本项目采取治理措施后，大气污染物可实现达标排放，对区域大气环境影响较小。</w:t>
            </w:r>
          </w:p>
          <w:p w14:paraId="066EC280">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（3）运营期水环境影响分析结论</w:t>
            </w:r>
          </w:p>
          <w:p w14:paraId="62284D2C">
            <w:pPr>
              <w:spacing w:line="480" w:lineRule="exact"/>
              <w:ind w:firstLine="480" w:firstLineChars="200"/>
              <w:rPr>
                <w:rFonts w:ascii="Times New Roman" w:hAnsi="Times New Roman" w:eastAsia="宋体" w:cs="Times New Roman"/>
                <w:sz w:val="24"/>
              </w:rPr>
            </w:pPr>
            <w:r>
              <w:rPr>
                <w:rFonts w:hint="eastAsia" w:ascii="宋体" w:hAnsi="宋体" w:eastAsia="宋体" w:cs="宋体"/>
                <w:sz w:val="24"/>
              </w:rPr>
              <w:t>①</w:t>
            </w:r>
            <w:r>
              <w:rPr>
                <w:rFonts w:ascii="Times New Roman" w:hAnsi="Times New Roman" w:eastAsia="宋体" w:cs="Times New Roman"/>
                <w:sz w:val="24"/>
              </w:rPr>
              <w:t>地表水环境影响结论</w:t>
            </w:r>
          </w:p>
          <w:p w14:paraId="3F258A0A">
            <w:pPr>
              <w:tabs>
                <w:tab w:val="left" w:pos="5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项目实行</w:t>
            </w:r>
            <w:r>
              <w:rPr>
                <w:rFonts w:hint="eastAsia" w:ascii="Times New Roman" w:hAnsi="Times New Roman" w:eastAsia="宋体" w:cs="Times New Roman"/>
                <w:sz w:val="24"/>
              </w:rPr>
              <w:t>“</w:t>
            </w:r>
            <w:r>
              <w:rPr>
                <w:rFonts w:ascii="Times New Roman" w:hAnsi="Times New Roman" w:eastAsia="宋体" w:cs="Times New Roman"/>
                <w:sz w:val="24"/>
              </w:rPr>
              <w:t>雨污分流</w:t>
            </w:r>
            <w:r>
              <w:rPr>
                <w:rFonts w:hint="eastAsia" w:ascii="Times New Roman" w:hAnsi="Times New Roman" w:eastAsia="宋体" w:cs="Times New Roman"/>
                <w:sz w:val="24"/>
              </w:rPr>
              <w:t>”</w:t>
            </w:r>
            <w:r>
              <w:rPr>
                <w:rFonts w:ascii="Times New Roman" w:hAnsi="Times New Roman" w:eastAsia="宋体" w:cs="Times New Roman"/>
                <w:sz w:val="24"/>
              </w:rPr>
              <w:t>制，项目涉及废水主要为生活污水和生产废水</w:t>
            </w:r>
            <w:r>
              <w:rPr>
                <w:rFonts w:ascii="Times New Roman" w:hAnsi="Times New Roman" w:eastAsia="宋体" w:cs="Times New Roman"/>
                <w:bCs/>
                <w:sz w:val="24"/>
              </w:rPr>
              <w:t>，雨水</w:t>
            </w:r>
            <w:r>
              <w:rPr>
                <w:rFonts w:hint="eastAsia" w:ascii="Times New Roman" w:hAnsi="Times New Roman" w:eastAsia="宋体" w:cs="Times New Roman"/>
                <w:bCs/>
                <w:sz w:val="24"/>
              </w:rPr>
              <w:t>经</w:t>
            </w:r>
            <w:r>
              <w:rPr>
                <w:rFonts w:ascii="Times New Roman" w:hAnsi="Times New Roman" w:eastAsia="宋体" w:cs="Times New Roman"/>
                <w:sz w:val="24"/>
              </w:rPr>
              <w:t>场地四周设置截排水沟</w:t>
            </w:r>
            <w:r>
              <w:rPr>
                <w:rFonts w:hint="eastAsia" w:ascii="Times New Roman" w:hAnsi="Times New Roman" w:eastAsia="宋体" w:cs="Times New Roman"/>
                <w:sz w:val="24"/>
              </w:rPr>
              <w:t>收集</w:t>
            </w:r>
            <w:r>
              <w:rPr>
                <w:rFonts w:ascii="Times New Roman" w:hAnsi="Times New Roman" w:eastAsia="宋体" w:cs="Times New Roman"/>
                <w:sz w:val="24"/>
              </w:rPr>
              <w:t>，将雨水导排至</w:t>
            </w:r>
            <w:r>
              <w:rPr>
                <w:rFonts w:hint="eastAsia" w:ascii="Times New Roman" w:hAnsi="Times New Roman" w:eastAsia="宋体" w:cs="Times New Roman"/>
                <w:sz w:val="24"/>
              </w:rPr>
              <w:t>中部西侧</w:t>
            </w:r>
            <w:r>
              <w:rPr>
                <w:rFonts w:ascii="Times New Roman" w:hAnsi="Times New Roman" w:eastAsia="宋体" w:cs="Times New Roman"/>
                <w:sz w:val="24"/>
              </w:rPr>
              <w:t>低洼处沉淀水池，</w:t>
            </w:r>
            <w:r>
              <w:rPr>
                <w:rFonts w:hint="eastAsia" w:ascii="Times New Roman" w:hAnsi="Times New Roman" w:eastAsia="宋体" w:cs="Times New Roman"/>
                <w:sz w:val="24"/>
              </w:rPr>
              <w:t>经三级雨水沉淀池沉淀处理后外排</w:t>
            </w:r>
            <w:r>
              <w:rPr>
                <w:rFonts w:ascii="Times New Roman" w:hAnsi="Times New Roman" w:eastAsia="宋体" w:cs="Times New Roman"/>
                <w:bCs/>
                <w:sz w:val="24"/>
              </w:rPr>
              <w:t>；</w:t>
            </w:r>
            <w:r>
              <w:rPr>
                <w:rFonts w:ascii="Times New Roman" w:hAnsi="Times New Roman" w:eastAsia="宋体" w:cs="Times New Roman"/>
                <w:sz w:val="24"/>
              </w:rPr>
              <w:t>项目生产废水</w:t>
            </w:r>
            <w:r>
              <w:rPr>
                <w:rFonts w:ascii="Times New Roman" w:hAnsi="Times New Roman" w:eastAsia="宋体" w:cs="Times New Roman"/>
                <w:bCs/>
                <w:sz w:val="24"/>
              </w:rPr>
              <w:t>轮胎冲洗水自然蒸发</w:t>
            </w:r>
            <w:r>
              <w:rPr>
                <w:rFonts w:hint="eastAsia" w:ascii="Times New Roman" w:hAnsi="Times New Roman" w:eastAsia="宋体" w:cs="Times New Roman"/>
                <w:bCs/>
                <w:sz w:val="24"/>
              </w:rPr>
              <w:t>，</w:t>
            </w:r>
            <w:r>
              <w:rPr>
                <w:rFonts w:ascii="Times New Roman" w:hAnsi="Times New Roman" w:eastAsia="宋体" w:cs="Times New Roman"/>
                <w:bCs/>
                <w:sz w:val="24"/>
              </w:rPr>
              <w:t>不外排；</w:t>
            </w:r>
            <w:r>
              <w:rPr>
                <w:rFonts w:hint="eastAsia" w:ascii="Times New Roman" w:hAnsi="Times New Roman" w:eastAsia="宋体" w:cs="Times New Roman"/>
                <w:sz w:val="24"/>
              </w:rPr>
              <w:t>项目喷雾降尘水汇入产品或自然蒸发，不外排；项目湿法作业生产废水通过管道收集后输送至循环沉淀池处理后回用生产，不外排；</w:t>
            </w:r>
            <w:r>
              <w:rPr>
                <w:rFonts w:ascii="Times New Roman" w:hAnsi="Times New Roman" w:eastAsia="宋体" w:cs="Times New Roman"/>
                <w:sz w:val="24"/>
              </w:rPr>
              <w:t>项目生活污水，其排水量为0.192m</w:t>
            </w:r>
            <w:r>
              <w:rPr>
                <w:rFonts w:ascii="Times New Roman" w:hAnsi="Times New Roman" w:eastAsia="宋体" w:cs="Times New Roman"/>
                <w:sz w:val="24"/>
                <w:vertAlign w:val="superscript"/>
              </w:rPr>
              <w:t>3</w:t>
            </w:r>
            <w:r>
              <w:rPr>
                <w:rFonts w:ascii="Times New Roman" w:hAnsi="Times New Roman" w:eastAsia="宋体" w:cs="Times New Roman"/>
                <w:sz w:val="24"/>
              </w:rPr>
              <w:t>/d，生活废水</w:t>
            </w:r>
            <w:r>
              <w:rPr>
                <w:rFonts w:hint="eastAsia" w:ascii="Times New Roman" w:hAnsi="Times New Roman" w:eastAsia="宋体" w:cs="Times New Roman"/>
                <w:sz w:val="24"/>
              </w:rPr>
              <w:t>利用二级生化处理设施</w:t>
            </w:r>
            <w:r>
              <w:rPr>
                <w:rFonts w:ascii="Times New Roman" w:hAnsi="Times New Roman" w:eastAsia="宋体" w:cs="Times New Roman"/>
                <w:sz w:val="24"/>
              </w:rPr>
              <w:t>进行收集处理后用于</w:t>
            </w:r>
            <w:r>
              <w:rPr>
                <w:rFonts w:ascii="Times New Roman" w:hAnsi="Times New Roman" w:eastAsia="宋体" w:cs="Times New Roman"/>
                <w:bCs/>
                <w:sz w:val="24"/>
              </w:rPr>
              <w:t>周边农灌，不外排</w:t>
            </w:r>
            <w:r>
              <w:rPr>
                <w:rFonts w:hint="eastAsia" w:ascii="Times New Roman" w:hAnsi="Times New Roman" w:eastAsia="宋体" w:cs="Times New Roman"/>
                <w:bCs/>
                <w:sz w:val="24"/>
              </w:rPr>
              <w:t>。项目的建设</w:t>
            </w:r>
            <w:r>
              <w:rPr>
                <w:rFonts w:ascii="Times New Roman" w:hAnsi="Times New Roman" w:eastAsia="宋体" w:cs="Times New Roman"/>
                <w:sz w:val="24"/>
              </w:rPr>
              <w:t>不会对</w:t>
            </w:r>
            <w:r>
              <w:rPr>
                <w:rFonts w:hint="eastAsia" w:ascii="Times New Roman" w:hAnsi="Times New Roman" w:eastAsia="宋体" w:cs="Times New Roman"/>
                <w:sz w:val="24"/>
              </w:rPr>
              <w:t>白沙河</w:t>
            </w:r>
            <w:r>
              <w:rPr>
                <w:rFonts w:ascii="Times New Roman" w:hAnsi="Times New Roman" w:eastAsia="宋体" w:cs="Times New Roman"/>
                <w:sz w:val="24"/>
              </w:rPr>
              <w:t>的水环境产生影响。</w:t>
            </w:r>
          </w:p>
          <w:p w14:paraId="1E2D8870">
            <w:pPr>
              <w:spacing w:line="480" w:lineRule="exact"/>
              <w:ind w:firstLine="480" w:firstLineChars="200"/>
              <w:rPr>
                <w:rFonts w:ascii="Times New Roman" w:hAnsi="Times New Roman" w:eastAsia="宋体" w:cs="Times New Roman"/>
                <w:sz w:val="24"/>
                <w:u w:val="single"/>
              </w:rPr>
            </w:pPr>
            <w:r>
              <w:rPr>
                <w:rFonts w:ascii="Times New Roman" w:hAnsi="Times New Roman" w:eastAsia="宋体" w:cs="Times New Roman"/>
                <w:sz w:val="24"/>
                <w:u w:val="single"/>
              </w:rPr>
              <w:t>综上，项目废水能够实现</w:t>
            </w:r>
            <w:r>
              <w:rPr>
                <w:rFonts w:hint="eastAsia" w:ascii="Times New Roman" w:hAnsi="Times New Roman" w:eastAsia="宋体" w:cs="Times New Roman"/>
                <w:bCs/>
                <w:sz w:val="24"/>
                <w:u w:val="single"/>
              </w:rPr>
              <w:t>达标排放</w:t>
            </w:r>
            <w:r>
              <w:rPr>
                <w:rFonts w:ascii="Times New Roman" w:hAnsi="Times New Roman" w:eastAsia="宋体" w:cs="Times New Roman"/>
                <w:sz w:val="24"/>
                <w:u w:val="single"/>
              </w:rPr>
              <w:t>，不会对项目所在区域地表水环境质量造成明显影响。</w:t>
            </w:r>
          </w:p>
          <w:p w14:paraId="53D7EC41">
            <w:pPr>
              <w:spacing w:line="480" w:lineRule="exact"/>
              <w:ind w:firstLine="480" w:firstLineChars="200"/>
              <w:rPr>
                <w:rFonts w:ascii="Times New Roman" w:hAnsi="Times New Roman" w:eastAsia="宋体" w:cs="Times New Roman"/>
                <w:sz w:val="24"/>
              </w:rPr>
            </w:pPr>
            <w:r>
              <w:rPr>
                <w:rFonts w:hint="eastAsia" w:ascii="宋体" w:hAnsi="宋体" w:eastAsia="宋体" w:cs="宋体"/>
                <w:sz w:val="24"/>
              </w:rPr>
              <w:t>②</w:t>
            </w:r>
            <w:r>
              <w:rPr>
                <w:rFonts w:ascii="Times New Roman" w:hAnsi="Times New Roman" w:eastAsia="宋体" w:cs="Times New Roman"/>
                <w:sz w:val="24"/>
              </w:rPr>
              <w:t>地下水环境影响结论</w:t>
            </w:r>
          </w:p>
          <w:p w14:paraId="1D8F62F7">
            <w:pPr>
              <w:spacing w:line="48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w:t>
            </w:r>
            <w:r>
              <w:rPr>
                <w:rFonts w:hint="eastAsia" w:ascii="Times New Roman" w:hAnsi="Times New Roman" w:eastAsia="宋体" w:cs="Times New Roman"/>
                <w:sz w:val="24"/>
                <w:szCs w:val="24"/>
              </w:rPr>
              <w:t>生活污水</w:t>
            </w:r>
            <w:r>
              <w:rPr>
                <w:rFonts w:ascii="Times New Roman" w:hAnsi="Times New Roman" w:eastAsia="宋体" w:cs="Times New Roman"/>
                <w:sz w:val="24"/>
                <w:szCs w:val="24"/>
              </w:rPr>
              <w:t>经收集后处理</w:t>
            </w:r>
            <w:r>
              <w:rPr>
                <w:rFonts w:hint="eastAsia" w:ascii="Times New Roman" w:hAnsi="Times New Roman" w:eastAsia="宋体" w:cs="Times New Roman"/>
                <w:sz w:val="24"/>
                <w:szCs w:val="24"/>
              </w:rPr>
              <w:t>回用周边农肥</w:t>
            </w:r>
            <w:r>
              <w:rPr>
                <w:rFonts w:ascii="Times New Roman" w:hAnsi="Times New Roman" w:eastAsia="宋体" w:cs="Times New Roman"/>
                <w:sz w:val="24"/>
                <w:szCs w:val="24"/>
              </w:rPr>
              <w:t>，</w:t>
            </w:r>
            <w:r>
              <w:rPr>
                <w:rFonts w:hint="eastAsia" w:ascii="Times New Roman" w:hAnsi="Times New Roman" w:eastAsia="宋体" w:cs="Times New Roman"/>
                <w:sz w:val="24"/>
                <w:szCs w:val="24"/>
              </w:rPr>
              <w:t>生产废水处理后循环使用不外排。</w:t>
            </w:r>
            <w:r>
              <w:rPr>
                <w:rFonts w:ascii="Times New Roman" w:hAnsi="Times New Roman" w:eastAsia="宋体" w:cs="Times New Roman"/>
                <w:sz w:val="24"/>
                <w:szCs w:val="24"/>
              </w:rPr>
              <w:t>但其</w:t>
            </w:r>
            <w:r>
              <w:rPr>
                <w:rFonts w:hint="eastAsia" w:ascii="Times New Roman" w:hAnsi="Times New Roman" w:eastAsia="宋体" w:cs="Times New Roman"/>
                <w:sz w:val="24"/>
                <w:szCs w:val="24"/>
              </w:rPr>
              <w:t>有</w:t>
            </w:r>
            <w:r>
              <w:rPr>
                <w:rFonts w:ascii="Times New Roman" w:hAnsi="Times New Roman" w:eastAsia="宋体" w:cs="Times New Roman"/>
                <w:sz w:val="24"/>
                <w:szCs w:val="24"/>
              </w:rPr>
              <w:t>下渗</w:t>
            </w:r>
            <w:r>
              <w:rPr>
                <w:rFonts w:hint="eastAsia" w:ascii="Times New Roman" w:hAnsi="Times New Roman" w:eastAsia="宋体" w:cs="Times New Roman"/>
                <w:sz w:val="24"/>
                <w:szCs w:val="24"/>
              </w:rPr>
              <w:t>风险</w:t>
            </w:r>
            <w:r>
              <w:rPr>
                <w:rFonts w:ascii="Times New Roman" w:hAnsi="Times New Roman" w:eastAsia="宋体" w:cs="Times New Roman"/>
                <w:sz w:val="24"/>
                <w:szCs w:val="24"/>
              </w:rPr>
              <w:t>亦会污染地下水，主要污染因子为</w:t>
            </w:r>
            <w:r>
              <w:rPr>
                <w:rFonts w:hint="eastAsia" w:ascii="Times New Roman" w:hAnsi="Times New Roman" w:eastAsia="宋体" w:cs="Times New Roman"/>
                <w:sz w:val="24"/>
                <w:szCs w:val="24"/>
              </w:rPr>
              <w:t>氨氮、总磷、C</w:t>
            </w:r>
            <w:r>
              <w:rPr>
                <w:rFonts w:ascii="Times New Roman" w:hAnsi="Times New Roman" w:eastAsia="宋体" w:cs="Times New Roman"/>
                <w:sz w:val="24"/>
                <w:szCs w:val="24"/>
              </w:rPr>
              <w:t>OD</w:t>
            </w:r>
            <w:r>
              <w:rPr>
                <w:rFonts w:hint="eastAsia" w:ascii="Times New Roman" w:hAnsi="Times New Roman" w:eastAsia="宋体" w:cs="Times New Roman"/>
                <w:sz w:val="24"/>
                <w:szCs w:val="24"/>
              </w:rPr>
              <w:t>、S</w:t>
            </w:r>
            <w:r>
              <w:rPr>
                <w:rFonts w:ascii="Times New Roman" w:hAnsi="Times New Roman" w:eastAsia="宋体" w:cs="Times New Roman"/>
                <w:sz w:val="24"/>
                <w:szCs w:val="24"/>
              </w:rPr>
              <w:t>S</w:t>
            </w:r>
            <w:r>
              <w:rPr>
                <w:rFonts w:hint="eastAsia" w:ascii="Times New Roman" w:hAnsi="Times New Roman" w:eastAsia="宋体" w:cs="Times New Roman"/>
                <w:sz w:val="24"/>
                <w:szCs w:val="24"/>
              </w:rPr>
              <w:t>等污染物</w:t>
            </w:r>
            <w:r>
              <w:rPr>
                <w:rFonts w:ascii="Times New Roman" w:hAnsi="Times New Roman" w:eastAsia="宋体" w:cs="Times New Roman"/>
                <w:sz w:val="24"/>
                <w:szCs w:val="24"/>
              </w:rPr>
              <w:t>，因此环评要求：项目水工建筑物必须采取防渗。另外，项目</w:t>
            </w:r>
            <w:r>
              <w:rPr>
                <w:rFonts w:hint="eastAsia" w:ascii="Times New Roman" w:hAnsi="Times New Roman" w:eastAsia="宋体" w:cs="Times New Roman"/>
                <w:sz w:val="24"/>
                <w:szCs w:val="24"/>
              </w:rPr>
              <w:t>机油暂存间等</w:t>
            </w:r>
            <w:r>
              <w:rPr>
                <w:rFonts w:ascii="Times New Roman" w:hAnsi="Times New Roman" w:eastAsia="宋体" w:cs="Times New Roman"/>
                <w:sz w:val="24"/>
                <w:szCs w:val="24"/>
              </w:rPr>
              <w:t>，采用重点防渗后，加强管理和巡察，严防</w:t>
            </w:r>
            <w:r>
              <w:rPr>
                <w:rFonts w:hint="eastAsia" w:ascii="Times New Roman" w:hAnsi="Times New Roman" w:eastAsia="宋体" w:cs="Times New Roman"/>
                <w:sz w:val="24"/>
                <w:szCs w:val="24"/>
              </w:rPr>
              <w:t>危险化学品机油等油类物质</w:t>
            </w:r>
            <w:r>
              <w:rPr>
                <w:rFonts w:ascii="Times New Roman" w:hAnsi="Times New Roman" w:eastAsia="宋体" w:cs="Times New Roman"/>
                <w:sz w:val="24"/>
                <w:szCs w:val="24"/>
              </w:rPr>
              <w:t>下渗污染地下水。</w:t>
            </w:r>
          </w:p>
          <w:p w14:paraId="20D4600B">
            <w:pPr>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（4）声环境影响分析结论</w:t>
            </w:r>
          </w:p>
          <w:p w14:paraId="0E755653">
            <w:pPr>
              <w:tabs>
                <w:tab w:val="left" w:pos="6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经预测，项目运营期厂界</w:t>
            </w:r>
            <w:r>
              <w:rPr>
                <w:rFonts w:hint="eastAsia" w:ascii="Times New Roman" w:hAnsi="Times New Roman" w:eastAsia="宋体" w:cs="Times New Roman"/>
                <w:sz w:val="24"/>
              </w:rPr>
              <w:t>预测</w:t>
            </w:r>
            <w:r>
              <w:rPr>
                <w:rFonts w:ascii="Times New Roman" w:hAnsi="Times New Roman" w:eastAsia="宋体" w:cs="Times New Roman"/>
                <w:sz w:val="24"/>
              </w:rPr>
              <w:t>值</w:t>
            </w:r>
            <w:r>
              <w:rPr>
                <w:rFonts w:ascii="Times New Roman" w:hAnsi="Times New Roman" w:eastAsia="宋体" w:cs="Times New Roman"/>
                <w:sz w:val="24"/>
                <w:szCs w:val="24"/>
              </w:rPr>
              <w:t>均达到《工业企业厂界环境噪声排放标准》（GB12348—2008）中2类标准，故项目运行对周围声环境无明显影响，不会发生扰民现象。</w:t>
            </w:r>
          </w:p>
          <w:p w14:paraId="467D56D7">
            <w:pPr>
              <w:tabs>
                <w:tab w:val="left" w:pos="6670"/>
              </w:tabs>
              <w:spacing w:line="48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（4）固废环境影响分析结论</w:t>
            </w:r>
          </w:p>
          <w:p w14:paraId="517941C8">
            <w:pPr>
              <w:adjustRightInd w:val="0"/>
              <w:snapToGrid w:val="0"/>
              <w:spacing w:line="480" w:lineRule="exact"/>
              <w:ind w:firstLine="480" w:firstLineChars="2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项目运营期产生的污染物为一般固废，主要为生活垃圾、磁选废铁渣、分类废料、循环沉淀池淤泥、轮胎冲洗池和雨水沉淀池淤泥、维修废物。磁选废铁渣、分类废料暂存于废料堆场，由废品回收公司回收处理；循环沉淀池淤泥、轮胎冲洗池和雨水沉淀池淤泥经收集清掏后一并干化后回填中铁十五局弃土场。生活垃圾、维修废物收集后，自行清运自垃圾暂存点，定期由环卫部门统一清运处理。</w:t>
            </w:r>
          </w:p>
          <w:p w14:paraId="33DD8108">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综上，项目固废去向明确，处置措施可行，不会产生二次污染。</w:t>
            </w:r>
          </w:p>
          <w:p w14:paraId="53ABCE8C">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（5）土壤环境环境影响分析结论</w:t>
            </w:r>
          </w:p>
          <w:p w14:paraId="011FA502">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根据《环境影响评价技术导则土壤环境（试行）》（HJ964-2018）附录 A，项目属于</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 3 \* ROMAN </w:instrText>
            </w:r>
            <w:r>
              <w:rPr>
                <w:rFonts w:ascii="Times New Roman" w:hAnsi="Times New Roman" w:eastAsia="宋体" w:cs="Times New Roman"/>
                <w:sz w:val="24"/>
              </w:rPr>
              <w:fldChar w:fldCharType="separate"/>
            </w:r>
            <w:r>
              <w:rPr>
                <w:rFonts w:hint="eastAsia" w:ascii="Times New Roman" w:hAnsi="Times New Roman" w:eastAsia="宋体" w:cs="Times New Roman"/>
                <w:sz w:val="24"/>
                <w:lang w:eastAsia="zh-CN"/>
              </w:rPr>
              <w:t>Ⅲ</w:t>
            </w:r>
            <w:r>
              <w:rPr>
                <w:rFonts w:ascii="Times New Roman" w:hAnsi="Times New Roman" w:eastAsia="宋体" w:cs="Times New Roman"/>
                <w:sz w:val="24"/>
              </w:rPr>
              <w:fldChar w:fldCharType="end"/>
            </w:r>
            <w:r>
              <w:rPr>
                <w:rFonts w:ascii="Times New Roman" w:hAnsi="Times New Roman" w:eastAsia="宋体" w:cs="Times New Roman"/>
                <w:sz w:val="24"/>
              </w:rPr>
              <w:t>类建设项目，占地规模小型，土地性质为</w:t>
            </w:r>
            <w:r>
              <w:rPr>
                <w:rFonts w:hint="eastAsia" w:ascii="Times New Roman" w:hAnsi="Times New Roman" w:eastAsia="宋体" w:cs="Times New Roman"/>
                <w:sz w:val="24"/>
              </w:rPr>
              <w:t>不</w:t>
            </w:r>
            <w:r>
              <w:rPr>
                <w:rFonts w:ascii="Times New Roman" w:hAnsi="Times New Roman" w:eastAsia="宋体" w:cs="Times New Roman"/>
                <w:sz w:val="24"/>
              </w:rPr>
              <w:t>敏感，经分析本项目不需要开展土壤环境影响评价。</w:t>
            </w:r>
          </w:p>
          <w:p w14:paraId="3609F087">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6、风险影响分析结论</w:t>
            </w:r>
          </w:p>
          <w:p w14:paraId="365D4ABA">
            <w:pPr>
              <w:adjustRightInd w:val="0"/>
              <w:snapToGrid w:val="0"/>
              <w:spacing w:line="480" w:lineRule="exact"/>
              <w:ind w:firstLine="480" w:firstLineChars="200"/>
              <w:jc w:val="left"/>
              <w:rPr>
                <w:rFonts w:ascii="Times New Roman" w:hAnsi="Times New Roman" w:eastAsia="宋体" w:cs="Times New Roman"/>
                <w:kern w:val="0"/>
                <w:sz w:val="24"/>
                <w:szCs w:val="24"/>
              </w:rPr>
            </w:pPr>
            <w:r>
              <w:rPr>
                <w:rFonts w:ascii="Times New Roman" w:hAnsi="Times New Roman" w:eastAsia="宋体" w:cs="Times New Roman"/>
                <w:kern w:val="0"/>
                <w:sz w:val="24"/>
                <w:szCs w:val="24"/>
              </w:rPr>
              <w:t>根据《建设项目环境风险评价技术导则》（HJ169-2018）附录C，该项目Q&lt;1，环境风险潜势为Ⅰ，经简单分析：项目主要风险为火灾</w:t>
            </w:r>
            <w:r>
              <w:rPr>
                <w:rFonts w:hint="eastAsia" w:ascii="Times New Roman" w:hAnsi="Times New Roman" w:eastAsia="宋体" w:cs="Times New Roman"/>
                <w:kern w:val="0"/>
                <w:sz w:val="24"/>
                <w:szCs w:val="24"/>
              </w:rPr>
              <w:t>、危险化学品</w:t>
            </w:r>
            <w:r>
              <w:rPr>
                <w:rFonts w:ascii="Times New Roman" w:hAnsi="Times New Roman" w:eastAsia="宋体" w:cs="Times New Roman"/>
                <w:kern w:val="0"/>
                <w:sz w:val="24"/>
                <w:szCs w:val="24"/>
              </w:rPr>
              <w:t>及事故废水泄漏，采取以下措施防护：</w:t>
            </w:r>
          </w:p>
          <w:p w14:paraId="3408A527">
            <w:pPr>
              <w:adjustRightInd w:val="0"/>
              <w:snapToGrid w:val="0"/>
              <w:spacing w:line="480" w:lineRule="exact"/>
              <w:ind w:firstLine="480" w:firstLineChars="200"/>
              <w:jc w:val="left"/>
              <w:rPr>
                <w:rFonts w:ascii="Times New Roman" w:hAnsi="Times New Roman" w:eastAsia="宋体" w:cs="Times New Roman"/>
                <w:kern w:val="0"/>
                <w:sz w:val="24"/>
                <w:szCs w:val="24"/>
              </w:rPr>
            </w:pPr>
            <w:r>
              <w:rPr>
                <w:rFonts w:hint="eastAsia" w:ascii="宋体" w:hAnsi="宋体" w:eastAsia="宋体" w:cs="宋体"/>
                <w:kern w:val="0"/>
                <w:sz w:val="24"/>
                <w:szCs w:val="24"/>
              </w:rPr>
              <w:t>①</w:t>
            </w:r>
            <w:r>
              <w:rPr>
                <w:rFonts w:ascii="Times New Roman" w:hAnsi="Times New Roman" w:eastAsia="宋体" w:cs="Times New Roman"/>
                <w:kern w:val="0"/>
                <w:sz w:val="24"/>
                <w:szCs w:val="24"/>
              </w:rPr>
              <w:t>划定禁火区，在明显地点设有警示标志，输配电线、灯具、火灾事故照明和疏散指示标志均应符合安全要求；严禁未安装灭火星装置的车辆出入生产区。</w:t>
            </w:r>
          </w:p>
          <w:p w14:paraId="4AB48C01">
            <w:pPr>
              <w:adjustRightInd w:val="0"/>
              <w:snapToGrid w:val="0"/>
              <w:spacing w:line="480" w:lineRule="exact"/>
              <w:ind w:firstLine="480" w:firstLineChars="200"/>
              <w:jc w:val="left"/>
              <w:rPr>
                <w:rFonts w:ascii="Times New Roman" w:hAnsi="Times New Roman" w:eastAsia="宋体" w:cs="Times New Roman"/>
                <w:kern w:val="0"/>
                <w:sz w:val="24"/>
                <w:szCs w:val="24"/>
              </w:rPr>
            </w:pPr>
            <w:r>
              <w:rPr>
                <w:rFonts w:hint="eastAsia" w:ascii="宋体" w:hAnsi="宋体" w:eastAsia="宋体" w:cs="宋体"/>
                <w:kern w:val="0"/>
                <w:sz w:val="24"/>
                <w:szCs w:val="24"/>
              </w:rPr>
              <w:t>②</w:t>
            </w:r>
            <w:r>
              <w:rPr>
                <w:rFonts w:ascii="Times New Roman" w:hAnsi="Times New Roman" w:eastAsia="宋体" w:cs="Times New Roman"/>
                <w:kern w:val="0"/>
                <w:sz w:val="24"/>
                <w:szCs w:val="24"/>
              </w:rPr>
              <w:t>定期对</w:t>
            </w:r>
            <w:r>
              <w:rPr>
                <w:rFonts w:hint="eastAsia" w:ascii="Times New Roman" w:hAnsi="Times New Roman" w:eastAsia="宋体" w:cs="Times New Roman"/>
                <w:kern w:val="0"/>
                <w:sz w:val="24"/>
                <w:szCs w:val="24"/>
              </w:rPr>
              <w:t>环保</w:t>
            </w:r>
            <w:r>
              <w:rPr>
                <w:rFonts w:ascii="Times New Roman" w:hAnsi="Times New Roman" w:eastAsia="宋体" w:cs="Times New Roman"/>
                <w:kern w:val="0"/>
                <w:sz w:val="24"/>
                <w:szCs w:val="24"/>
              </w:rPr>
              <w:t>设施进行检查，定期对</w:t>
            </w:r>
            <w:r>
              <w:rPr>
                <w:rFonts w:hint="eastAsia" w:ascii="Times New Roman" w:hAnsi="Times New Roman" w:eastAsia="宋体" w:cs="Times New Roman"/>
                <w:kern w:val="0"/>
                <w:sz w:val="24"/>
                <w:szCs w:val="24"/>
              </w:rPr>
              <w:t>布袋</w:t>
            </w:r>
            <w:r>
              <w:rPr>
                <w:rFonts w:ascii="Times New Roman" w:hAnsi="Times New Roman" w:eastAsia="宋体" w:cs="Times New Roman"/>
                <w:kern w:val="0"/>
                <w:sz w:val="24"/>
                <w:szCs w:val="24"/>
              </w:rPr>
              <w:t>进行清理，保证</w:t>
            </w:r>
            <w:r>
              <w:rPr>
                <w:rFonts w:hint="eastAsia" w:ascii="Times New Roman" w:hAnsi="Times New Roman" w:eastAsia="宋体" w:cs="Times New Roman"/>
                <w:sz w:val="24"/>
                <w:szCs w:val="24"/>
              </w:rPr>
              <w:t>二级生化处理设施</w:t>
            </w:r>
            <w:r>
              <w:rPr>
                <w:rFonts w:ascii="Times New Roman" w:hAnsi="Times New Roman" w:eastAsia="宋体" w:cs="Times New Roman"/>
                <w:kern w:val="0"/>
                <w:sz w:val="24"/>
                <w:szCs w:val="24"/>
              </w:rPr>
              <w:t>的有效容积，防治溢流对地表水造成影响。加强管理，及时清理维护保证有效容积等。</w:t>
            </w:r>
          </w:p>
          <w:p w14:paraId="0B6BDD1B">
            <w:pPr>
              <w:adjustRightInd w:val="0"/>
              <w:snapToGrid w:val="0"/>
              <w:spacing w:line="480" w:lineRule="exact"/>
              <w:ind w:firstLine="480" w:firstLineChars="200"/>
              <w:jc w:val="left"/>
              <w:rPr>
                <w:rFonts w:ascii="Times New Roman" w:hAnsi="Times New Roman" w:eastAsia="宋体" w:cs="Times New Roman"/>
                <w:kern w:val="0"/>
                <w:sz w:val="24"/>
                <w:szCs w:val="24"/>
              </w:rPr>
            </w:pPr>
            <w:r>
              <w:rPr>
                <w:rFonts w:hint="eastAsia" w:ascii="Times New Roman" w:hAnsi="Times New Roman" w:eastAsia="宋体" w:cs="Times New Roman"/>
                <w:kern w:val="0"/>
                <w:sz w:val="24"/>
                <w:szCs w:val="24"/>
              </w:rPr>
              <w:t>③机油暂存间等采取重点防渗措施，防治危险化学品泄露后对地下水造成污染。</w:t>
            </w:r>
          </w:p>
          <w:p w14:paraId="440E0703">
            <w:pPr>
              <w:adjustRightInd w:val="0"/>
              <w:snapToGrid w:val="0"/>
              <w:spacing w:line="480" w:lineRule="exact"/>
              <w:ind w:firstLine="480" w:firstLineChars="200"/>
              <w:jc w:val="left"/>
              <w:rPr>
                <w:rFonts w:ascii="Times New Roman" w:hAnsi="Times New Roman" w:eastAsia="宋体" w:cs="Times New Roman"/>
                <w:sz w:val="24"/>
              </w:rPr>
            </w:pPr>
            <w:r>
              <w:rPr>
                <w:rFonts w:ascii="Times New Roman" w:hAnsi="Times New Roman" w:eastAsia="宋体" w:cs="Times New Roman"/>
                <w:sz w:val="24"/>
              </w:rPr>
              <w:t>建设单位严格实施本报告中各项防范措施和应急措施，防范风险事故发生，风险水平属于可以接受的范畴。</w:t>
            </w:r>
          </w:p>
          <w:p w14:paraId="692FCC63">
            <w:pPr>
              <w:pStyle w:val="61"/>
              <w:ind w:firstLine="480"/>
              <w:rPr>
                <w:rFonts w:ascii="Times New Roman" w:hAnsi="Times New Roman" w:eastAsia="宋体" w:cs="Times New Roman"/>
                <w:szCs w:val="24"/>
              </w:rPr>
            </w:pPr>
            <w:r>
              <w:rPr>
                <w:rFonts w:ascii="Times New Roman" w:hAnsi="Times New Roman" w:eastAsia="宋体" w:cs="Times New Roman"/>
              </w:rPr>
              <w:t>7、污染治理措施的有效性</w:t>
            </w:r>
          </w:p>
          <w:p w14:paraId="69C0EB0C">
            <w:pPr>
              <w:pStyle w:val="61"/>
              <w:ind w:firstLine="480"/>
              <w:rPr>
                <w:rFonts w:ascii="Times New Roman" w:hAnsi="Times New Roman" w:eastAsia="宋体" w:cs="Times New Roman"/>
                <w:szCs w:val="24"/>
              </w:rPr>
            </w:pPr>
            <w:r>
              <w:rPr>
                <w:rFonts w:ascii="Times New Roman" w:hAnsi="Times New Roman" w:eastAsia="宋体" w:cs="Times New Roman"/>
              </w:rPr>
              <w:t>评价认为，本项目采取的废水、废气、固废和噪声治理方法均技术、经济可行，措施有效。</w:t>
            </w:r>
          </w:p>
          <w:p w14:paraId="29061995">
            <w:pPr>
              <w:spacing w:line="480" w:lineRule="exact"/>
              <w:ind w:firstLine="480" w:firstLineChars="200"/>
              <w:rPr>
                <w:rFonts w:ascii="Times New Roman" w:hAnsi="Times New Roman" w:eastAsia="宋体" w:cs="Times New Roman"/>
                <w:bCs/>
                <w:sz w:val="24"/>
              </w:rPr>
            </w:pPr>
            <w:r>
              <w:rPr>
                <w:rFonts w:ascii="Times New Roman" w:hAnsi="Times New Roman" w:eastAsia="宋体" w:cs="Times New Roman"/>
                <w:bCs/>
                <w:sz w:val="24"/>
              </w:rPr>
              <w:t>8、可行性结论</w:t>
            </w:r>
          </w:p>
          <w:p w14:paraId="6A102405">
            <w:pPr>
              <w:pStyle w:val="61"/>
              <w:ind w:firstLine="480"/>
              <w:rPr>
                <w:rFonts w:ascii="Times New Roman" w:hAnsi="Times New Roman" w:eastAsia="宋体" w:cs="Times New Roman"/>
              </w:rPr>
            </w:pPr>
            <w:r>
              <w:rPr>
                <w:rFonts w:ascii="Times New Roman" w:hAnsi="Times New Roman" w:eastAsia="宋体" w:cs="Times New Roman"/>
              </w:rPr>
              <w:t>本项目建设符合“三线一单”规划要求，符合国家产业政策，项目污染物能够达标排放，区域环境质量能维持现状，只要厂方重视环保工作，认真落实评价提出的各项污染防治对策，加强对污染物的治理工作，做到环保工作专人分管，责任到人，加强对各类污染源的管理，落实环保治理所需要的资金，则该项目的实施，可以做到在较高的生产效益的同时，又能达到环境保护的目标。</w:t>
            </w:r>
            <w:r>
              <w:rPr>
                <w:rFonts w:ascii="Times New Roman" w:hAnsi="Times New Roman" w:eastAsia="宋体" w:cs="Times New Roman"/>
                <w:b/>
              </w:rPr>
              <w:t>项目建设从环境保护方面看是可行的</w:t>
            </w:r>
            <w:r>
              <w:rPr>
                <w:rFonts w:ascii="Times New Roman" w:hAnsi="Times New Roman" w:eastAsia="宋体" w:cs="Times New Roman"/>
              </w:rPr>
              <w:t>。</w:t>
            </w:r>
          </w:p>
          <w:p w14:paraId="0842CB2E">
            <w:pPr>
              <w:spacing w:before="120" w:after="120" w:line="480" w:lineRule="exact"/>
              <w:rPr>
                <w:rFonts w:ascii="Times New Roman" w:hAnsi="Times New Roman" w:eastAsia="宋体" w:cs="Times New Roman"/>
                <w:b/>
                <w:sz w:val="28"/>
                <w:szCs w:val="28"/>
              </w:rPr>
            </w:pPr>
            <w:r>
              <w:rPr>
                <w:rFonts w:ascii="Times New Roman" w:hAnsi="Times New Roman" w:eastAsia="宋体" w:cs="Times New Roman"/>
                <w:b/>
                <w:sz w:val="28"/>
                <w:szCs w:val="28"/>
              </w:rPr>
              <w:t>二、建议</w:t>
            </w:r>
          </w:p>
          <w:p w14:paraId="057964C1">
            <w:pPr>
              <w:spacing w:line="480" w:lineRule="exact"/>
              <w:ind w:firstLine="482"/>
              <w:rPr>
                <w:rFonts w:ascii="Times New Roman" w:hAnsi="Times New Roman" w:eastAsia="宋体" w:cs="Times New Roman"/>
                <w:sz w:val="24"/>
              </w:rPr>
            </w:pPr>
            <w:r>
              <w:rPr>
                <w:rFonts w:ascii="Times New Roman" w:hAnsi="Times New Roman" w:eastAsia="宋体" w:cs="Times New Roman"/>
                <w:sz w:val="24"/>
              </w:rPr>
              <w:t>1、严格按“三同时”的要求建设项目，切实做到污染物治理工程与主体工程同时设计、同时施工、同时运行，并保证环保设施的完好率和运转率，工程竣工后，必须向环境保护主管部门申请竣工验收，经验收合格后，由环境保护主管部门批准同意，方可正式投产运行。</w:t>
            </w:r>
          </w:p>
          <w:p w14:paraId="1D1AE6B4">
            <w:pPr>
              <w:spacing w:line="480" w:lineRule="exact"/>
              <w:ind w:firstLine="482"/>
              <w:rPr>
                <w:rFonts w:ascii="Times New Roman" w:hAnsi="Times New Roman" w:eastAsia="宋体" w:cs="Times New Roman"/>
                <w:sz w:val="24"/>
              </w:rPr>
            </w:pPr>
            <w:r>
              <w:rPr>
                <w:rFonts w:ascii="Times New Roman" w:hAnsi="Times New Roman" w:eastAsia="宋体" w:cs="Times New Roman"/>
                <w:sz w:val="24"/>
              </w:rPr>
              <w:t>2、制定并完善项目营运期的应急预案及应急系统组织。</w:t>
            </w:r>
          </w:p>
          <w:p w14:paraId="2C114FC6">
            <w:pPr>
              <w:spacing w:line="480" w:lineRule="exact"/>
              <w:ind w:firstLine="482"/>
              <w:rPr>
                <w:rFonts w:ascii="Times New Roman" w:hAnsi="Times New Roman" w:eastAsia="宋体" w:cs="Times New Roman"/>
                <w:sz w:val="24"/>
              </w:rPr>
            </w:pPr>
            <w:r>
              <w:rPr>
                <w:rFonts w:ascii="Times New Roman" w:hAnsi="Times New Roman" w:eastAsia="宋体" w:cs="Times New Roman"/>
                <w:sz w:val="24"/>
              </w:rPr>
              <w:t>3、加强全厂通</w:t>
            </w:r>
            <w:r>
              <w:rPr>
                <w:rFonts w:hint="eastAsia" w:ascii="Times New Roman" w:hAnsi="Times New Roman" w:eastAsia="宋体" w:cs="Times New Roman"/>
                <w:sz w:val="24"/>
              </w:rPr>
              <w:t>风、除</w:t>
            </w:r>
            <w:r>
              <w:rPr>
                <w:rFonts w:ascii="Times New Roman" w:hAnsi="Times New Roman" w:eastAsia="宋体" w:cs="Times New Roman"/>
                <w:sz w:val="24"/>
              </w:rPr>
              <w:t>尘、排风设施，以营造良好的工作环境，切实做好职工卫生防护，保护作业工人的身体健康。</w:t>
            </w:r>
          </w:p>
          <w:p w14:paraId="2F2E243D">
            <w:pPr>
              <w:spacing w:line="480" w:lineRule="exact"/>
              <w:ind w:firstLine="482"/>
              <w:rPr>
                <w:rFonts w:ascii="Times New Roman" w:hAnsi="Times New Roman" w:eastAsia="宋体" w:cs="Times New Roman"/>
                <w:sz w:val="24"/>
              </w:rPr>
            </w:pPr>
          </w:p>
          <w:p w14:paraId="183112AD">
            <w:pPr>
              <w:spacing w:line="480" w:lineRule="exact"/>
              <w:ind w:firstLine="482"/>
              <w:rPr>
                <w:rFonts w:ascii="Times New Roman" w:hAnsi="Times New Roman" w:eastAsia="宋体" w:cs="Times New Roman"/>
                <w:sz w:val="24"/>
              </w:rPr>
            </w:pPr>
          </w:p>
          <w:p w14:paraId="2DA63A82">
            <w:pPr>
              <w:spacing w:line="480" w:lineRule="exact"/>
              <w:ind w:firstLine="482"/>
              <w:rPr>
                <w:rFonts w:ascii="Times New Roman" w:hAnsi="Times New Roman" w:eastAsia="宋体" w:cs="Times New Roman"/>
                <w:sz w:val="24"/>
              </w:rPr>
            </w:pPr>
          </w:p>
          <w:p w14:paraId="5D1F67E3">
            <w:pPr>
              <w:spacing w:line="480" w:lineRule="exact"/>
              <w:ind w:firstLine="482"/>
              <w:rPr>
                <w:rFonts w:ascii="Times New Roman" w:hAnsi="Times New Roman" w:eastAsia="宋体" w:cs="Times New Roman"/>
                <w:sz w:val="24"/>
              </w:rPr>
            </w:pPr>
          </w:p>
          <w:p w14:paraId="18E1676E">
            <w:pPr>
              <w:spacing w:line="480" w:lineRule="exact"/>
              <w:ind w:firstLine="482"/>
              <w:rPr>
                <w:rFonts w:ascii="Times New Roman" w:hAnsi="Times New Roman" w:eastAsia="宋体" w:cs="Times New Roman"/>
                <w:sz w:val="24"/>
              </w:rPr>
            </w:pPr>
          </w:p>
          <w:p w14:paraId="1A499305">
            <w:pPr>
              <w:spacing w:line="480" w:lineRule="exact"/>
              <w:ind w:firstLine="482"/>
              <w:rPr>
                <w:rFonts w:ascii="Times New Roman" w:hAnsi="Times New Roman" w:eastAsia="宋体" w:cs="Times New Roman"/>
                <w:sz w:val="24"/>
              </w:rPr>
            </w:pPr>
          </w:p>
          <w:p w14:paraId="1399F92A">
            <w:pPr>
              <w:spacing w:line="480" w:lineRule="exact"/>
              <w:ind w:firstLine="482"/>
              <w:rPr>
                <w:rFonts w:ascii="Times New Roman" w:hAnsi="Times New Roman" w:eastAsia="宋体" w:cs="Times New Roman"/>
                <w:sz w:val="24"/>
              </w:rPr>
            </w:pPr>
          </w:p>
          <w:p w14:paraId="14F88BA3">
            <w:pPr>
              <w:spacing w:line="480" w:lineRule="exact"/>
              <w:ind w:firstLine="482"/>
              <w:rPr>
                <w:rFonts w:ascii="Times New Roman" w:hAnsi="Times New Roman" w:eastAsia="宋体" w:cs="Times New Roman"/>
                <w:sz w:val="24"/>
              </w:rPr>
            </w:pPr>
          </w:p>
          <w:p w14:paraId="1E11BBB7">
            <w:pPr>
              <w:spacing w:line="480" w:lineRule="exact"/>
              <w:ind w:firstLine="482"/>
              <w:rPr>
                <w:rFonts w:ascii="Times New Roman" w:hAnsi="Times New Roman" w:eastAsia="宋体" w:cs="Times New Roman"/>
                <w:sz w:val="24"/>
              </w:rPr>
            </w:pPr>
          </w:p>
          <w:p w14:paraId="295B2A9B">
            <w:pPr>
              <w:spacing w:line="480" w:lineRule="exact"/>
              <w:ind w:firstLine="482"/>
              <w:rPr>
                <w:rFonts w:ascii="Times New Roman" w:hAnsi="Times New Roman" w:eastAsia="宋体" w:cs="Times New Roman"/>
                <w:sz w:val="24"/>
              </w:rPr>
            </w:pPr>
          </w:p>
          <w:p w14:paraId="297E4EF5">
            <w:pPr>
              <w:spacing w:line="480" w:lineRule="exact"/>
              <w:ind w:firstLine="482"/>
              <w:rPr>
                <w:rFonts w:ascii="Times New Roman" w:hAnsi="Times New Roman" w:eastAsia="宋体" w:cs="Times New Roman"/>
                <w:sz w:val="24"/>
              </w:rPr>
            </w:pPr>
          </w:p>
          <w:p w14:paraId="6DA7CDE4">
            <w:pPr>
              <w:spacing w:line="480" w:lineRule="exact"/>
              <w:ind w:firstLine="482"/>
              <w:rPr>
                <w:rFonts w:ascii="Times New Roman" w:hAnsi="Times New Roman" w:eastAsia="宋体" w:cs="Times New Roman"/>
                <w:sz w:val="24"/>
              </w:rPr>
            </w:pPr>
          </w:p>
          <w:p w14:paraId="59928934">
            <w:pPr>
              <w:spacing w:line="480" w:lineRule="exact"/>
              <w:ind w:firstLine="482"/>
              <w:rPr>
                <w:rFonts w:ascii="Times New Roman" w:hAnsi="Times New Roman" w:eastAsia="宋体" w:cs="Times New Roman"/>
                <w:sz w:val="24"/>
              </w:rPr>
            </w:pPr>
          </w:p>
          <w:p w14:paraId="65A686F3">
            <w:pPr>
              <w:spacing w:line="480" w:lineRule="exact"/>
              <w:ind w:firstLine="482"/>
              <w:rPr>
                <w:rFonts w:ascii="Times New Roman" w:hAnsi="Times New Roman" w:eastAsia="宋体" w:cs="Times New Roman"/>
                <w:sz w:val="24"/>
              </w:rPr>
            </w:pPr>
          </w:p>
          <w:p w14:paraId="5533DF85">
            <w:pPr>
              <w:spacing w:line="480" w:lineRule="exact"/>
              <w:ind w:firstLine="482"/>
              <w:rPr>
                <w:rFonts w:ascii="Times New Roman" w:hAnsi="Times New Roman" w:eastAsia="宋体" w:cs="Times New Roman"/>
                <w:sz w:val="24"/>
              </w:rPr>
            </w:pPr>
          </w:p>
          <w:p w14:paraId="67FE2899">
            <w:pPr>
              <w:spacing w:line="480" w:lineRule="exact"/>
              <w:ind w:firstLine="482"/>
              <w:rPr>
                <w:rFonts w:ascii="Times New Roman" w:hAnsi="Times New Roman" w:eastAsia="宋体" w:cs="Times New Roman"/>
                <w:sz w:val="24"/>
              </w:rPr>
            </w:pPr>
          </w:p>
          <w:p w14:paraId="699BE9D1">
            <w:pPr>
              <w:spacing w:line="480" w:lineRule="exact"/>
              <w:ind w:firstLine="482"/>
              <w:rPr>
                <w:rFonts w:ascii="Times New Roman" w:hAnsi="Times New Roman" w:eastAsia="宋体" w:cs="Times New Roman"/>
                <w:sz w:val="24"/>
              </w:rPr>
            </w:pPr>
          </w:p>
          <w:p w14:paraId="42BF07BF">
            <w:pPr>
              <w:spacing w:line="480" w:lineRule="exact"/>
              <w:ind w:firstLine="482"/>
              <w:rPr>
                <w:rFonts w:ascii="Times New Roman" w:hAnsi="Times New Roman" w:eastAsia="宋体" w:cs="Times New Roman"/>
                <w:sz w:val="24"/>
              </w:rPr>
            </w:pPr>
          </w:p>
        </w:tc>
      </w:tr>
      <w:tr w14:paraId="7ACBD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457" w:hRule="atLeast"/>
          <w:jc w:val="center"/>
        </w:trPr>
        <w:tc>
          <w:tcPr>
            <w:tcW w:w="8528" w:type="dxa"/>
            <w:gridSpan w:val="2"/>
            <w:vAlign w:val="center"/>
          </w:tcPr>
          <w:p w14:paraId="4972202F">
            <w:pPr>
              <w:spacing w:line="360" w:lineRule="auto"/>
              <w:jc w:val="center"/>
              <w:rPr>
                <w:rFonts w:ascii="Times New Roman" w:hAnsi="Times New Roman" w:eastAsia="宋体" w:cs="Times New Roman"/>
                <w:b/>
                <w:sz w:val="30"/>
              </w:rPr>
            </w:pPr>
            <w:r>
              <w:rPr>
                <w:rFonts w:ascii="Times New Roman" w:hAnsi="Times New Roman" w:eastAsia="宋体" w:cs="Times New Roman"/>
                <w:b/>
                <w:sz w:val="30"/>
                <w:szCs w:val="30"/>
              </w:rPr>
              <w:t>注释</w:t>
            </w:r>
          </w:p>
          <w:p w14:paraId="3A497E65">
            <w:pPr>
              <w:spacing w:line="360" w:lineRule="auto"/>
              <w:ind w:right="212" w:rightChars="101" w:firstLine="241" w:firstLineChars="100"/>
              <w:jc w:val="left"/>
              <w:rPr>
                <w:rFonts w:ascii="Times New Roman" w:hAnsi="Times New Roman" w:eastAsia="宋体" w:cs="Times New Roman"/>
                <w:b/>
                <w:sz w:val="24"/>
              </w:rPr>
            </w:pPr>
            <w:r>
              <w:rPr>
                <w:rFonts w:ascii="Times New Roman" w:hAnsi="Times New Roman" w:eastAsia="宋体" w:cs="Times New Roman"/>
                <w:b/>
                <w:sz w:val="24"/>
              </w:rPr>
              <w:t>一、本报告表应附以下附件、附图：</w:t>
            </w:r>
          </w:p>
          <w:p w14:paraId="3082C1EF">
            <w:pPr>
              <w:spacing w:line="360" w:lineRule="auto"/>
              <w:ind w:firstLine="211" w:firstLineChars="100"/>
              <w:rPr>
                <w:rFonts w:ascii="Times New Roman" w:hAnsi="Times New Roman" w:eastAsia="宋体" w:cs="Times New Roman"/>
                <w:b/>
                <w:szCs w:val="21"/>
              </w:rPr>
            </w:pPr>
            <w:r>
              <w:rPr>
                <w:rFonts w:ascii="Times New Roman" w:hAnsi="Times New Roman" w:eastAsia="宋体" w:cs="Times New Roman"/>
                <w:b/>
                <w:szCs w:val="21"/>
              </w:rPr>
              <w:t>附件：</w:t>
            </w:r>
          </w:p>
          <w:p w14:paraId="2356AE1D">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附件1：委托书</w:t>
            </w:r>
          </w:p>
          <w:p w14:paraId="4F626287">
            <w:pPr>
              <w:spacing w:line="360" w:lineRule="auto"/>
              <w:ind w:left="1260" w:leftChars="200" w:hanging="840" w:hangingChars="400"/>
              <w:rPr>
                <w:rFonts w:ascii="Times New Roman" w:hAnsi="Times New Roman" w:eastAsia="宋体" w:cs="Times New Roman"/>
                <w:szCs w:val="21"/>
              </w:rPr>
            </w:pPr>
            <w:r>
              <w:rPr>
                <w:rFonts w:ascii="Times New Roman" w:hAnsi="Times New Roman" w:eastAsia="宋体" w:cs="Times New Roman"/>
                <w:szCs w:val="21"/>
              </w:rPr>
              <w:t>附件2：备案通知书</w:t>
            </w:r>
          </w:p>
          <w:p w14:paraId="0C6AC6A3">
            <w:pPr>
              <w:spacing w:line="360" w:lineRule="auto"/>
              <w:ind w:left="1260" w:leftChars="200" w:hanging="840" w:hangingChars="400"/>
              <w:rPr>
                <w:rFonts w:ascii="Times New Roman" w:hAnsi="Times New Roman" w:eastAsia="宋体" w:cs="Times New Roman"/>
                <w:szCs w:val="21"/>
              </w:rPr>
            </w:pPr>
            <w:r>
              <w:rPr>
                <w:rFonts w:ascii="Times New Roman" w:hAnsi="Times New Roman" w:eastAsia="宋体" w:cs="Times New Roman"/>
                <w:szCs w:val="21"/>
              </w:rPr>
              <w:t>附件3：</w:t>
            </w:r>
            <w:r>
              <w:rPr>
                <w:rFonts w:hint="eastAsia" w:ascii="Times New Roman" w:hAnsi="Times New Roman" w:eastAsia="宋体" w:cs="Times New Roman"/>
                <w:szCs w:val="21"/>
              </w:rPr>
              <w:t>用地证明</w:t>
            </w:r>
          </w:p>
          <w:p w14:paraId="77531CC6">
            <w:pPr>
              <w:spacing w:line="360" w:lineRule="auto"/>
              <w:ind w:left="1260" w:leftChars="200" w:hanging="840" w:hangingChars="400"/>
              <w:rPr>
                <w:rFonts w:ascii="Times New Roman" w:hAnsi="Times New Roman" w:eastAsia="宋体" w:cs="Times New Roman"/>
                <w:szCs w:val="21"/>
              </w:rPr>
            </w:pPr>
            <w:r>
              <w:rPr>
                <w:rFonts w:ascii="Times New Roman" w:hAnsi="Times New Roman" w:eastAsia="宋体" w:cs="Times New Roman"/>
                <w:szCs w:val="21"/>
              </w:rPr>
              <w:t>附件4：</w:t>
            </w:r>
            <w:r>
              <w:rPr>
                <w:rFonts w:hint="eastAsia" w:ascii="Times New Roman" w:hAnsi="Times New Roman" w:eastAsia="宋体" w:cs="Times New Roman"/>
                <w:szCs w:val="21"/>
              </w:rPr>
              <w:t>地勘界定报告</w:t>
            </w:r>
          </w:p>
          <w:p w14:paraId="4A83D5A9">
            <w:pPr>
              <w:spacing w:line="360" w:lineRule="auto"/>
              <w:ind w:left="1260" w:leftChars="200" w:hanging="840" w:hangingChars="400"/>
              <w:rPr>
                <w:rFonts w:ascii="Times New Roman" w:hAnsi="Times New Roman" w:eastAsia="宋体" w:cs="Times New Roman"/>
                <w:szCs w:val="21"/>
              </w:rPr>
            </w:pPr>
            <w:r>
              <w:rPr>
                <w:rFonts w:ascii="Times New Roman" w:hAnsi="Times New Roman" w:eastAsia="宋体" w:cs="Times New Roman"/>
                <w:szCs w:val="21"/>
              </w:rPr>
              <w:t>附件5：监测报告</w:t>
            </w:r>
          </w:p>
          <w:p w14:paraId="3EA88671">
            <w:pPr>
              <w:spacing w:line="360" w:lineRule="auto"/>
              <w:ind w:left="1260" w:leftChars="200" w:hanging="840" w:hangingChars="400"/>
              <w:rPr>
                <w:rFonts w:ascii="Times New Roman" w:hAnsi="Times New Roman" w:eastAsia="宋体" w:cs="Times New Roman"/>
                <w:szCs w:val="21"/>
              </w:rPr>
            </w:pPr>
          </w:p>
          <w:p w14:paraId="623A72EB">
            <w:pPr>
              <w:spacing w:line="360" w:lineRule="auto"/>
              <w:ind w:firstLine="211" w:firstLineChars="100"/>
              <w:rPr>
                <w:rFonts w:ascii="Times New Roman" w:hAnsi="Times New Roman" w:eastAsia="宋体" w:cs="Times New Roman"/>
                <w:b/>
                <w:szCs w:val="21"/>
              </w:rPr>
            </w:pPr>
            <w:r>
              <w:rPr>
                <w:rFonts w:ascii="Times New Roman" w:hAnsi="Times New Roman" w:eastAsia="宋体" w:cs="Times New Roman"/>
                <w:b/>
                <w:szCs w:val="21"/>
              </w:rPr>
              <w:t>附图：</w:t>
            </w:r>
          </w:p>
          <w:p w14:paraId="7757815A">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附图1：项目地理位置图</w:t>
            </w:r>
          </w:p>
          <w:p w14:paraId="730A4DAE">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附图2：项目平面布置示意图</w:t>
            </w:r>
          </w:p>
          <w:p w14:paraId="6D53134E">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附图3：项目外环境关系及检测布点图</w:t>
            </w:r>
          </w:p>
          <w:p w14:paraId="2718845C">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附图4：项目现场勘查图</w:t>
            </w:r>
          </w:p>
          <w:p w14:paraId="729A7BFC">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附图5：大气评价范围及环境敏感目标位置图</w:t>
            </w:r>
          </w:p>
          <w:p w14:paraId="2B936616">
            <w:pPr>
              <w:spacing w:line="360" w:lineRule="auto"/>
              <w:ind w:firstLine="420" w:firstLineChars="200"/>
              <w:rPr>
                <w:rFonts w:ascii="Times New Roman" w:hAnsi="Times New Roman" w:eastAsia="宋体" w:cs="Times New Roman"/>
                <w:szCs w:val="21"/>
                <w:highlight w:val="yellow"/>
              </w:rPr>
            </w:pPr>
          </w:p>
          <w:p w14:paraId="50C0376D">
            <w:pPr>
              <w:spacing w:line="360" w:lineRule="auto"/>
              <w:ind w:firstLine="480" w:firstLineChars="200"/>
              <w:rPr>
                <w:rFonts w:ascii="Times New Roman" w:hAnsi="Times New Roman" w:eastAsia="宋体" w:cs="Times New Roman"/>
                <w:szCs w:val="21"/>
              </w:rPr>
            </w:pPr>
            <w:r>
              <w:rPr>
                <w:rFonts w:ascii="Times New Roman" w:hAnsi="Times New Roman" w:eastAsia="宋体" w:cs="Times New Roman"/>
                <w:sz w:val="24"/>
              </w:rPr>
              <w:t>二、如果本报告表不能说明项目产生的污染对环境造成的影响，应进行专项评价。根据建设项目的特点和当地环境特征，应选下列1-2项进行专项评价。</w:t>
            </w:r>
          </w:p>
          <w:p w14:paraId="791B3DD7">
            <w:pPr>
              <w:spacing w:line="360" w:lineRule="auto"/>
              <w:ind w:firstLine="840" w:firstLineChars="400"/>
              <w:rPr>
                <w:rFonts w:ascii="Times New Roman" w:hAnsi="Times New Roman" w:eastAsia="宋体" w:cs="Times New Roman"/>
                <w:szCs w:val="21"/>
              </w:rPr>
            </w:pPr>
            <w:r>
              <w:rPr>
                <w:rFonts w:ascii="Times New Roman" w:hAnsi="Times New Roman" w:eastAsia="宋体" w:cs="Times New Roman"/>
                <w:szCs w:val="21"/>
              </w:rPr>
              <w:t>1、大气环境影响专项评价</w:t>
            </w:r>
          </w:p>
          <w:p w14:paraId="25205ADE">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 xml:space="preserve">    2、水环境影响专项评价（包括地表水和地下水）</w:t>
            </w:r>
          </w:p>
          <w:p w14:paraId="654AB091">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 xml:space="preserve">    3、生态环境影响专项评价</w:t>
            </w:r>
          </w:p>
          <w:p w14:paraId="7D64942C">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 xml:space="preserve">    4、声环境影响专项评价</w:t>
            </w:r>
          </w:p>
          <w:p w14:paraId="16955299">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 xml:space="preserve">    5、土壤环境影响专项评价</w:t>
            </w:r>
          </w:p>
          <w:p w14:paraId="798E7FBC">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 xml:space="preserve">    6、固体废弃物影响专项评价</w:t>
            </w:r>
          </w:p>
          <w:p w14:paraId="6AC74C6D">
            <w:pPr>
              <w:spacing w:line="360" w:lineRule="auto"/>
              <w:ind w:right="212" w:rightChars="101" w:firstLine="480" w:firstLineChars="200"/>
              <w:jc w:val="left"/>
              <w:rPr>
                <w:rFonts w:ascii="Times New Roman" w:hAnsi="Times New Roman" w:eastAsia="宋体" w:cs="Times New Roman"/>
                <w:sz w:val="24"/>
              </w:rPr>
            </w:pPr>
            <w:r>
              <w:rPr>
                <w:rFonts w:ascii="Times New Roman" w:hAnsi="Times New Roman" w:eastAsia="宋体" w:cs="Times New Roman"/>
                <w:sz w:val="24"/>
              </w:rPr>
              <w:t>以上专项评价未包括的可另列专项，专项评价按照《环境影响评价技术导则》中的要求进行。</w:t>
            </w:r>
          </w:p>
        </w:tc>
      </w:tr>
    </w:tbl>
    <w:p w14:paraId="794242AB">
      <w:pPr>
        <w:spacing w:line="360" w:lineRule="auto"/>
        <w:rPr>
          <w:rFonts w:ascii="Times New Roman" w:hAnsi="Times New Roman" w:eastAsia="宋体" w:cs="Times New Roman"/>
          <w:sz w:val="18"/>
          <w:szCs w:val="18"/>
        </w:rPr>
      </w:pPr>
    </w:p>
    <w:sectPr>
      <w:pgSz w:w="11906" w:h="16838"/>
      <w:pgMar w:top="1440" w:right="1797" w:bottom="1440" w:left="1797" w:header="851" w:footer="958"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 w:name="Arial Unicode MS">
    <w:altName w:val="宋体"/>
    <w:panose1 w:val="020B0604020202020204"/>
    <w:charset w:val="86"/>
    <w:family w:val="swiss"/>
    <w:pitch w:val="default"/>
    <w:sig w:usb0="00000000" w:usb1="00000000" w:usb2="0000003F" w:usb3="00000000" w:csb0="003F01FF" w:csb1="00000000"/>
  </w:font>
  <w:font w:name="Adobe 黑体 Std R">
    <w:altName w:val="黑体"/>
    <w:panose1 w:val="00000000000000000000"/>
    <w:charset w:val="00"/>
    <w:family w:val="auto"/>
    <w:pitch w:val="default"/>
    <w:sig w:usb0="00000000" w:usb1="00000000" w:usb2="00000000" w:usb3="00000000" w:csb0="00000000" w:csb1="00000000"/>
  </w:font>
  <w:font w:name="等线">
    <w:altName w:val="微软雅黑"/>
    <w:panose1 w:val="02010600030101010101"/>
    <w:charset w:val="86"/>
    <w:family w:val="auto"/>
    <w:pitch w:val="default"/>
    <w:sig w:usb0="00000000" w:usb1="00000000" w:usb2="00000016" w:usb3="00000000" w:csb0="0004000F" w:csb1="00000000"/>
  </w:font>
  <w:font w:name="DengXian">
    <w:altName w:val="Segoe Print"/>
    <w:panose1 w:val="00000000000000000000"/>
    <w:charset w:val="00"/>
    <w:family w:val="auto"/>
    <w:pitch w:val="default"/>
    <w:sig w:usb0="00000000" w:usb1="00000000" w:usb2="00000000" w:usb3="00000000" w:csb0="00000000" w:csb1="00000000"/>
  </w:font>
  <w:font w:name="Yu Mincho Light">
    <w:altName w:val="MS Mincho"/>
    <w:panose1 w:val="00000000000000000000"/>
    <w:charset w:val="80"/>
    <w:family w:val="roman"/>
    <w:pitch w:val="default"/>
    <w:sig w:usb0="00000000" w:usb1="00000000" w:usb2="00000012" w:usb3="00000000" w:csb0="0002009F" w:csb1="00000000"/>
  </w:font>
  <w:font w:name="永中宋体">
    <w:altName w:val="宋体"/>
    <w:panose1 w:val="00000000000000000000"/>
    <w:charset w:val="86"/>
    <w:family w:val="auto"/>
    <w:pitch w:val="default"/>
    <w:sig w:usb0="00000000" w:usb1="00000000" w:usb2="00000010" w:usb3="00000000" w:csb0="00040001" w:csb1="00000000"/>
  </w:font>
  <w:font w:name="Wingdings 2">
    <w:altName w:val="Wingdings"/>
    <w:panose1 w:val="05020102010507070707"/>
    <w:charset w:val="02"/>
    <w:family w:val="roman"/>
    <w:pitch w:val="default"/>
    <w:sig w:usb0="00000000" w:usb1="00000000" w:usb2="00000000" w:usb3="00000000" w:csb0="80000000" w:csb1="00000000"/>
  </w:font>
  <w:font w:name="楷体_GB2312">
    <w:panose1 w:val="02010609030101010101"/>
    <w:charset w:val="86"/>
    <w:family w:val="modern"/>
    <w:pitch w:val="default"/>
    <w:sig w:usb0="00000001" w:usb1="080E0000" w:usb2="00000000" w:usb3="00000000" w:csb0="00040000" w:csb1="00000000"/>
  </w:font>
  <w:font w:name="Arial">
    <w:panose1 w:val="020B0604020202020204"/>
    <w:charset w:val="00"/>
    <w:family w:val="swiss"/>
    <w:pitch w:val="default"/>
    <w:sig w:usb0="E0002AFF" w:usb1="C0007843" w:usb2="00000009" w:usb3="00000000" w:csb0="400001FF" w:csb1="FFFF0000"/>
  </w:font>
  <w:font w:name="仿宋_GB2312">
    <w:panose1 w:val="02010609030101010101"/>
    <w:charset w:val="86"/>
    <w:family w:val="modern"/>
    <w:pitch w:val="default"/>
    <w:sig w:usb0="00000001" w:usb1="080E0000" w:usb2="00000000" w:usb3="00000000" w:csb0="00040000" w:csb1="00000000"/>
  </w:font>
  <w:font w:name="Verdana">
    <w:panose1 w:val="020B0604030504040204"/>
    <w:charset w:val="00"/>
    <w:family w:val="swiss"/>
    <w:pitch w:val="default"/>
    <w:sig w:usb0="A10006FF" w:usb1="4000205B" w:usb2="00000010" w:usb3="00000000" w:csb0="2000019F" w:csb1="00000000"/>
  </w:font>
  <w:font w:name="Courier New">
    <w:panose1 w:val="02070309020205020404"/>
    <w:charset w:val="00"/>
    <w:family w:val="modern"/>
    <w:pitch w:val="default"/>
    <w:sig w:usb0="E0002AFF" w:usb1="C0007843" w:usb2="00000009" w:usb3="00000000" w:csb0="400001FF" w:csb1="FFFF0000"/>
  </w:font>
  <w:font w:name="Cambria Math">
    <w:panose1 w:val="02040503050406030204"/>
    <w:charset w:val="00"/>
    <w:family w:val="roman"/>
    <w:pitch w:val="default"/>
    <w:sig w:usb0="E00002FF" w:usb1="420024FF" w:usb2="00000000" w:usb3="00000000" w:csb0="2000019F" w:csb1="00000000"/>
  </w:font>
  <w:font w:name="Segoe UI Emoji">
    <w:altName w:val="Segoe UI"/>
    <w:panose1 w:val="020B0502040204020203"/>
    <w:charset w:val="00"/>
    <w:family w:val="swiss"/>
    <w:pitch w:val="default"/>
    <w:sig w:usb0="00000000" w:usb1="00000000" w:usb2="00000000" w:usb3="00000000" w:csb0="00000001" w:csb1="00000000"/>
  </w:font>
  <w:font w:name="微软雅黑">
    <w:panose1 w:val="020B0503020204020204"/>
    <w:charset w:val="86"/>
    <w:family w:val="auto"/>
    <w:pitch w:val="default"/>
    <w:sig w:usb0="80000287" w:usb1="280F3C52" w:usb2="00000016" w:usb3="00000000" w:csb0="0004001F" w:csb1="00000000"/>
  </w:font>
  <w:font w:name="Segoe UI">
    <w:panose1 w:val="020B0502040204020203"/>
    <w:charset w:val="00"/>
    <w:family w:val="auto"/>
    <w:pitch w:val="default"/>
    <w:sig w:usb0="E10022FF" w:usb1="C000E47F" w:usb2="00000029" w:usb3="00000000" w:csb0="200001DF" w:csb1="20000000"/>
  </w:font>
  <w:font w:name="MS Mincho">
    <w:panose1 w:val="02020609040205080304"/>
    <w:charset w:val="80"/>
    <w:family w:val="auto"/>
    <w:pitch w:val="default"/>
    <w:sig w:usb0="E00002FF" w:usb1="6AC7FDFB" w:usb2="00000012" w:usb3="00000000" w:csb0="4002009F" w:csb1="DFD70000"/>
  </w:font>
  <w:font w:name="Segoe Print">
    <w:panose1 w:val="02000600000000000000"/>
    <w:charset w:val="00"/>
    <w:family w:val="auto"/>
    <w:pitch w:val="default"/>
    <w:sig w:usb0="0000028F" w:usb1="00000000" w:usb2="00000000" w:usb3="00000000" w:csb0="2000009F" w:csb1="47010000"/>
  </w:font>
  <w:font w:name="Wingdings">
    <w:panose1 w:val="05000000000000000000"/>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4EF580">
    <w:pPr>
      <w:pStyle w:val="18"/>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11FAF5">
    <w:pPr>
      <w:pStyle w:val="18"/>
      <w:framePr w:wrap="around" w:vAnchor="text" w:hAnchor="margin" w:xAlign="center" w:y="1"/>
      <w:rPr>
        <w:rStyle w:val="32"/>
      </w:rPr>
    </w:pPr>
    <w:r>
      <w:fldChar w:fldCharType="begin"/>
    </w:r>
    <w:r>
      <w:rPr>
        <w:rStyle w:val="32"/>
      </w:rPr>
      <w:instrText xml:space="preserve">PAGE  </w:instrText>
    </w:r>
    <w:r>
      <w:fldChar w:fldCharType="end"/>
    </w:r>
  </w:p>
  <w:p w14:paraId="0DD54819">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029263">
    <w:pPr>
      <w:pStyle w:val="18"/>
      <w:jc w:val="center"/>
    </w:pPr>
    <w:r>
      <w:fldChar w:fldCharType="begin"/>
    </w:r>
    <w:r>
      <w:instrText xml:space="preserve"> PAGE   \* MERGEFORMAT </w:instrText>
    </w:r>
    <w:r>
      <w:fldChar w:fldCharType="separate"/>
    </w:r>
    <w:r>
      <w:t>66</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18C4A1">
    <w:pPr>
      <w:pStyle w:val="19"/>
      <w:pBdr>
        <w:bottom w:val="none" w:color="auto" w:sz="0" w:space="0"/>
      </w:pBdr>
      <w:spacing w:line="10" w:lineRule="atLeast"/>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5"/>
    <w:multiLevelType w:val="multilevel"/>
    <w:tmpl w:val="00000005"/>
    <w:lvl w:ilvl="0" w:tentative="0">
      <w:start w:val="1"/>
      <w:numFmt w:val="chineseCountingThousand"/>
      <w:pStyle w:val="109"/>
      <w:suff w:val="nothing"/>
      <w:lvlText w:val="第%1章"/>
      <w:lvlJc w:val="left"/>
      <w:rPr>
        <w:rFonts w:hint="eastAsia" w:cs="Arial Unicode MS"/>
      </w:rPr>
    </w:lvl>
    <w:lvl w:ilvl="1" w:tentative="0">
      <w:start w:val="1"/>
      <w:numFmt w:val="none"/>
      <w:suff w:val="nothing"/>
      <w:lvlText w:val=""/>
      <w:lvlJc w:val="left"/>
      <w:rPr>
        <w:rFonts w:hint="eastAsia" w:cs="Arial Unicode MS"/>
      </w:rPr>
    </w:lvl>
    <w:lvl w:ilvl="2" w:tentative="0">
      <w:start w:val="1"/>
      <w:numFmt w:val="none"/>
      <w:suff w:val="nothing"/>
      <w:lvlText w:val=""/>
      <w:lvlJc w:val="left"/>
      <w:rPr>
        <w:rFonts w:hint="eastAsia" w:cs="Arial Unicode MS"/>
      </w:rPr>
    </w:lvl>
    <w:lvl w:ilvl="3" w:tentative="0">
      <w:start w:val="1"/>
      <w:numFmt w:val="none"/>
      <w:suff w:val="nothing"/>
      <w:lvlText w:val=""/>
      <w:lvlJc w:val="left"/>
      <w:rPr>
        <w:rFonts w:hint="eastAsia" w:cs="Arial Unicode MS"/>
      </w:rPr>
    </w:lvl>
    <w:lvl w:ilvl="4" w:tentative="0">
      <w:start w:val="1"/>
      <w:numFmt w:val="none"/>
      <w:suff w:val="nothing"/>
      <w:lvlText w:val=""/>
      <w:lvlJc w:val="left"/>
      <w:rPr>
        <w:rFonts w:hint="eastAsia" w:cs="Arial Unicode MS"/>
      </w:rPr>
    </w:lvl>
    <w:lvl w:ilvl="5" w:tentative="0">
      <w:start w:val="1"/>
      <w:numFmt w:val="none"/>
      <w:suff w:val="nothing"/>
      <w:lvlText w:val=""/>
      <w:lvlJc w:val="left"/>
      <w:rPr>
        <w:rFonts w:hint="eastAsia" w:cs="Arial Unicode MS"/>
      </w:rPr>
    </w:lvl>
    <w:lvl w:ilvl="6" w:tentative="0">
      <w:start w:val="1"/>
      <w:numFmt w:val="none"/>
      <w:suff w:val="nothing"/>
      <w:lvlText w:val=""/>
      <w:lvlJc w:val="left"/>
      <w:rPr>
        <w:rFonts w:hint="eastAsia" w:cs="Arial Unicode MS"/>
      </w:rPr>
    </w:lvl>
    <w:lvl w:ilvl="7" w:tentative="0">
      <w:start w:val="1"/>
      <w:numFmt w:val="none"/>
      <w:suff w:val="nothing"/>
      <w:lvlText w:val=""/>
      <w:lvlJc w:val="left"/>
      <w:rPr>
        <w:rFonts w:hint="eastAsia" w:cs="Arial Unicode MS"/>
      </w:rPr>
    </w:lvl>
    <w:lvl w:ilvl="8" w:tentative="0">
      <w:start w:val="1"/>
      <w:numFmt w:val="none"/>
      <w:suff w:val="nothing"/>
      <w:lvlText w:val=""/>
      <w:lvlJc w:val="left"/>
      <w:rPr>
        <w:rFonts w:hint="eastAsia" w:cs="Arial Unicode M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documentProtection w:enforcement="0"/>
  <w:defaultTabStop w:val="420"/>
  <w:drawingGridHorizontalSpacing w:val="105"/>
  <w:drawingGridVerticalSpacing w:val="156"/>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456"/>
    <w:rsid w:val="00000D40"/>
    <w:rsid w:val="000010A8"/>
    <w:rsid w:val="00001193"/>
    <w:rsid w:val="000012FD"/>
    <w:rsid w:val="0000189A"/>
    <w:rsid w:val="00001E9D"/>
    <w:rsid w:val="000022EF"/>
    <w:rsid w:val="000025BD"/>
    <w:rsid w:val="0000296D"/>
    <w:rsid w:val="000029A8"/>
    <w:rsid w:val="00003436"/>
    <w:rsid w:val="00003A3C"/>
    <w:rsid w:val="000054F4"/>
    <w:rsid w:val="0000551C"/>
    <w:rsid w:val="000057EA"/>
    <w:rsid w:val="00005934"/>
    <w:rsid w:val="00006269"/>
    <w:rsid w:val="000063E0"/>
    <w:rsid w:val="000065A1"/>
    <w:rsid w:val="00006E9C"/>
    <w:rsid w:val="00007032"/>
    <w:rsid w:val="000070F9"/>
    <w:rsid w:val="00007190"/>
    <w:rsid w:val="000073D1"/>
    <w:rsid w:val="00007494"/>
    <w:rsid w:val="000079B0"/>
    <w:rsid w:val="00007CDA"/>
    <w:rsid w:val="00007F0C"/>
    <w:rsid w:val="00010585"/>
    <w:rsid w:val="00010C66"/>
    <w:rsid w:val="00010FC8"/>
    <w:rsid w:val="00011901"/>
    <w:rsid w:val="00011B36"/>
    <w:rsid w:val="0001204D"/>
    <w:rsid w:val="000120C1"/>
    <w:rsid w:val="00012138"/>
    <w:rsid w:val="00012178"/>
    <w:rsid w:val="000125B0"/>
    <w:rsid w:val="000125ED"/>
    <w:rsid w:val="000126EC"/>
    <w:rsid w:val="0001335D"/>
    <w:rsid w:val="0001336C"/>
    <w:rsid w:val="000138C3"/>
    <w:rsid w:val="00013927"/>
    <w:rsid w:val="00013A7B"/>
    <w:rsid w:val="00014321"/>
    <w:rsid w:val="00014A56"/>
    <w:rsid w:val="00014A9B"/>
    <w:rsid w:val="00014BFC"/>
    <w:rsid w:val="00014FC2"/>
    <w:rsid w:val="00016586"/>
    <w:rsid w:val="00016D12"/>
    <w:rsid w:val="00016DF0"/>
    <w:rsid w:val="00016EB1"/>
    <w:rsid w:val="00017EE2"/>
    <w:rsid w:val="00020D17"/>
    <w:rsid w:val="000215AF"/>
    <w:rsid w:val="00021703"/>
    <w:rsid w:val="00021E28"/>
    <w:rsid w:val="00021F9C"/>
    <w:rsid w:val="00021FE5"/>
    <w:rsid w:val="0002275F"/>
    <w:rsid w:val="000227C3"/>
    <w:rsid w:val="0002292E"/>
    <w:rsid w:val="00023921"/>
    <w:rsid w:val="0002397E"/>
    <w:rsid w:val="000239E2"/>
    <w:rsid w:val="00023BAA"/>
    <w:rsid w:val="00023CF3"/>
    <w:rsid w:val="000240D2"/>
    <w:rsid w:val="000245DF"/>
    <w:rsid w:val="00024C1E"/>
    <w:rsid w:val="00025464"/>
    <w:rsid w:val="000258A3"/>
    <w:rsid w:val="00025D22"/>
    <w:rsid w:val="000260DA"/>
    <w:rsid w:val="000262FE"/>
    <w:rsid w:val="00026BEE"/>
    <w:rsid w:val="00026E15"/>
    <w:rsid w:val="00026E59"/>
    <w:rsid w:val="00027DCF"/>
    <w:rsid w:val="00030169"/>
    <w:rsid w:val="000306C9"/>
    <w:rsid w:val="00030A9E"/>
    <w:rsid w:val="00030B2B"/>
    <w:rsid w:val="00030F12"/>
    <w:rsid w:val="000310B7"/>
    <w:rsid w:val="000313D4"/>
    <w:rsid w:val="00031B76"/>
    <w:rsid w:val="00031DBA"/>
    <w:rsid w:val="000320CC"/>
    <w:rsid w:val="000323D6"/>
    <w:rsid w:val="0003267C"/>
    <w:rsid w:val="00032860"/>
    <w:rsid w:val="00033331"/>
    <w:rsid w:val="000333A9"/>
    <w:rsid w:val="00033626"/>
    <w:rsid w:val="000336D0"/>
    <w:rsid w:val="00033B67"/>
    <w:rsid w:val="00033BCA"/>
    <w:rsid w:val="00033E0D"/>
    <w:rsid w:val="00033F58"/>
    <w:rsid w:val="000349B8"/>
    <w:rsid w:val="00034AA5"/>
    <w:rsid w:val="00035670"/>
    <w:rsid w:val="00036504"/>
    <w:rsid w:val="00036BCE"/>
    <w:rsid w:val="00036E89"/>
    <w:rsid w:val="00036FB2"/>
    <w:rsid w:val="0003718B"/>
    <w:rsid w:val="00037291"/>
    <w:rsid w:val="00040AE1"/>
    <w:rsid w:val="000412E7"/>
    <w:rsid w:val="00041336"/>
    <w:rsid w:val="00041827"/>
    <w:rsid w:val="000418B1"/>
    <w:rsid w:val="00041AEC"/>
    <w:rsid w:val="00041CA5"/>
    <w:rsid w:val="00041FF7"/>
    <w:rsid w:val="000420AF"/>
    <w:rsid w:val="000422E7"/>
    <w:rsid w:val="00042390"/>
    <w:rsid w:val="00042AF8"/>
    <w:rsid w:val="0004375E"/>
    <w:rsid w:val="000438AF"/>
    <w:rsid w:val="00043E3D"/>
    <w:rsid w:val="0004410B"/>
    <w:rsid w:val="00044DB1"/>
    <w:rsid w:val="00044EEA"/>
    <w:rsid w:val="00045292"/>
    <w:rsid w:val="00045817"/>
    <w:rsid w:val="000459B9"/>
    <w:rsid w:val="000474C0"/>
    <w:rsid w:val="0004750B"/>
    <w:rsid w:val="00047AA6"/>
    <w:rsid w:val="000501DB"/>
    <w:rsid w:val="00050297"/>
    <w:rsid w:val="00050870"/>
    <w:rsid w:val="000508BE"/>
    <w:rsid w:val="000509A4"/>
    <w:rsid w:val="00051537"/>
    <w:rsid w:val="00051FC8"/>
    <w:rsid w:val="000522B4"/>
    <w:rsid w:val="00052B9B"/>
    <w:rsid w:val="00052F67"/>
    <w:rsid w:val="00054309"/>
    <w:rsid w:val="00054473"/>
    <w:rsid w:val="00054C3F"/>
    <w:rsid w:val="00055298"/>
    <w:rsid w:val="0005534F"/>
    <w:rsid w:val="00055858"/>
    <w:rsid w:val="000559DD"/>
    <w:rsid w:val="00055C1B"/>
    <w:rsid w:val="00055E59"/>
    <w:rsid w:val="00056314"/>
    <w:rsid w:val="00056B48"/>
    <w:rsid w:val="00060041"/>
    <w:rsid w:val="00060430"/>
    <w:rsid w:val="000606AE"/>
    <w:rsid w:val="00060E8A"/>
    <w:rsid w:val="00060F6A"/>
    <w:rsid w:val="00061013"/>
    <w:rsid w:val="0006110E"/>
    <w:rsid w:val="00061151"/>
    <w:rsid w:val="00061D18"/>
    <w:rsid w:val="0006234F"/>
    <w:rsid w:val="0006266E"/>
    <w:rsid w:val="000635DD"/>
    <w:rsid w:val="00063740"/>
    <w:rsid w:val="000637F0"/>
    <w:rsid w:val="00064151"/>
    <w:rsid w:val="000649D1"/>
    <w:rsid w:val="00064C51"/>
    <w:rsid w:val="00064F2D"/>
    <w:rsid w:val="00065790"/>
    <w:rsid w:val="00065799"/>
    <w:rsid w:val="00065855"/>
    <w:rsid w:val="0006587F"/>
    <w:rsid w:val="00065B3F"/>
    <w:rsid w:val="00065BC8"/>
    <w:rsid w:val="000661AD"/>
    <w:rsid w:val="000663B5"/>
    <w:rsid w:val="000664EE"/>
    <w:rsid w:val="000666C1"/>
    <w:rsid w:val="00066B8B"/>
    <w:rsid w:val="00066DE6"/>
    <w:rsid w:val="00067299"/>
    <w:rsid w:val="00067AA0"/>
    <w:rsid w:val="00067E14"/>
    <w:rsid w:val="0007013D"/>
    <w:rsid w:val="000701A3"/>
    <w:rsid w:val="000705BF"/>
    <w:rsid w:val="0007071C"/>
    <w:rsid w:val="000707FC"/>
    <w:rsid w:val="000708AB"/>
    <w:rsid w:val="0007097E"/>
    <w:rsid w:val="0007177C"/>
    <w:rsid w:val="00071B04"/>
    <w:rsid w:val="00071DE0"/>
    <w:rsid w:val="00071E6A"/>
    <w:rsid w:val="000720A9"/>
    <w:rsid w:val="000725C5"/>
    <w:rsid w:val="00072D53"/>
    <w:rsid w:val="00073276"/>
    <w:rsid w:val="00073EF6"/>
    <w:rsid w:val="0007465A"/>
    <w:rsid w:val="00075117"/>
    <w:rsid w:val="00075227"/>
    <w:rsid w:val="000758FD"/>
    <w:rsid w:val="000764C1"/>
    <w:rsid w:val="000764E5"/>
    <w:rsid w:val="00076647"/>
    <w:rsid w:val="000770A3"/>
    <w:rsid w:val="0007722C"/>
    <w:rsid w:val="00077E30"/>
    <w:rsid w:val="0008176D"/>
    <w:rsid w:val="000819EE"/>
    <w:rsid w:val="00081D15"/>
    <w:rsid w:val="000824C9"/>
    <w:rsid w:val="00082532"/>
    <w:rsid w:val="0008278E"/>
    <w:rsid w:val="00082CB1"/>
    <w:rsid w:val="000837FD"/>
    <w:rsid w:val="0008385F"/>
    <w:rsid w:val="00083C27"/>
    <w:rsid w:val="00083E71"/>
    <w:rsid w:val="000843C5"/>
    <w:rsid w:val="00084712"/>
    <w:rsid w:val="0008476A"/>
    <w:rsid w:val="0008496E"/>
    <w:rsid w:val="00084B1E"/>
    <w:rsid w:val="00084E7A"/>
    <w:rsid w:val="00084EAF"/>
    <w:rsid w:val="000862F0"/>
    <w:rsid w:val="00086620"/>
    <w:rsid w:val="0008670A"/>
    <w:rsid w:val="0008687B"/>
    <w:rsid w:val="0008687D"/>
    <w:rsid w:val="000868EB"/>
    <w:rsid w:val="0008691A"/>
    <w:rsid w:val="00087299"/>
    <w:rsid w:val="000875F4"/>
    <w:rsid w:val="0008789E"/>
    <w:rsid w:val="00087A9D"/>
    <w:rsid w:val="00087C70"/>
    <w:rsid w:val="00087D8B"/>
    <w:rsid w:val="0009037D"/>
    <w:rsid w:val="00090806"/>
    <w:rsid w:val="00090AB6"/>
    <w:rsid w:val="00090AC0"/>
    <w:rsid w:val="00090E84"/>
    <w:rsid w:val="00091138"/>
    <w:rsid w:val="00091B13"/>
    <w:rsid w:val="00091D1A"/>
    <w:rsid w:val="000920D4"/>
    <w:rsid w:val="0009223D"/>
    <w:rsid w:val="0009243D"/>
    <w:rsid w:val="00092A63"/>
    <w:rsid w:val="00092E55"/>
    <w:rsid w:val="00093474"/>
    <w:rsid w:val="00095282"/>
    <w:rsid w:val="00095D76"/>
    <w:rsid w:val="00096381"/>
    <w:rsid w:val="0009647D"/>
    <w:rsid w:val="0009718D"/>
    <w:rsid w:val="000971D5"/>
    <w:rsid w:val="00097CD2"/>
    <w:rsid w:val="00097DE9"/>
    <w:rsid w:val="00097E13"/>
    <w:rsid w:val="00097F25"/>
    <w:rsid w:val="000A0426"/>
    <w:rsid w:val="000A0759"/>
    <w:rsid w:val="000A0C25"/>
    <w:rsid w:val="000A0E49"/>
    <w:rsid w:val="000A0F99"/>
    <w:rsid w:val="000A1493"/>
    <w:rsid w:val="000A17F1"/>
    <w:rsid w:val="000A1ECB"/>
    <w:rsid w:val="000A22E7"/>
    <w:rsid w:val="000A2307"/>
    <w:rsid w:val="000A24A9"/>
    <w:rsid w:val="000A25D3"/>
    <w:rsid w:val="000A2A44"/>
    <w:rsid w:val="000A2A59"/>
    <w:rsid w:val="000A2B13"/>
    <w:rsid w:val="000A3CC6"/>
    <w:rsid w:val="000A3E25"/>
    <w:rsid w:val="000A3EA6"/>
    <w:rsid w:val="000A418C"/>
    <w:rsid w:val="000A4214"/>
    <w:rsid w:val="000A4A63"/>
    <w:rsid w:val="000A4AEA"/>
    <w:rsid w:val="000A5036"/>
    <w:rsid w:val="000A513D"/>
    <w:rsid w:val="000A61F6"/>
    <w:rsid w:val="000A6414"/>
    <w:rsid w:val="000A697E"/>
    <w:rsid w:val="000A6BC5"/>
    <w:rsid w:val="000A6F4B"/>
    <w:rsid w:val="000A71D5"/>
    <w:rsid w:val="000A7779"/>
    <w:rsid w:val="000A7977"/>
    <w:rsid w:val="000B044E"/>
    <w:rsid w:val="000B0B21"/>
    <w:rsid w:val="000B0E67"/>
    <w:rsid w:val="000B1E1B"/>
    <w:rsid w:val="000B22CE"/>
    <w:rsid w:val="000B2639"/>
    <w:rsid w:val="000B291E"/>
    <w:rsid w:val="000B2C00"/>
    <w:rsid w:val="000B2D06"/>
    <w:rsid w:val="000B36E6"/>
    <w:rsid w:val="000B3D32"/>
    <w:rsid w:val="000B43D0"/>
    <w:rsid w:val="000B4C8D"/>
    <w:rsid w:val="000B53DF"/>
    <w:rsid w:val="000B54FD"/>
    <w:rsid w:val="000B57D3"/>
    <w:rsid w:val="000B5A2F"/>
    <w:rsid w:val="000B60FF"/>
    <w:rsid w:val="000B6691"/>
    <w:rsid w:val="000B6816"/>
    <w:rsid w:val="000B68DF"/>
    <w:rsid w:val="000B6DB8"/>
    <w:rsid w:val="000B6FE9"/>
    <w:rsid w:val="000B780A"/>
    <w:rsid w:val="000B7B6D"/>
    <w:rsid w:val="000B7BAD"/>
    <w:rsid w:val="000B7ED9"/>
    <w:rsid w:val="000C01F8"/>
    <w:rsid w:val="000C034E"/>
    <w:rsid w:val="000C0D64"/>
    <w:rsid w:val="000C12D8"/>
    <w:rsid w:val="000C1776"/>
    <w:rsid w:val="000C22A6"/>
    <w:rsid w:val="000C25C2"/>
    <w:rsid w:val="000C2858"/>
    <w:rsid w:val="000C2CCC"/>
    <w:rsid w:val="000C2D86"/>
    <w:rsid w:val="000C35BA"/>
    <w:rsid w:val="000C3621"/>
    <w:rsid w:val="000C3C2A"/>
    <w:rsid w:val="000C3CC8"/>
    <w:rsid w:val="000C3E14"/>
    <w:rsid w:val="000C4EBF"/>
    <w:rsid w:val="000C5692"/>
    <w:rsid w:val="000C63E7"/>
    <w:rsid w:val="000C67D1"/>
    <w:rsid w:val="000C6A99"/>
    <w:rsid w:val="000C7A8F"/>
    <w:rsid w:val="000C7CD4"/>
    <w:rsid w:val="000D0228"/>
    <w:rsid w:val="000D065C"/>
    <w:rsid w:val="000D1677"/>
    <w:rsid w:val="000D2033"/>
    <w:rsid w:val="000D2036"/>
    <w:rsid w:val="000D2287"/>
    <w:rsid w:val="000D2993"/>
    <w:rsid w:val="000D2A5C"/>
    <w:rsid w:val="000D2B51"/>
    <w:rsid w:val="000D36A8"/>
    <w:rsid w:val="000D3898"/>
    <w:rsid w:val="000D3B49"/>
    <w:rsid w:val="000D40A6"/>
    <w:rsid w:val="000D479F"/>
    <w:rsid w:val="000D52E5"/>
    <w:rsid w:val="000D56DA"/>
    <w:rsid w:val="000D5BFA"/>
    <w:rsid w:val="000D6262"/>
    <w:rsid w:val="000D6425"/>
    <w:rsid w:val="000D64A0"/>
    <w:rsid w:val="000D66A0"/>
    <w:rsid w:val="000D68E3"/>
    <w:rsid w:val="000D6B0B"/>
    <w:rsid w:val="000D7150"/>
    <w:rsid w:val="000D7539"/>
    <w:rsid w:val="000D79FF"/>
    <w:rsid w:val="000E0114"/>
    <w:rsid w:val="000E04A0"/>
    <w:rsid w:val="000E0502"/>
    <w:rsid w:val="000E062B"/>
    <w:rsid w:val="000E0AED"/>
    <w:rsid w:val="000E0CB7"/>
    <w:rsid w:val="000E0DC9"/>
    <w:rsid w:val="000E1195"/>
    <w:rsid w:val="000E13FF"/>
    <w:rsid w:val="000E19A7"/>
    <w:rsid w:val="000E19FB"/>
    <w:rsid w:val="000E292B"/>
    <w:rsid w:val="000E2A6B"/>
    <w:rsid w:val="000E3396"/>
    <w:rsid w:val="000E3846"/>
    <w:rsid w:val="000E3DB0"/>
    <w:rsid w:val="000E3FA9"/>
    <w:rsid w:val="000E4231"/>
    <w:rsid w:val="000E4254"/>
    <w:rsid w:val="000E501F"/>
    <w:rsid w:val="000E52D0"/>
    <w:rsid w:val="000E5404"/>
    <w:rsid w:val="000E5722"/>
    <w:rsid w:val="000E5E44"/>
    <w:rsid w:val="000E612B"/>
    <w:rsid w:val="000E69DC"/>
    <w:rsid w:val="000E6C50"/>
    <w:rsid w:val="000E728D"/>
    <w:rsid w:val="000E75A6"/>
    <w:rsid w:val="000E7713"/>
    <w:rsid w:val="000E77AF"/>
    <w:rsid w:val="000E7C4E"/>
    <w:rsid w:val="000F08C1"/>
    <w:rsid w:val="000F0DDC"/>
    <w:rsid w:val="000F1340"/>
    <w:rsid w:val="000F196F"/>
    <w:rsid w:val="000F1AC7"/>
    <w:rsid w:val="000F2340"/>
    <w:rsid w:val="000F2AD1"/>
    <w:rsid w:val="000F2C94"/>
    <w:rsid w:val="000F2E98"/>
    <w:rsid w:val="000F37E5"/>
    <w:rsid w:val="000F4182"/>
    <w:rsid w:val="000F4BE6"/>
    <w:rsid w:val="000F4E36"/>
    <w:rsid w:val="000F50A2"/>
    <w:rsid w:val="000F5514"/>
    <w:rsid w:val="000F5A69"/>
    <w:rsid w:val="000F5F31"/>
    <w:rsid w:val="000F6C01"/>
    <w:rsid w:val="000F6EC7"/>
    <w:rsid w:val="000F7E07"/>
    <w:rsid w:val="00100561"/>
    <w:rsid w:val="00100577"/>
    <w:rsid w:val="0010094B"/>
    <w:rsid w:val="00100994"/>
    <w:rsid w:val="00101243"/>
    <w:rsid w:val="001014DF"/>
    <w:rsid w:val="00101773"/>
    <w:rsid w:val="00101875"/>
    <w:rsid w:val="00101A31"/>
    <w:rsid w:val="00101F76"/>
    <w:rsid w:val="00102149"/>
    <w:rsid w:val="001021C1"/>
    <w:rsid w:val="001022A9"/>
    <w:rsid w:val="00103620"/>
    <w:rsid w:val="001036AB"/>
    <w:rsid w:val="001038F9"/>
    <w:rsid w:val="00103FB7"/>
    <w:rsid w:val="001043AF"/>
    <w:rsid w:val="001043D6"/>
    <w:rsid w:val="001051A9"/>
    <w:rsid w:val="00105328"/>
    <w:rsid w:val="00105530"/>
    <w:rsid w:val="0010560D"/>
    <w:rsid w:val="001059D8"/>
    <w:rsid w:val="00105AA9"/>
    <w:rsid w:val="001060DB"/>
    <w:rsid w:val="0010620B"/>
    <w:rsid w:val="001067AF"/>
    <w:rsid w:val="00106BCB"/>
    <w:rsid w:val="00106FA2"/>
    <w:rsid w:val="00107193"/>
    <w:rsid w:val="00107276"/>
    <w:rsid w:val="00107455"/>
    <w:rsid w:val="00107F71"/>
    <w:rsid w:val="00107FD3"/>
    <w:rsid w:val="00110271"/>
    <w:rsid w:val="00110749"/>
    <w:rsid w:val="00110804"/>
    <w:rsid w:val="0011083C"/>
    <w:rsid w:val="00110B61"/>
    <w:rsid w:val="00110CD8"/>
    <w:rsid w:val="00110D4A"/>
    <w:rsid w:val="00110D81"/>
    <w:rsid w:val="00111CBC"/>
    <w:rsid w:val="00111F3B"/>
    <w:rsid w:val="00112857"/>
    <w:rsid w:val="001128A6"/>
    <w:rsid w:val="0011303E"/>
    <w:rsid w:val="001139A6"/>
    <w:rsid w:val="00113CB1"/>
    <w:rsid w:val="00113EA9"/>
    <w:rsid w:val="0011463F"/>
    <w:rsid w:val="001146D5"/>
    <w:rsid w:val="00114B25"/>
    <w:rsid w:val="00115DBC"/>
    <w:rsid w:val="00115E9D"/>
    <w:rsid w:val="00117B5F"/>
    <w:rsid w:val="0012017F"/>
    <w:rsid w:val="0012095F"/>
    <w:rsid w:val="00120FC0"/>
    <w:rsid w:val="00121025"/>
    <w:rsid w:val="0012177A"/>
    <w:rsid w:val="001217FC"/>
    <w:rsid w:val="00121A0E"/>
    <w:rsid w:val="00121C8A"/>
    <w:rsid w:val="001225CE"/>
    <w:rsid w:val="001227C1"/>
    <w:rsid w:val="00122FD1"/>
    <w:rsid w:val="001246A0"/>
    <w:rsid w:val="001252E2"/>
    <w:rsid w:val="001253BA"/>
    <w:rsid w:val="00125781"/>
    <w:rsid w:val="00125E7B"/>
    <w:rsid w:val="001266C6"/>
    <w:rsid w:val="00127629"/>
    <w:rsid w:val="0013000F"/>
    <w:rsid w:val="00130521"/>
    <w:rsid w:val="0013052B"/>
    <w:rsid w:val="001307C9"/>
    <w:rsid w:val="00130B1A"/>
    <w:rsid w:val="00130D2D"/>
    <w:rsid w:val="001311D3"/>
    <w:rsid w:val="001319B6"/>
    <w:rsid w:val="001321BE"/>
    <w:rsid w:val="001321CE"/>
    <w:rsid w:val="0013222C"/>
    <w:rsid w:val="00132679"/>
    <w:rsid w:val="0013331E"/>
    <w:rsid w:val="0013334C"/>
    <w:rsid w:val="00133433"/>
    <w:rsid w:val="00134EF4"/>
    <w:rsid w:val="00134F81"/>
    <w:rsid w:val="001351F8"/>
    <w:rsid w:val="001358F1"/>
    <w:rsid w:val="00136062"/>
    <w:rsid w:val="00136568"/>
    <w:rsid w:val="00137E05"/>
    <w:rsid w:val="00137E88"/>
    <w:rsid w:val="00137EF8"/>
    <w:rsid w:val="00140815"/>
    <w:rsid w:val="00140B2A"/>
    <w:rsid w:val="00141D36"/>
    <w:rsid w:val="00141D90"/>
    <w:rsid w:val="00142046"/>
    <w:rsid w:val="001426A2"/>
    <w:rsid w:val="00142CD9"/>
    <w:rsid w:val="00142EFF"/>
    <w:rsid w:val="001431EF"/>
    <w:rsid w:val="001431F5"/>
    <w:rsid w:val="00143279"/>
    <w:rsid w:val="00144051"/>
    <w:rsid w:val="001440CE"/>
    <w:rsid w:val="00144ADA"/>
    <w:rsid w:val="00144F91"/>
    <w:rsid w:val="0014590E"/>
    <w:rsid w:val="00145F94"/>
    <w:rsid w:val="00146020"/>
    <w:rsid w:val="0014683B"/>
    <w:rsid w:val="00146AE9"/>
    <w:rsid w:val="0014710A"/>
    <w:rsid w:val="001471D9"/>
    <w:rsid w:val="001475F9"/>
    <w:rsid w:val="0014771C"/>
    <w:rsid w:val="00147F4C"/>
    <w:rsid w:val="00150069"/>
    <w:rsid w:val="00150246"/>
    <w:rsid w:val="0015054D"/>
    <w:rsid w:val="00150838"/>
    <w:rsid w:val="001510A4"/>
    <w:rsid w:val="00151211"/>
    <w:rsid w:val="001514D4"/>
    <w:rsid w:val="00151517"/>
    <w:rsid w:val="00151EF8"/>
    <w:rsid w:val="00152829"/>
    <w:rsid w:val="00152B61"/>
    <w:rsid w:val="00152E60"/>
    <w:rsid w:val="00153423"/>
    <w:rsid w:val="001539E8"/>
    <w:rsid w:val="00153B3E"/>
    <w:rsid w:val="00153C9E"/>
    <w:rsid w:val="00154262"/>
    <w:rsid w:val="00154544"/>
    <w:rsid w:val="00154BFB"/>
    <w:rsid w:val="001551AB"/>
    <w:rsid w:val="00155214"/>
    <w:rsid w:val="00155A3B"/>
    <w:rsid w:val="001560DF"/>
    <w:rsid w:val="00156454"/>
    <w:rsid w:val="00156C48"/>
    <w:rsid w:val="00156C8C"/>
    <w:rsid w:val="001570F6"/>
    <w:rsid w:val="00157339"/>
    <w:rsid w:val="0015746A"/>
    <w:rsid w:val="0015779A"/>
    <w:rsid w:val="00160000"/>
    <w:rsid w:val="00160723"/>
    <w:rsid w:val="0016080B"/>
    <w:rsid w:val="00160A62"/>
    <w:rsid w:val="00160B42"/>
    <w:rsid w:val="00160C19"/>
    <w:rsid w:val="00160C9A"/>
    <w:rsid w:val="0016176A"/>
    <w:rsid w:val="001619A0"/>
    <w:rsid w:val="001619EA"/>
    <w:rsid w:val="00161CBD"/>
    <w:rsid w:val="001628C3"/>
    <w:rsid w:val="00162A6C"/>
    <w:rsid w:val="00163050"/>
    <w:rsid w:val="00163251"/>
    <w:rsid w:val="00163684"/>
    <w:rsid w:val="0016404C"/>
    <w:rsid w:val="001643F1"/>
    <w:rsid w:val="00164C02"/>
    <w:rsid w:val="00164F2F"/>
    <w:rsid w:val="00165182"/>
    <w:rsid w:val="001653AD"/>
    <w:rsid w:val="00165D55"/>
    <w:rsid w:val="001662A0"/>
    <w:rsid w:val="001666E1"/>
    <w:rsid w:val="00166D97"/>
    <w:rsid w:val="00167514"/>
    <w:rsid w:val="00167EF5"/>
    <w:rsid w:val="001700A2"/>
    <w:rsid w:val="001700CC"/>
    <w:rsid w:val="001700DF"/>
    <w:rsid w:val="0017062F"/>
    <w:rsid w:val="0017066F"/>
    <w:rsid w:val="00170AE9"/>
    <w:rsid w:val="0017116B"/>
    <w:rsid w:val="00171805"/>
    <w:rsid w:val="00171B7F"/>
    <w:rsid w:val="00172126"/>
    <w:rsid w:val="001725E0"/>
    <w:rsid w:val="001726D2"/>
    <w:rsid w:val="00172A27"/>
    <w:rsid w:val="00172B3A"/>
    <w:rsid w:val="00173607"/>
    <w:rsid w:val="00173C22"/>
    <w:rsid w:val="001744B5"/>
    <w:rsid w:val="00174816"/>
    <w:rsid w:val="0017559F"/>
    <w:rsid w:val="00175611"/>
    <w:rsid w:val="0017643F"/>
    <w:rsid w:val="001765B9"/>
    <w:rsid w:val="00176642"/>
    <w:rsid w:val="001768E3"/>
    <w:rsid w:val="00176B70"/>
    <w:rsid w:val="00176EB4"/>
    <w:rsid w:val="00176FA0"/>
    <w:rsid w:val="0017712F"/>
    <w:rsid w:val="001772DF"/>
    <w:rsid w:val="0017735D"/>
    <w:rsid w:val="001774BF"/>
    <w:rsid w:val="00177B0A"/>
    <w:rsid w:val="00177BCF"/>
    <w:rsid w:val="00177D37"/>
    <w:rsid w:val="001806B0"/>
    <w:rsid w:val="00180EBD"/>
    <w:rsid w:val="0018198E"/>
    <w:rsid w:val="00181BD4"/>
    <w:rsid w:val="001826E4"/>
    <w:rsid w:val="00182EA1"/>
    <w:rsid w:val="00182F13"/>
    <w:rsid w:val="00183056"/>
    <w:rsid w:val="0018306D"/>
    <w:rsid w:val="00183332"/>
    <w:rsid w:val="00184434"/>
    <w:rsid w:val="001849E9"/>
    <w:rsid w:val="00185373"/>
    <w:rsid w:val="00185792"/>
    <w:rsid w:val="00185FDA"/>
    <w:rsid w:val="00186471"/>
    <w:rsid w:val="00186636"/>
    <w:rsid w:val="001867FC"/>
    <w:rsid w:val="001868C3"/>
    <w:rsid w:val="00186939"/>
    <w:rsid w:val="001876A8"/>
    <w:rsid w:val="00190936"/>
    <w:rsid w:val="00190E17"/>
    <w:rsid w:val="001914B2"/>
    <w:rsid w:val="00192411"/>
    <w:rsid w:val="001926DD"/>
    <w:rsid w:val="00192DD6"/>
    <w:rsid w:val="001930E5"/>
    <w:rsid w:val="00193499"/>
    <w:rsid w:val="001936DF"/>
    <w:rsid w:val="001941E3"/>
    <w:rsid w:val="0019432F"/>
    <w:rsid w:val="001949DD"/>
    <w:rsid w:val="00194B41"/>
    <w:rsid w:val="00194D7A"/>
    <w:rsid w:val="0019577A"/>
    <w:rsid w:val="001958A5"/>
    <w:rsid w:val="00195DCE"/>
    <w:rsid w:val="00196406"/>
    <w:rsid w:val="00196934"/>
    <w:rsid w:val="001969AC"/>
    <w:rsid w:val="00197044"/>
    <w:rsid w:val="00197444"/>
    <w:rsid w:val="001978D8"/>
    <w:rsid w:val="00197DB0"/>
    <w:rsid w:val="00197ED5"/>
    <w:rsid w:val="001A029F"/>
    <w:rsid w:val="001A281E"/>
    <w:rsid w:val="001A2C52"/>
    <w:rsid w:val="001A3586"/>
    <w:rsid w:val="001A37F7"/>
    <w:rsid w:val="001A3996"/>
    <w:rsid w:val="001A3D63"/>
    <w:rsid w:val="001A3FA1"/>
    <w:rsid w:val="001A401D"/>
    <w:rsid w:val="001A465E"/>
    <w:rsid w:val="001A492B"/>
    <w:rsid w:val="001A4B83"/>
    <w:rsid w:val="001A4E6C"/>
    <w:rsid w:val="001A54BC"/>
    <w:rsid w:val="001A5507"/>
    <w:rsid w:val="001A5A3E"/>
    <w:rsid w:val="001A5CE1"/>
    <w:rsid w:val="001A5F36"/>
    <w:rsid w:val="001A5F65"/>
    <w:rsid w:val="001A5FC9"/>
    <w:rsid w:val="001A6570"/>
    <w:rsid w:val="001A6A07"/>
    <w:rsid w:val="001A6FB5"/>
    <w:rsid w:val="001B0053"/>
    <w:rsid w:val="001B057E"/>
    <w:rsid w:val="001B062C"/>
    <w:rsid w:val="001B091B"/>
    <w:rsid w:val="001B1464"/>
    <w:rsid w:val="001B210F"/>
    <w:rsid w:val="001B26AE"/>
    <w:rsid w:val="001B3516"/>
    <w:rsid w:val="001B3584"/>
    <w:rsid w:val="001B3A27"/>
    <w:rsid w:val="001B3B45"/>
    <w:rsid w:val="001B3DFA"/>
    <w:rsid w:val="001B4213"/>
    <w:rsid w:val="001B46B7"/>
    <w:rsid w:val="001B48F2"/>
    <w:rsid w:val="001B4942"/>
    <w:rsid w:val="001B4AED"/>
    <w:rsid w:val="001B5316"/>
    <w:rsid w:val="001B5516"/>
    <w:rsid w:val="001B5A8E"/>
    <w:rsid w:val="001B5FE7"/>
    <w:rsid w:val="001B6829"/>
    <w:rsid w:val="001B7368"/>
    <w:rsid w:val="001C00F8"/>
    <w:rsid w:val="001C058B"/>
    <w:rsid w:val="001C074D"/>
    <w:rsid w:val="001C0785"/>
    <w:rsid w:val="001C07E0"/>
    <w:rsid w:val="001C13A9"/>
    <w:rsid w:val="001C1D86"/>
    <w:rsid w:val="001C264F"/>
    <w:rsid w:val="001C2F27"/>
    <w:rsid w:val="001C3676"/>
    <w:rsid w:val="001C36CA"/>
    <w:rsid w:val="001C3746"/>
    <w:rsid w:val="001C3F12"/>
    <w:rsid w:val="001C40A7"/>
    <w:rsid w:val="001C4695"/>
    <w:rsid w:val="001C476F"/>
    <w:rsid w:val="001C4B7C"/>
    <w:rsid w:val="001C4FD6"/>
    <w:rsid w:val="001C51EB"/>
    <w:rsid w:val="001C541F"/>
    <w:rsid w:val="001C571C"/>
    <w:rsid w:val="001C5BBA"/>
    <w:rsid w:val="001C60D2"/>
    <w:rsid w:val="001C6723"/>
    <w:rsid w:val="001C74FA"/>
    <w:rsid w:val="001D091B"/>
    <w:rsid w:val="001D0AF1"/>
    <w:rsid w:val="001D0AF4"/>
    <w:rsid w:val="001D0BC8"/>
    <w:rsid w:val="001D118C"/>
    <w:rsid w:val="001D11BB"/>
    <w:rsid w:val="001D1210"/>
    <w:rsid w:val="001D16AF"/>
    <w:rsid w:val="001D1957"/>
    <w:rsid w:val="001D2688"/>
    <w:rsid w:val="001D2C1A"/>
    <w:rsid w:val="001D34A6"/>
    <w:rsid w:val="001D35AC"/>
    <w:rsid w:val="001D3C40"/>
    <w:rsid w:val="001D491F"/>
    <w:rsid w:val="001D5261"/>
    <w:rsid w:val="001D526C"/>
    <w:rsid w:val="001D5527"/>
    <w:rsid w:val="001D585E"/>
    <w:rsid w:val="001D59FA"/>
    <w:rsid w:val="001D5E09"/>
    <w:rsid w:val="001D5FE4"/>
    <w:rsid w:val="001D6E00"/>
    <w:rsid w:val="001D72E8"/>
    <w:rsid w:val="001D7421"/>
    <w:rsid w:val="001D777E"/>
    <w:rsid w:val="001E076F"/>
    <w:rsid w:val="001E1120"/>
    <w:rsid w:val="001E1DF3"/>
    <w:rsid w:val="001E2232"/>
    <w:rsid w:val="001E27B9"/>
    <w:rsid w:val="001E2D3B"/>
    <w:rsid w:val="001E2FB3"/>
    <w:rsid w:val="001E38F1"/>
    <w:rsid w:val="001E3DC0"/>
    <w:rsid w:val="001E4E51"/>
    <w:rsid w:val="001E4E61"/>
    <w:rsid w:val="001E5037"/>
    <w:rsid w:val="001E5246"/>
    <w:rsid w:val="001E53EC"/>
    <w:rsid w:val="001E562F"/>
    <w:rsid w:val="001E57DD"/>
    <w:rsid w:val="001E5D61"/>
    <w:rsid w:val="001E5E35"/>
    <w:rsid w:val="001E610D"/>
    <w:rsid w:val="001E6437"/>
    <w:rsid w:val="001E651E"/>
    <w:rsid w:val="001E682D"/>
    <w:rsid w:val="001E6834"/>
    <w:rsid w:val="001E6918"/>
    <w:rsid w:val="001E7362"/>
    <w:rsid w:val="001E7861"/>
    <w:rsid w:val="001E7863"/>
    <w:rsid w:val="001E7AD2"/>
    <w:rsid w:val="001E7DD1"/>
    <w:rsid w:val="001F1476"/>
    <w:rsid w:val="001F1648"/>
    <w:rsid w:val="001F165D"/>
    <w:rsid w:val="001F1759"/>
    <w:rsid w:val="001F177F"/>
    <w:rsid w:val="001F1B0D"/>
    <w:rsid w:val="001F1C50"/>
    <w:rsid w:val="001F1D49"/>
    <w:rsid w:val="001F21E9"/>
    <w:rsid w:val="001F242E"/>
    <w:rsid w:val="001F2780"/>
    <w:rsid w:val="001F34AA"/>
    <w:rsid w:val="001F373C"/>
    <w:rsid w:val="001F3E56"/>
    <w:rsid w:val="001F3F2A"/>
    <w:rsid w:val="001F42EA"/>
    <w:rsid w:val="001F5079"/>
    <w:rsid w:val="001F5586"/>
    <w:rsid w:val="001F574F"/>
    <w:rsid w:val="001F5868"/>
    <w:rsid w:val="001F5B3A"/>
    <w:rsid w:val="001F6921"/>
    <w:rsid w:val="001F7126"/>
    <w:rsid w:val="001F75F3"/>
    <w:rsid w:val="001F761D"/>
    <w:rsid w:val="001F7ADF"/>
    <w:rsid w:val="002004A1"/>
    <w:rsid w:val="00200528"/>
    <w:rsid w:val="00200C3A"/>
    <w:rsid w:val="0020148B"/>
    <w:rsid w:val="00202973"/>
    <w:rsid w:val="00202F3B"/>
    <w:rsid w:val="00203302"/>
    <w:rsid w:val="0020361F"/>
    <w:rsid w:val="00203763"/>
    <w:rsid w:val="00203F29"/>
    <w:rsid w:val="002041E4"/>
    <w:rsid w:val="00204843"/>
    <w:rsid w:val="00204AEF"/>
    <w:rsid w:val="0020537B"/>
    <w:rsid w:val="0020538D"/>
    <w:rsid w:val="00205A41"/>
    <w:rsid w:val="00205F4F"/>
    <w:rsid w:val="0020627B"/>
    <w:rsid w:val="002066A7"/>
    <w:rsid w:val="00206FE7"/>
    <w:rsid w:val="00207026"/>
    <w:rsid w:val="00207653"/>
    <w:rsid w:val="00207BB0"/>
    <w:rsid w:val="00210226"/>
    <w:rsid w:val="0021052E"/>
    <w:rsid w:val="0021068C"/>
    <w:rsid w:val="00211399"/>
    <w:rsid w:val="00211577"/>
    <w:rsid w:val="00211D46"/>
    <w:rsid w:val="00211FAA"/>
    <w:rsid w:val="00212776"/>
    <w:rsid w:val="00212C43"/>
    <w:rsid w:val="00212C69"/>
    <w:rsid w:val="00213430"/>
    <w:rsid w:val="0021358B"/>
    <w:rsid w:val="00213591"/>
    <w:rsid w:val="00213ADE"/>
    <w:rsid w:val="00213BF3"/>
    <w:rsid w:val="00213DF6"/>
    <w:rsid w:val="00214574"/>
    <w:rsid w:val="002147ED"/>
    <w:rsid w:val="00214AD3"/>
    <w:rsid w:val="00214E5F"/>
    <w:rsid w:val="00215034"/>
    <w:rsid w:val="00215AA5"/>
    <w:rsid w:val="00215CE9"/>
    <w:rsid w:val="002160D2"/>
    <w:rsid w:val="00216520"/>
    <w:rsid w:val="0021685F"/>
    <w:rsid w:val="00216BA9"/>
    <w:rsid w:val="00216BD4"/>
    <w:rsid w:val="002170D1"/>
    <w:rsid w:val="00217147"/>
    <w:rsid w:val="0021756E"/>
    <w:rsid w:val="00217F19"/>
    <w:rsid w:val="002200F6"/>
    <w:rsid w:val="00220185"/>
    <w:rsid w:val="00220701"/>
    <w:rsid w:val="002212D2"/>
    <w:rsid w:val="00221D75"/>
    <w:rsid w:val="00223D63"/>
    <w:rsid w:val="00224544"/>
    <w:rsid w:val="002247BC"/>
    <w:rsid w:val="002250B3"/>
    <w:rsid w:val="002256C6"/>
    <w:rsid w:val="002258C1"/>
    <w:rsid w:val="00225A30"/>
    <w:rsid w:val="00225AD2"/>
    <w:rsid w:val="00227217"/>
    <w:rsid w:val="002278CA"/>
    <w:rsid w:val="00227B4F"/>
    <w:rsid w:val="00227BF8"/>
    <w:rsid w:val="00227DC5"/>
    <w:rsid w:val="00227EED"/>
    <w:rsid w:val="00230C8D"/>
    <w:rsid w:val="00230D2F"/>
    <w:rsid w:val="00230FA5"/>
    <w:rsid w:val="00231CF1"/>
    <w:rsid w:val="00231ED1"/>
    <w:rsid w:val="00232575"/>
    <w:rsid w:val="00232825"/>
    <w:rsid w:val="00233DA4"/>
    <w:rsid w:val="00233DDD"/>
    <w:rsid w:val="00234296"/>
    <w:rsid w:val="00234AF4"/>
    <w:rsid w:val="00234C1E"/>
    <w:rsid w:val="00234DCE"/>
    <w:rsid w:val="0023602D"/>
    <w:rsid w:val="00236073"/>
    <w:rsid w:val="0023699C"/>
    <w:rsid w:val="00236E27"/>
    <w:rsid w:val="0023740F"/>
    <w:rsid w:val="002376E8"/>
    <w:rsid w:val="0023776F"/>
    <w:rsid w:val="00237885"/>
    <w:rsid w:val="002379DF"/>
    <w:rsid w:val="00237B1A"/>
    <w:rsid w:val="00237FE4"/>
    <w:rsid w:val="002403A1"/>
    <w:rsid w:val="0024057A"/>
    <w:rsid w:val="00240702"/>
    <w:rsid w:val="0024084E"/>
    <w:rsid w:val="00240F44"/>
    <w:rsid w:val="002410A2"/>
    <w:rsid w:val="002411EB"/>
    <w:rsid w:val="002416AE"/>
    <w:rsid w:val="002419BE"/>
    <w:rsid w:val="00241DB7"/>
    <w:rsid w:val="0024368B"/>
    <w:rsid w:val="00243DFC"/>
    <w:rsid w:val="00243E04"/>
    <w:rsid w:val="002440D6"/>
    <w:rsid w:val="00244208"/>
    <w:rsid w:val="00244F3D"/>
    <w:rsid w:val="00244F6C"/>
    <w:rsid w:val="00245368"/>
    <w:rsid w:val="0024555A"/>
    <w:rsid w:val="00245993"/>
    <w:rsid w:val="00245F26"/>
    <w:rsid w:val="00245F98"/>
    <w:rsid w:val="00246639"/>
    <w:rsid w:val="002473BD"/>
    <w:rsid w:val="00247416"/>
    <w:rsid w:val="00247809"/>
    <w:rsid w:val="0024793C"/>
    <w:rsid w:val="00247B33"/>
    <w:rsid w:val="00247F18"/>
    <w:rsid w:val="0025057A"/>
    <w:rsid w:val="002509A1"/>
    <w:rsid w:val="00251546"/>
    <w:rsid w:val="002519CF"/>
    <w:rsid w:val="00251E33"/>
    <w:rsid w:val="00251E92"/>
    <w:rsid w:val="00252428"/>
    <w:rsid w:val="00252917"/>
    <w:rsid w:val="00253364"/>
    <w:rsid w:val="002535FE"/>
    <w:rsid w:val="00253726"/>
    <w:rsid w:val="002540A7"/>
    <w:rsid w:val="0025461C"/>
    <w:rsid w:val="00254ECE"/>
    <w:rsid w:val="00254F1E"/>
    <w:rsid w:val="00254F20"/>
    <w:rsid w:val="00255114"/>
    <w:rsid w:val="00255947"/>
    <w:rsid w:val="00255A3C"/>
    <w:rsid w:val="00256499"/>
    <w:rsid w:val="002568AE"/>
    <w:rsid w:val="00256907"/>
    <w:rsid w:val="00256F7C"/>
    <w:rsid w:val="00257192"/>
    <w:rsid w:val="0025759B"/>
    <w:rsid w:val="002575C3"/>
    <w:rsid w:val="0026030D"/>
    <w:rsid w:val="002603D8"/>
    <w:rsid w:val="00260417"/>
    <w:rsid w:val="002604FC"/>
    <w:rsid w:val="00260552"/>
    <w:rsid w:val="00261175"/>
    <w:rsid w:val="00261869"/>
    <w:rsid w:val="00261A33"/>
    <w:rsid w:val="00261BD4"/>
    <w:rsid w:val="0026231A"/>
    <w:rsid w:val="0026238E"/>
    <w:rsid w:val="00262396"/>
    <w:rsid w:val="002623A1"/>
    <w:rsid w:val="0026257C"/>
    <w:rsid w:val="002625A9"/>
    <w:rsid w:val="0026261D"/>
    <w:rsid w:val="00262740"/>
    <w:rsid w:val="00262DE3"/>
    <w:rsid w:val="00262FD8"/>
    <w:rsid w:val="00263111"/>
    <w:rsid w:val="002632DC"/>
    <w:rsid w:val="0026359D"/>
    <w:rsid w:val="00263F0F"/>
    <w:rsid w:val="002643CA"/>
    <w:rsid w:val="00264A1D"/>
    <w:rsid w:val="00264AE8"/>
    <w:rsid w:val="0026555E"/>
    <w:rsid w:val="00265BC8"/>
    <w:rsid w:val="00265E1E"/>
    <w:rsid w:val="0026637F"/>
    <w:rsid w:val="0026651C"/>
    <w:rsid w:val="00266914"/>
    <w:rsid w:val="002679D4"/>
    <w:rsid w:val="00267BEB"/>
    <w:rsid w:val="00267ED6"/>
    <w:rsid w:val="002700C1"/>
    <w:rsid w:val="00270196"/>
    <w:rsid w:val="002704E1"/>
    <w:rsid w:val="00270F58"/>
    <w:rsid w:val="00271D41"/>
    <w:rsid w:val="00271DBD"/>
    <w:rsid w:val="00271E50"/>
    <w:rsid w:val="00272073"/>
    <w:rsid w:val="00272287"/>
    <w:rsid w:val="00272FA5"/>
    <w:rsid w:val="002734B0"/>
    <w:rsid w:val="0027393F"/>
    <w:rsid w:val="002739A8"/>
    <w:rsid w:val="002740E8"/>
    <w:rsid w:val="00274155"/>
    <w:rsid w:val="002745AC"/>
    <w:rsid w:val="00274A56"/>
    <w:rsid w:val="002750E8"/>
    <w:rsid w:val="002756ED"/>
    <w:rsid w:val="002764AD"/>
    <w:rsid w:val="00276B0E"/>
    <w:rsid w:val="00276B26"/>
    <w:rsid w:val="00276DA5"/>
    <w:rsid w:val="00276F26"/>
    <w:rsid w:val="002776EA"/>
    <w:rsid w:val="002777F9"/>
    <w:rsid w:val="002779B3"/>
    <w:rsid w:val="00277AB2"/>
    <w:rsid w:val="00277D51"/>
    <w:rsid w:val="002807FD"/>
    <w:rsid w:val="00280A79"/>
    <w:rsid w:val="00280ED3"/>
    <w:rsid w:val="00280EEF"/>
    <w:rsid w:val="002811E9"/>
    <w:rsid w:val="0028162B"/>
    <w:rsid w:val="00281947"/>
    <w:rsid w:val="002820AA"/>
    <w:rsid w:val="00282ABE"/>
    <w:rsid w:val="00282B79"/>
    <w:rsid w:val="00282C23"/>
    <w:rsid w:val="00283049"/>
    <w:rsid w:val="00284AA9"/>
    <w:rsid w:val="00284E37"/>
    <w:rsid w:val="00284FC0"/>
    <w:rsid w:val="002855A4"/>
    <w:rsid w:val="00285CAE"/>
    <w:rsid w:val="00286116"/>
    <w:rsid w:val="00286E59"/>
    <w:rsid w:val="002872FD"/>
    <w:rsid w:val="00287861"/>
    <w:rsid w:val="002879D3"/>
    <w:rsid w:val="00287C81"/>
    <w:rsid w:val="00290D2A"/>
    <w:rsid w:val="00291117"/>
    <w:rsid w:val="002911FC"/>
    <w:rsid w:val="002913BA"/>
    <w:rsid w:val="002915AD"/>
    <w:rsid w:val="002917E8"/>
    <w:rsid w:val="00291A2D"/>
    <w:rsid w:val="00291AC4"/>
    <w:rsid w:val="00291B47"/>
    <w:rsid w:val="00291E70"/>
    <w:rsid w:val="0029254C"/>
    <w:rsid w:val="002927AC"/>
    <w:rsid w:val="002928C2"/>
    <w:rsid w:val="00292B24"/>
    <w:rsid w:val="00293147"/>
    <w:rsid w:val="002933BF"/>
    <w:rsid w:val="0029351F"/>
    <w:rsid w:val="002937C0"/>
    <w:rsid w:val="00293880"/>
    <w:rsid w:val="00293F16"/>
    <w:rsid w:val="002943EB"/>
    <w:rsid w:val="00294CEF"/>
    <w:rsid w:val="00295251"/>
    <w:rsid w:val="00295B57"/>
    <w:rsid w:val="00295C16"/>
    <w:rsid w:val="00295EDC"/>
    <w:rsid w:val="0029608F"/>
    <w:rsid w:val="00296697"/>
    <w:rsid w:val="00296907"/>
    <w:rsid w:val="002979AD"/>
    <w:rsid w:val="002979B6"/>
    <w:rsid w:val="00297ABA"/>
    <w:rsid w:val="002A0397"/>
    <w:rsid w:val="002A1058"/>
    <w:rsid w:val="002A15A4"/>
    <w:rsid w:val="002A1C31"/>
    <w:rsid w:val="002A1CD0"/>
    <w:rsid w:val="002A1EF3"/>
    <w:rsid w:val="002A1F76"/>
    <w:rsid w:val="002A221A"/>
    <w:rsid w:val="002A2352"/>
    <w:rsid w:val="002A24CD"/>
    <w:rsid w:val="002A2620"/>
    <w:rsid w:val="002A2880"/>
    <w:rsid w:val="002A2883"/>
    <w:rsid w:val="002A2B03"/>
    <w:rsid w:val="002A2D79"/>
    <w:rsid w:val="002A32A7"/>
    <w:rsid w:val="002A374D"/>
    <w:rsid w:val="002A4C88"/>
    <w:rsid w:val="002A5173"/>
    <w:rsid w:val="002A51AD"/>
    <w:rsid w:val="002A5307"/>
    <w:rsid w:val="002A5679"/>
    <w:rsid w:val="002A56E1"/>
    <w:rsid w:val="002A5BD8"/>
    <w:rsid w:val="002A5DFC"/>
    <w:rsid w:val="002A5E58"/>
    <w:rsid w:val="002A5EE7"/>
    <w:rsid w:val="002A64E9"/>
    <w:rsid w:val="002A725D"/>
    <w:rsid w:val="002A72E5"/>
    <w:rsid w:val="002A75CE"/>
    <w:rsid w:val="002A77B1"/>
    <w:rsid w:val="002B062A"/>
    <w:rsid w:val="002B0A17"/>
    <w:rsid w:val="002B0C23"/>
    <w:rsid w:val="002B0F8D"/>
    <w:rsid w:val="002B1359"/>
    <w:rsid w:val="002B17EF"/>
    <w:rsid w:val="002B1E20"/>
    <w:rsid w:val="002B2491"/>
    <w:rsid w:val="002B2C1F"/>
    <w:rsid w:val="002B2FD3"/>
    <w:rsid w:val="002B3026"/>
    <w:rsid w:val="002B31D1"/>
    <w:rsid w:val="002B3605"/>
    <w:rsid w:val="002B3777"/>
    <w:rsid w:val="002B386B"/>
    <w:rsid w:val="002B4EFC"/>
    <w:rsid w:val="002B51EB"/>
    <w:rsid w:val="002B5272"/>
    <w:rsid w:val="002B5BA8"/>
    <w:rsid w:val="002B62A0"/>
    <w:rsid w:val="002B73C8"/>
    <w:rsid w:val="002B7FAA"/>
    <w:rsid w:val="002C0382"/>
    <w:rsid w:val="002C04C7"/>
    <w:rsid w:val="002C0578"/>
    <w:rsid w:val="002C06B3"/>
    <w:rsid w:val="002C0D7A"/>
    <w:rsid w:val="002C1592"/>
    <w:rsid w:val="002C1780"/>
    <w:rsid w:val="002C1961"/>
    <w:rsid w:val="002C209A"/>
    <w:rsid w:val="002C223D"/>
    <w:rsid w:val="002C2431"/>
    <w:rsid w:val="002C24AA"/>
    <w:rsid w:val="002C28E7"/>
    <w:rsid w:val="002C2E09"/>
    <w:rsid w:val="002C2FAA"/>
    <w:rsid w:val="002C3268"/>
    <w:rsid w:val="002C3317"/>
    <w:rsid w:val="002C3568"/>
    <w:rsid w:val="002C39BF"/>
    <w:rsid w:val="002C45AF"/>
    <w:rsid w:val="002C4B71"/>
    <w:rsid w:val="002C4C6B"/>
    <w:rsid w:val="002C4D82"/>
    <w:rsid w:val="002C4DC8"/>
    <w:rsid w:val="002C4F18"/>
    <w:rsid w:val="002C4F1F"/>
    <w:rsid w:val="002C5141"/>
    <w:rsid w:val="002C562C"/>
    <w:rsid w:val="002C605B"/>
    <w:rsid w:val="002C6460"/>
    <w:rsid w:val="002C77E2"/>
    <w:rsid w:val="002C7A30"/>
    <w:rsid w:val="002C7A95"/>
    <w:rsid w:val="002D01A8"/>
    <w:rsid w:val="002D01A9"/>
    <w:rsid w:val="002D0400"/>
    <w:rsid w:val="002D06AF"/>
    <w:rsid w:val="002D0BF4"/>
    <w:rsid w:val="002D0D7C"/>
    <w:rsid w:val="002D0DB6"/>
    <w:rsid w:val="002D0E18"/>
    <w:rsid w:val="002D0FF7"/>
    <w:rsid w:val="002D12D5"/>
    <w:rsid w:val="002D1C37"/>
    <w:rsid w:val="002D20DD"/>
    <w:rsid w:val="002D23C0"/>
    <w:rsid w:val="002D2992"/>
    <w:rsid w:val="002D2D7C"/>
    <w:rsid w:val="002D3AB3"/>
    <w:rsid w:val="002D3FE0"/>
    <w:rsid w:val="002D4210"/>
    <w:rsid w:val="002D44A6"/>
    <w:rsid w:val="002D4911"/>
    <w:rsid w:val="002D5818"/>
    <w:rsid w:val="002D5A4B"/>
    <w:rsid w:val="002D66A3"/>
    <w:rsid w:val="002D6B3A"/>
    <w:rsid w:val="002D71AF"/>
    <w:rsid w:val="002D722F"/>
    <w:rsid w:val="002D7A1B"/>
    <w:rsid w:val="002D7C6C"/>
    <w:rsid w:val="002E0088"/>
    <w:rsid w:val="002E034A"/>
    <w:rsid w:val="002E0B38"/>
    <w:rsid w:val="002E143B"/>
    <w:rsid w:val="002E1557"/>
    <w:rsid w:val="002E1D79"/>
    <w:rsid w:val="002E1FB0"/>
    <w:rsid w:val="002E1FFA"/>
    <w:rsid w:val="002E2463"/>
    <w:rsid w:val="002E283B"/>
    <w:rsid w:val="002E2BC2"/>
    <w:rsid w:val="002E2EF6"/>
    <w:rsid w:val="002E3030"/>
    <w:rsid w:val="002E353D"/>
    <w:rsid w:val="002E3B51"/>
    <w:rsid w:val="002E47E0"/>
    <w:rsid w:val="002E4B41"/>
    <w:rsid w:val="002E4D18"/>
    <w:rsid w:val="002E50DB"/>
    <w:rsid w:val="002E5D80"/>
    <w:rsid w:val="002E5D87"/>
    <w:rsid w:val="002E6223"/>
    <w:rsid w:val="002E6441"/>
    <w:rsid w:val="002E64E4"/>
    <w:rsid w:val="002E720C"/>
    <w:rsid w:val="002E732A"/>
    <w:rsid w:val="002E76A1"/>
    <w:rsid w:val="002E7A53"/>
    <w:rsid w:val="002E7D61"/>
    <w:rsid w:val="002E7DEF"/>
    <w:rsid w:val="002F02A6"/>
    <w:rsid w:val="002F032A"/>
    <w:rsid w:val="002F0629"/>
    <w:rsid w:val="002F06D3"/>
    <w:rsid w:val="002F0D3B"/>
    <w:rsid w:val="002F12BF"/>
    <w:rsid w:val="002F163F"/>
    <w:rsid w:val="002F1FBC"/>
    <w:rsid w:val="002F2211"/>
    <w:rsid w:val="002F26B9"/>
    <w:rsid w:val="002F2C2E"/>
    <w:rsid w:val="002F2EA8"/>
    <w:rsid w:val="002F34DE"/>
    <w:rsid w:val="002F378C"/>
    <w:rsid w:val="002F3EAA"/>
    <w:rsid w:val="002F3ED9"/>
    <w:rsid w:val="002F4D59"/>
    <w:rsid w:val="002F5277"/>
    <w:rsid w:val="002F5D31"/>
    <w:rsid w:val="002F5E51"/>
    <w:rsid w:val="002F5F2F"/>
    <w:rsid w:val="002F6085"/>
    <w:rsid w:val="002F60F6"/>
    <w:rsid w:val="002F705A"/>
    <w:rsid w:val="002F79BA"/>
    <w:rsid w:val="002F7ACC"/>
    <w:rsid w:val="002F7B53"/>
    <w:rsid w:val="002F7DBE"/>
    <w:rsid w:val="003006E6"/>
    <w:rsid w:val="0030077E"/>
    <w:rsid w:val="00300896"/>
    <w:rsid w:val="0030099C"/>
    <w:rsid w:val="00300DD8"/>
    <w:rsid w:val="0030108F"/>
    <w:rsid w:val="0030155A"/>
    <w:rsid w:val="00301D1A"/>
    <w:rsid w:val="003020C8"/>
    <w:rsid w:val="003021E9"/>
    <w:rsid w:val="003022F8"/>
    <w:rsid w:val="003023D9"/>
    <w:rsid w:val="00302647"/>
    <w:rsid w:val="0030264C"/>
    <w:rsid w:val="003035C1"/>
    <w:rsid w:val="00303689"/>
    <w:rsid w:val="0030382D"/>
    <w:rsid w:val="00303C88"/>
    <w:rsid w:val="0030476B"/>
    <w:rsid w:val="00304ED8"/>
    <w:rsid w:val="00304F74"/>
    <w:rsid w:val="0030524D"/>
    <w:rsid w:val="003054AB"/>
    <w:rsid w:val="003058FD"/>
    <w:rsid w:val="00305A40"/>
    <w:rsid w:val="00305A5A"/>
    <w:rsid w:val="00305CF1"/>
    <w:rsid w:val="00306145"/>
    <w:rsid w:val="00306733"/>
    <w:rsid w:val="003068A7"/>
    <w:rsid w:val="00307227"/>
    <w:rsid w:val="00307B8B"/>
    <w:rsid w:val="00307BD9"/>
    <w:rsid w:val="00307D71"/>
    <w:rsid w:val="003100C3"/>
    <w:rsid w:val="00310462"/>
    <w:rsid w:val="003106D5"/>
    <w:rsid w:val="0031070A"/>
    <w:rsid w:val="0031077D"/>
    <w:rsid w:val="00310BDF"/>
    <w:rsid w:val="00310FF0"/>
    <w:rsid w:val="00311BC5"/>
    <w:rsid w:val="00312952"/>
    <w:rsid w:val="00312E17"/>
    <w:rsid w:val="00312EFA"/>
    <w:rsid w:val="0031305F"/>
    <w:rsid w:val="003132E7"/>
    <w:rsid w:val="00313DE5"/>
    <w:rsid w:val="00314394"/>
    <w:rsid w:val="003146AB"/>
    <w:rsid w:val="003148A3"/>
    <w:rsid w:val="00316092"/>
    <w:rsid w:val="00316D6E"/>
    <w:rsid w:val="00316D9A"/>
    <w:rsid w:val="00316F1D"/>
    <w:rsid w:val="00316F5C"/>
    <w:rsid w:val="00316F88"/>
    <w:rsid w:val="00317847"/>
    <w:rsid w:val="00317CB4"/>
    <w:rsid w:val="00321B46"/>
    <w:rsid w:val="00321FC8"/>
    <w:rsid w:val="003228E1"/>
    <w:rsid w:val="003229B5"/>
    <w:rsid w:val="00322F6C"/>
    <w:rsid w:val="003234A2"/>
    <w:rsid w:val="0032369C"/>
    <w:rsid w:val="00324D83"/>
    <w:rsid w:val="00325A72"/>
    <w:rsid w:val="00325FDC"/>
    <w:rsid w:val="003266EB"/>
    <w:rsid w:val="00326F9E"/>
    <w:rsid w:val="00327257"/>
    <w:rsid w:val="003275F6"/>
    <w:rsid w:val="00327CFC"/>
    <w:rsid w:val="0033079D"/>
    <w:rsid w:val="00330CBD"/>
    <w:rsid w:val="00330CC1"/>
    <w:rsid w:val="00330DE1"/>
    <w:rsid w:val="00330F72"/>
    <w:rsid w:val="003317F6"/>
    <w:rsid w:val="0033183C"/>
    <w:rsid w:val="00331D14"/>
    <w:rsid w:val="00331EAB"/>
    <w:rsid w:val="0033298B"/>
    <w:rsid w:val="00332A75"/>
    <w:rsid w:val="00332B03"/>
    <w:rsid w:val="00333030"/>
    <w:rsid w:val="003337CB"/>
    <w:rsid w:val="003338E4"/>
    <w:rsid w:val="00333A00"/>
    <w:rsid w:val="00333E70"/>
    <w:rsid w:val="00334D0B"/>
    <w:rsid w:val="00334D60"/>
    <w:rsid w:val="0033504B"/>
    <w:rsid w:val="00335068"/>
    <w:rsid w:val="003350FE"/>
    <w:rsid w:val="00335585"/>
    <w:rsid w:val="00335FA8"/>
    <w:rsid w:val="00335FE0"/>
    <w:rsid w:val="00336240"/>
    <w:rsid w:val="003366A2"/>
    <w:rsid w:val="00336BEA"/>
    <w:rsid w:val="00336F39"/>
    <w:rsid w:val="003370B3"/>
    <w:rsid w:val="003371A7"/>
    <w:rsid w:val="003373B0"/>
    <w:rsid w:val="003373D1"/>
    <w:rsid w:val="0033749B"/>
    <w:rsid w:val="00337B34"/>
    <w:rsid w:val="00337DED"/>
    <w:rsid w:val="00337F48"/>
    <w:rsid w:val="00340704"/>
    <w:rsid w:val="003407AA"/>
    <w:rsid w:val="003408D3"/>
    <w:rsid w:val="00340F86"/>
    <w:rsid w:val="00341004"/>
    <w:rsid w:val="00341A17"/>
    <w:rsid w:val="00341C80"/>
    <w:rsid w:val="00341DE8"/>
    <w:rsid w:val="00342145"/>
    <w:rsid w:val="0034254A"/>
    <w:rsid w:val="003431C1"/>
    <w:rsid w:val="00343ADC"/>
    <w:rsid w:val="0034401A"/>
    <w:rsid w:val="00344C32"/>
    <w:rsid w:val="00344C69"/>
    <w:rsid w:val="00345AAA"/>
    <w:rsid w:val="0034682C"/>
    <w:rsid w:val="00347642"/>
    <w:rsid w:val="00347C7E"/>
    <w:rsid w:val="00347C97"/>
    <w:rsid w:val="0035013C"/>
    <w:rsid w:val="003509E1"/>
    <w:rsid w:val="003515C6"/>
    <w:rsid w:val="0035173D"/>
    <w:rsid w:val="003517E8"/>
    <w:rsid w:val="003518BA"/>
    <w:rsid w:val="00351B20"/>
    <w:rsid w:val="00351E1C"/>
    <w:rsid w:val="003528D9"/>
    <w:rsid w:val="00352B47"/>
    <w:rsid w:val="00352D8F"/>
    <w:rsid w:val="00352FB0"/>
    <w:rsid w:val="0035332D"/>
    <w:rsid w:val="00353393"/>
    <w:rsid w:val="00353B1A"/>
    <w:rsid w:val="00354093"/>
    <w:rsid w:val="00354103"/>
    <w:rsid w:val="00354A60"/>
    <w:rsid w:val="00354EBA"/>
    <w:rsid w:val="00355247"/>
    <w:rsid w:val="003556A7"/>
    <w:rsid w:val="00356764"/>
    <w:rsid w:val="0035685F"/>
    <w:rsid w:val="00357414"/>
    <w:rsid w:val="00357A76"/>
    <w:rsid w:val="00360447"/>
    <w:rsid w:val="00360B3F"/>
    <w:rsid w:val="00360CCE"/>
    <w:rsid w:val="00360DAF"/>
    <w:rsid w:val="00361115"/>
    <w:rsid w:val="0036139D"/>
    <w:rsid w:val="00361640"/>
    <w:rsid w:val="00362194"/>
    <w:rsid w:val="0036233E"/>
    <w:rsid w:val="0036266A"/>
    <w:rsid w:val="00362775"/>
    <w:rsid w:val="00362FCA"/>
    <w:rsid w:val="003635D5"/>
    <w:rsid w:val="00363F8F"/>
    <w:rsid w:val="0036462C"/>
    <w:rsid w:val="00364764"/>
    <w:rsid w:val="00365120"/>
    <w:rsid w:val="00365232"/>
    <w:rsid w:val="00365676"/>
    <w:rsid w:val="00365857"/>
    <w:rsid w:val="00365D3B"/>
    <w:rsid w:val="003662BA"/>
    <w:rsid w:val="00366311"/>
    <w:rsid w:val="00366D0B"/>
    <w:rsid w:val="00367542"/>
    <w:rsid w:val="003703A5"/>
    <w:rsid w:val="003707CF"/>
    <w:rsid w:val="003709C3"/>
    <w:rsid w:val="00370B70"/>
    <w:rsid w:val="00370DB5"/>
    <w:rsid w:val="00371068"/>
    <w:rsid w:val="0037163F"/>
    <w:rsid w:val="00371649"/>
    <w:rsid w:val="003726C3"/>
    <w:rsid w:val="00372782"/>
    <w:rsid w:val="00372B9B"/>
    <w:rsid w:val="00373A97"/>
    <w:rsid w:val="00373C64"/>
    <w:rsid w:val="00373EFD"/>
    <w:rsid w:val="00373F4A"/>
    <w:rsid w:val="0037425E"/>
    <w:rsid w:val="00374689"/>
    <w:rsid w:val="00374A27"/>
    <w:rsid w:val="0037522F"/>
    <w:rsid w:val="00375D9C"/>
    <w:rsid w:val="003760E4"/>
    <w:rsid w:val="00376308"/>
    <w:rsid w:val="0037666D"/>
    <w:rsid w:val="00377220"/>
    <w:rsid w:val="003772D0"/>
    <w:rsid w:val="00377532"/>
    <w:rsid w:val="00377548"/>
    <w:rsid w:val="00377F6A"/>
    <w:rsid w:val="00380131"/>
    <w:rsid w:val="003803E5"/>
    <w:rsid w:val="00380430"/>
    <w:rsid w:val="003807C2"/>
    <w:rsid w:val="0038083D"/>
    <w:rsid w:val="00380982"/>
    <w:rsid w:val="00380ADD"/>
    <w:rsid w:val="003816C7"/>
    <w:rsid w:val="00381D7E"/>
    <w:rsid w:val="0038268F"/>
    <w:rsid w:val="00382AB6"/>
    <w:rsid w:val="00382BAE"/>
    <w:rsid w:val="00383396"/>
    <w:rsid w:val="003833F1"/>
    <w:rsid w:val="00383411"/>
    <w:rsid w:val="00383657"/>
    <w:rsid w:val="00383804"/>
    <w:rsid w:val="00383927"/>
    <w:rsid w:val="00383F80"/>
    <w:rsid w:val="003845D1"/>
    <w:rsid w:val="00384C54"/>
    <w:rsid w:val="00384C7E"/>
    <w:rsid w:val="00384D1F"/>
    <w:rsid w:val="00385016"/>
    <w:rsid w:val="003851F4"/>
    <w:rsid w:val="00385641"/>
    <w:rsid w:val="003864B3"/>
    <w:rsid w:val="0038679A"/>
    <w:rsid w:val="00386A54"/>
    <w:rsid w:val="00386C4F"/>
    <w:rsid w:val="00386E48"/>
    <w:rsid w:val="00387262"/>
    <w:rsid w:val="003879B3"/>
    <w:rsid w:val="00390495"/>
    <w:rsid w:val="00390B55"/>
    <w:rsid w:val="00390D1D"/>
    <w:rsid w:val="003912E9"/>
    <w:rsid w:val="0039137C"/>
    <w:rsid w:val="003923A4"/>
    <w:rsid w:val="003925B3"/>
    <w:rsid w:val="003928EF"/>
    <w:rsid w:val="00392DA0"/>
    <w:rsid w:val="00392DE7"/>
    <w:rsid w:val="00392FA5"/>
    <w:rsid w:val="003935D2"/>
    <w:rsid w:val="003937FB"/>
    <w:rsid w:val="00393AB9"/>
    <w:rsid w:val="00393B26"/>
    <w:rsid w:val="00394288"/>
    <w:rsid w:val="003948CA"/>
    <w:rsid w:val="00394A5F"/>
    <w:rsid w:val="00394E66"/>
    <w:rsid w:val="00395056"/>
    <w:rsid w:val="003953CD"/>
    <w:rsid w:val="003953D5"/>
    <w:rsid w:val="003955F0"/>
    <w:rsid w:val="003956D6"/>
    <w:rsid w:val="00395BDE"/>
    <w:rsid w:val="00396222"/>
    <w:rsid w:val="00396AC0"/>
    <w:rsid w:val="00396BAC"/>
    <w:rsid w:val="003976FD"/>
    <w:rsid w:val="003A058D"/>
    <w:rsid w:val="003A0893"/>
    <w:rsid w:val="003A091D"/>
    <w:rsid w:val="003A1156"/>
    <w:rsid w:val="003A144C"/>
    <w:rsid w:val="003A14A6"/>
    <w:rsid w:val="003A21A2"/>
    <w:rsid w:val="003A2334"/>
    <w:rsid w:val="003A2396"/>
    <w:rsid w:val="003A3403"/>
    <w:rsid w:val="003A3D02"/>
    <w:rsid w:val="003A4205"/>
    <w:rsid w:val="003A5311"/>
    <w:rsid w:val="003A60B9"/>
    <w:rsid w:val="003A648C"/>
    <w:rsid w:val="003A7290"/>
    <w:rsid w:val="003A78BF"/>
    <w:rsid w:val="003A7ACF"/>
    <w:rsid w:val="003A7F2C"/>
    <w:rsid w:val="003B011D"/>
    <w:rsid w:val="003B0C6C"/>
    <w:rsid w:val="003B0E44"/>
    <w:rsid w:val="003B0E50"/>
    <w:rsid w:val="003B1018"/>
    <w:rsid w:val="003B1600"/>
    <w:rsid w:val="003B2168"/>
    <w:rsid w:val="003B273F"/>
    <w:rsid w:val="003B2821"/>
    <w:rsid w:val="003B3EB5"/>
    <w:rsid w:val="003B4068"/>
    <w:rsid w:val="003B4780"/>
    <w:rsid w:val="003B493A"/>
    <w:rsid w:val="003B4FA8"/>
    <w:rsid w:val="003B50F1"/>
    <w:rsid w:val="003B5C87"/>
    <w:rsid w:val="003B5CB9"/>
    <w:rsid w:val="003B65AF"/>
    <w:rsid w:val="003B6909"/>
    <w:rsid w:val="003B6B9D"/>
    <w:rsid w:val="003B6C5E"/>
    <w:rsid w:val="003B6F32"/>
    <w:rsid w:val="003B73AB"/>
    <w:rsid w:val="003B74C0"/>
    <w:rsid w:val="003B794D"/>
    <w:rsid w:val="003B7CCA"/>
    <w:rsid w:val="003B7D8F"/>
    <w:rsid w:val="003C00B9"/>
    <w:rsid w:val="003C0232"/>
    <w:rsid w:val="003C07ED"/>
    <w:rsid w:val="003C0A9D"/>
    <w:rsid w:val="003C122E"/>
    <w:rsid w:val="003C137D"/>
    <w:rsid w:val="003C1854"/>
    <w:rsid w:val="003C1A12"/>
    <w:rsid w:val="003C210F"/>
    <w:rsid w:val="003C222E"/>
    <w:rsid w:val="003C26FE"/>
    <w:rsid w:val="003C278F"/>
    <w:rsid w:val="003C29E2"/>
    <w:rsid w:val="003C2B01"/>
    <w:rsid w:val="003C2E80"/>
    <w:rsid w:val="003C4996"/>
    <w:rsid w:val="003C5721"/>
    <w:rsid w:val="003C5D71"/>
    <w:rsid w:val="003C6107"/>
    <w:rsid w:val="003C72AB"/>
    <w:rsid w:val="003C75CE"/>
    <w:rsid w:val="003C781F"/>
    <w:rsid w:val="003C7922"/>
    <w:rsid w:val="003C7C4F"/>
    <w:rsid w:val="003D0310"/>
    <w:rsid w:val="003D05F1"/>
    <w:rsid w:val="003D08BA"/>
    <w:rsid w:val="003D1160"/>
    <w:rsid w:val="003D2336"/>
    <w:rsid w:val="003D2763"/>
    <w:rsid w:val="003D290D"/>
    <w:rsid w:val="003D2BF3"/>
    <w:rsid w:val="003D3804"/>
    <w:rsid w:val="003D3A67"/>
    <w:rsid w:val="003D3DAB"/>
    <w:rsid w:val="003D4180"/>
    <w:rsid w:val="003D4565"/>
    <w:rsid w:val="003D46C0"/>
    <w:rsid w:val="003D4776"/>
    <w:rsid w:val="003D47C5"/>
    <w:rsid w:val="003D4A48"/>
    <w:rsid w:val="003D4E09"/>
    <w:rsid w:val="003D51D8"/>
    <w:rsid w:val="003D528C"/>
    <w:rsid w:val="003D52CF"/>
    <w:rsid w:val="003D647A"/>
    <w:rsid w:val="003D685E"/>
    <w:rsid w:val="003D6BE9"/>
    <w:rsid w:val="003D7847"/>
    <w:rsid w:val="003E043D"/>
    <w:rsid w:val="003E045A"/>
    <w:rsid w:val="003E0A8F"/>
    <w:rsid w:val="003E0B40"/>
    <w:rsid w:val="003E0BE0"/>
    <w:rsid w:val="003E0C8A"/>
    <w:rsid w:val="003E0F2C"/>
    <w:rsid w:val="003E1592"/>
    <w:rsid w:val="003E2267"/>
    <w:rsid w:val="003E2AA6"/>
    <w:rsid w:val="003E2E42"/>
    <w:rsid w:val="003E38E5"/>
    <w:rsid w:val="003E3BB6"/>
    <w:rsid w:val="003E3BFE"/>
    <w:rsid w:val="003E3E68"/>
    <w:rsid w:val="003E40FD"/>
    <w:rsid w:val="003E47DA"/>
    <w:rsid w:val="003E4AD0"/>
    <w:rsid w:val="003E5874"/>
    <w:rsid w:val="003E5D39"/>
    <w:rsid w:val="003E67D5"/>
    <w:rsid w:val="003E6D4C"/>
    <w:rsid w:val="003E6F5C"/>
    <w:rsid w:val="003F0256"/>
    <w:rsid w:val="003F0C63"/>
    <w:rsid w:val="003F0C77"/>
    <w:rsid w:val="003F142D"/>
    <w:rsid w:val="003F1E13"/>
    <w:rsid w:val="003F263B"/>
    <w:rsid w:val="003F357A"/>
    <w:rsid w:val="003F3D0B"/>
    <w:rsid w:val="003F3DDB"/>
    <w:rsid w:val="003F40A7"/>
    <w:rsid w:val="003F477C"/>
    <w:rsid w:val="003F47E8"/>
    <w:rsid w:val="003F5060"/>
    <w:rsid w:val="003F573C"/>
    <w:rsid w:val="003F63F8"/>
    <w:rsid w:val="003F661D"/>
    <w:rsid w:val="003F6C75"/>
    <w:rsid w:val="003F6C86"/>
    <w:rsid w:val="003F7E98"/>
    <w:rsid w:val="0040046C"/>
    <w:rsid w:val="0040059E"/>
    <w:rsid w:val="004007DE"/>
    <w:rsid w:val="0040096F"/>
    <w:rsid w:val="00400C7D"/>
    <w:rsid w:val="00401186"/>
    <w:rsid w:val="004015AC"/>
    <w:rsid w:val="00401D39"/>
    <w:rsid w:val="004020A7"/>
    <w:rsid w:val="004029B1"/>
    <w:rsid w:val="00403032"/>
    <w:rsid w:val="004030FA"/>
    <w:rsid w:val="0040359E"/>
    <w:rsid w:val="00403C60"/>
    <w:rsid w:val="00404277"/>
    <w:rsid w:val="00404405"/>
    <w:rsid w:val="004048D7"/>
    <w:rsid w:val="00404A8A"/>
    <w:rsid w:val="00404EB5"/>
    <w:rsid w:val="00405A02"/>
    <w:rsid w:val="00405A63"/>
    <w:rsid w:val="00405F24"/>
    <w:rsid w:val="004063B3"/>
    <w:rsid w:val="00406617"/>
    <w:rsid w:val="00406686"/>
    <w:rsid w:val="00406962"/>
    <w:rsid w:val="00406E6B"/>
    <w:rsid w:val="00407349"/>
    <w:rsid w:val="004079D8"/>
    <w:rsid w:val="00410085"/>
    <w:rsid w:val="004104CD"/>
    <w:rsid w:val="004108BB"/>
    <w:rsid w:val="00410C89"/>
    <w:rsid w:val="00410D0B"/>
    <w:rsid w:val="00410E1B"/>
    <w:rsid w:val="004114E8"/>
    <w:rsid w:val="00411558"/>
    <w:rsid w:val="00411A97"/>
    <w:rsid w:val="00411CBD"/>
    <w:rsid w:val="00411E72"/>
    <w:rsid w:val="00411FFE"/>
    <w:rsid w:val="00412085"/>
    <w:rsid w:val="004127A6"/>
    <w:rsid w:val="004130E6"/>
    <w:rsid w:val="00413460"/>
    <w:rsid w:val="00413730"/>
    <w:rsid w:val="004138E2"/>
    <w:rsid w:val="00413D27"/>
    <w:rsid w:val="004148DA"/>
    <w:rsid w:val="00414A23"/>
    <w:rsid w:val="00414ABC"/>
    <w:rsid w:val="00414D89"/>
    <w:rsid w:val="00415879"/>
    <w:rsid w:val="004164E4"/>
    <w:rsid w:val="00416CDB"/>
    <w:rsid w:val="00416DF2"/>
    <w:rsid w:val="00417674"/>
    <w:rsid w:val="00417B19"/>
    <w:rsid w:val="00420013"/>
    <w:rsid w:val="0042037F"/>
    <w:rsid w:val="00420DFF"/>
    <w:rsid w:val="004210E8"/>
    <w:rsid w:val="004220E5"/>
    <w:rsid w:val="004227FA"/>
    <w:rsid w:val="0042297C"/>
    <w:rsid w:val="00422DD4"/>
    <w:rsid w:val="00422F6E"/>
    <w:rsid w:val="0042342D"/>
    <w:rsid w:val="004234E1"/>
    <w:rsid w:val="004236AC"/>
    <w:rsid w:val="00423B46"/>
    <w:rsid w:val="00423EF9"/>
    <w:rsid w:val="00423F1B"/>
    <w:rsid w:val="00424306"/>
    <w:rsid w:val="004243B4"/>
    <w:rsid w:val="00424654"/>
    <w:rsid w:val="00424832"/>
    <w:rsid w:val="00424833"/>
    <w:rsid w:val="00424DD0"/>
    <w:rsid w:val="004250DD"/>
    <w:rsid w:val="0042523C"/>
    <w:rsid w:val="00425838"/>
    <w:rsid w:val="004258D6"/>
    <w:rsid w:val="004259DA"/>
    <w:rsid w:val="00425FBE"/>
    <w:rsid w:val="004261B1"/>
    <w:rsid w:val="00426272"/>
    <w:rsid w:val="00426819"/>
    <w:rsid w:val="00426D0B"/>
    <w:rsid w:val="004271AF"/>
    <w:rsid w:val="00427AC1"/>
    <w:rsid w:val="00427C08"/>
    <w:rsid w:val="00427F02"/>
    <w:rsid w:val="00430819"/>
    <w:rsid w:val="00431723"/>
    <w:rsid w:val="00431C43"/>
    <w:rsid w:val="00431C4A"/>
    <w:rsid w:val="00431E17"/>
    <w:rsid w:val="00432807"/>
    <w:rsid w:val="0043295E"/>
    <w:rsid w:val="00432C05"/>
    <w:rsid w:val="00432EEE"/>
    <w:rsid w:val="004331BF"/>
    <w:rsid w:val="00433209"/>
    <w:rsid w:val="00433541"/>
    <w:rsid w:val="00433637"/>
    <w:rsid w:val="0043394F"/>
    <w:rsid w:val="00433D0A"/>
    <w:rsid w:val="00433D3F"/>
    <w:rsid w:val="00433EB1"/>
    <w:rsid w:val="00433F27"/>
    <w:rsid w:val="00434062"/>
    <w:rsid w:val="00434531"/>
    <w:rsid w:val="00434762"/>
    <w:rsid w:val="004359AA"/>
    <w:rsid w:val="00436486"/>
    <w:rsid w:val="00436533"/>
    <w:rsid w:val="00436721"/>
    <w:rsid w:val="00436727"/>
    <w:rsid w:val="00436A0C"/>
    <w:rsid w:val="00436B41"/>
    <w:rsid w:val="00436B6A"/>
    <w:rsid w:val="00436E6E"/>
    <w:rsid w:val="004378F9"/>
    <w:rsid w:val="00437C1A"/>
    <w:rsid w:val="00437CF6"/>
    <w:rsid w:val="00437D20"/>
    <w:rsid w:val="004407EF"/>
    <w:rsid w:val="00440938"/>
    <w:rsid w:val="00440F7D"/>
    <w:rsid w:val="00441BA1"/>
    <w:rsid w:val="00441E2E"/>
    <w:rsid w:val="0044225A"/>
    <w:rsid w:val="004423CF"/>
    <w:rsid w:val="004423FC"/>
    <w:rsid w:val="00442B1E"/>
    <w:rsid w:val="00442CA7"/>
    <w:rsid w:val="00442D61"/>
    <w:rsid w:val="00442DD3"/>
    <w:rsid w:val="00443148"/>
    <w:rsid w:val="004431DA"/>
    <w:rsid w:val="00443DD6"/>
    <w:rsid w:val="00443E3B"/>
    <w:rsid w:val="004440FB"/>
    <w:rsid w:val="0044425F"/>
    <w:rsid w:val="0044464B"/>
    <w:rsid w:val="004446BB"/>
    <w:rsid w:val="00445D0D"/>
    <w:rsid w:val="00446AD5"/>
    <w:rsid w:val="00446AE7"/>
    <w:rsid w:val="00447A17"/>
    <w:rsid w:val="00450341"/>
    <w:rsid w:val="00450C73"/>
    <w:rsid w:val="00450CEE"/>
    <w:rsid w:val="00450E0A"/>
    <w:rsid w:val="00450FC4"/>
    <w:rsid w:val="00451B03"/>
    <w:rsid w:val="00452867"/>
    <w:rsid w:val="004528DB"/>
    <w:rsid w:val="00453202"/>
    <w:rsid w:val="00453A6B"/>
    <w:rsid w:val="00454105"/>
    <w:rsid w:val="004545E7"/>
    <w:rsid w:val="004548F9"/>
    <w:rsid w:val="00454C98"/>
    <w:rsid w:val="00454CFC"/>
    <w:rsid w:val="00454D27"/>
    <w:rsid w:val="00454DD6"/>
    <w:rsid w:val="00455608"/>
    <w:rsid w:val="00456478"/>
    <w:rsid w:val="004564D9"/>
    <w:rsid w:val="0045657C"/>
    <w:rsid w:val="00457701"/>
    <w:rsid w:val="0045773F"/>
    <w:rsid w:val="00457E4D"/>
    <w:rsid w:val="004605B4"/>
    <w:rsid w:val="0046115D"/>
    <w:rsid w:val="00461366"/>
    <w:rsid w:val="0046174A"/>
    <w:rsid w:val="00461841"/>
    <w:rsid w:val="0046193F"/>
    <w:rsid w:val="00461E82"/>
    <w:rsid w:val="00461FA7"/>
    <w:rsid w:val="004621B5"/>
    <w:rsid w:val="0046284C"/>
    <w:rsid w:val="00462BCF"/>
    <w:rsid w:val="00462C79"/>
    <w:rsid w:val="00462E45"/>
    <w:rsid w:val="00462EC8"/>
    <w:rsid w:val="00463185"/>
    <w:rsid w:val="004632D0"/>
    <w:rsid w:val="00463341"/>
    <w:rsid w:val="00463777"/>
    <w:rsid w:val="00463AE7"/>
    <w:rsid w:val="00463E1F"/>
    <w:rsid w:val="00464BDF"/>
    <w:rsid w:val="00465008"/>
    <w:rsid w:val="0046500D"/>
    <w:rsid w:val="00465A8B"/>
    <w:rsid w:val="00465D5A"/>
    <w:rsid w:val="004663A0"/>
    <w:rsid w:val="00466845"/>
    <w:rsid w:val="004668CD"/>
    <w:rsid w:val="00466974"/>
    <w:rsid w:val="00466B72"/>
    <w:rsid w:val="004672E8"/>
    <w:rsid w:val="004675AE"/>
    <w:rsid w:val="00467912"/>
    <w:rsid w:val="00467A81"/>
    <w:rsid w:val="004702DA"/>
    <w:rsid w:val="00470507"/>
    <w:rsid w:val="004705F9"/>
    <w:rsid w:val="00470868"/>
    <w:rsid w:val="00470BD0"/>
    <w:rsid w:val="00470C39"/>
    <w:rsid w:val="00470FB2"/>
    <w:rsid w:val="00470FCA"/>
    <w:rsid w:val="0047199A"/>
    <w:rsid w:val="004726EE"/>
    <w:rsid w:val="004726FB"/>
    <w:rsid w:val="004727F6"/>
    <w:rsid w:val="00472F2D"/>
    <w:rsid w:val="004731CA"/>
    <w:rsid w:val="0047356A"/>
    <w:rsid w:val="004737A7"/>
    <w:rsid w:val="00474048"/>
    <w:rsid w:val="00474273"/>
    <w:rsid w:val="00474497"/>
    <w:rsid w:val="004744CB"/>
    <w:rsid w:val="00474BD1"/>
    <w:rsid w:val="00475043"/>
    <w:rsid w:val="00475060"/>
    <w:rsid w:val="00475295"/>
    <w:rsid w:val="00475D99"/>
    <w:rsid w:val="00475E36"/>
    <w:rsid w:val="00476DB4"/>
    <w:rsid w:val="00477103"/>
    <w:rsid w:val="004771E8"/>
    <w:rsid w:val="004777F6"/>
    <w:rsid w:val="00477A93"/>
    <w:rsid w:val="00477FA0"/>
    <w:rsid w:val="00480270"/>
    <w:rsid w:val="00480A63"/>
    <w:rsid w:val="00480B89"/>
    <w:rsid w:val="00481107"/>
    <w:rsid w:val="00481468"/>
    <w:rsid w:val="004817A8"/>
    <w:rsid w:val="00481926"/>
    <w:rsid w:val="00481B96"/>
    <w:rsid w:val="00482026"/>
    <w:rsid w:val="00482037"/>
    <w:rsid w:val="0048204B"/>
    <w:rsid w:val="00482519"/>
    <w:rsid w:val="004827D3"/>
    <w:rsid w:val="0048367F"/>
    <w:rsid w:val="004837D5"/>
    <w:rsid w:val="00483A27"/>
    <w:rsid w:val="00483D24"/>
    <w:rsid w:val="00483D43"/>
    <w:rsid w:val="00484FEC"/>
    <w:rsid w:val="0048592A"/>
    <w:rsid w:val="00485A2E"/>
    <w:rsid w:val="00485C2D"/>
    <w:rsid w:val="00485E9E"/>
    <w:rsid w:val="00485FFC"/>
    <w:rsid w:val="00486476"/>
    <w:rsid w:val="00486DFB"/>
    <w:rsid w:val="00487A2B"/>
    <w:rsid w:val="00487AD4"/>
    <w:rsid w:val="004901EE"/>
    <w:rsid w:val="00490A38"/>
    <w:rsid w:val="004913C3"/>
    <w:rsid w:val="00492022"/>
    <w:rsid w:val="004925DC"/>
    <w:rsid w:val="00492B1E"/>
    <w:rsid w:val="00493174"/>
    <w:rsid w:val="00493CFD"/>
    <w:rsid w:val="00493F53"/>
    <w:rsid w:val="004941ED"/>
    <w:rsid w:val="004941F3"/>
    <w:rsid w:val="00494280"/>
    <w:rsid w:val="00494540"/>
    <w:rsid w:val="0049596C"/>
    <w:rsid w:val="00495EB1"/>
    <w:rsid w:val="00496457"/>
    <w:rsid w:val="0049668A"/>
    <w:rsid w:val="00496775"/>
    <w:rsid w:val="004967CB"/>
    <w:rsid w:val="004A07FC"/>
    <w:rsid w:val="004A09CD"/>
    <w:rsid w:val="004A0CA7"/>
    <w:rsid w:val="004A0EF3"/>
    <w:rsid w:val="004A125E"/>
    <w:rsid w:val="004A13B1"/>
    <w:rsid w:val="004A1BA9"/>
    <w:rsid w:val="004A1E0E"/>
    <w:rsid w:val="004A1E13"/>
    <w:rsid w:val="004A1E67"/>
    <w:rsid w:val="004A212C"/>
    <w:rsid w:val="004A2235"/>
    <w:rsid w:val="004A2A56"/>
    <w:rsid w:val="004A2B4F"/>
    <w:rsid w:val="004A308C"/>
    <w:rsid w:val="004A30F7"/>
    <w:rsid w:val="004A3636"/>
    <w:rsid w:val="004A369D"/>
    <w:rsid w:val="004A4D4D"/>
    <w:rsid w:val="004A503C"/>
    <w:rsid w:val="004A6111"/>
    <w:rsid w:val="004A6119"/>
    <w:rsid w:val="004A6E42"/>
    <w:rsid w:val="004A7070"/>
    <w:rsid w:val="004A7BAB"/>
    <w:rsid w:val="004B0258"/>
    <w:rsid w:val="004B1D01"/>
    <w:rsid w:val="004B1E04"/>
    <w:rsid w:val="004B2305"/>
    <w:rsid w:val="004B24C6"/>
    <w:rsid w:val="004B3725"/>
    <w:rsid w:val="004B3DB4"/>
    <w:rsid w:val="004B4526"/>
    <w:rsid w:val="004B53B9"/>
    <w:rsid w:val="004B548D"/>
    <w:rsid w:val="004B54E9"/>
    <w:rsid w:val="004B5676"/>
    <w:rsid w:val="004B5777"/>
    <w:rsid w:val="004B5C18"/>
    <w:rsid w:val="004B6121"/>
    <w:rsid w:val="004B65A4"/>
    <w:rsid w:val="004B6AFE"/>
    <w:rsid w:val="004B7C64"/>
    <w:rsid w:val="004C025E"/>
    <w:rsid w:val="004C02A1"/>
    <w:rsid w:val="004C04E7"/>
    <w:rsid w:val="004C0973"/>
    <w:rsid w:val="004C1334"/>
    <w:rsid w:val="004C15A7"/>
    <w:rsid w:val="004C2B5B"/>
    <w:rsid w:val="004C31D6"/>
    <w:rsid w:val="004C3832"/>
    <w:rsid w:val="004C3A72"/>
    <w:rsid w:val="004C497F"/>
    <w:rsid w:val="004C4A36"/>
    <w:rsid w:val="004C582D"/>
    <w:rsid w:val="004C597B"/>
    <w:rsid w:val="004C5A39"/>
    <w:rsid w:val="004C5EA2"/>
    <w:rsid w:val="004C653A"/>
    <w:rsid w:val="004C73FD"/>
    <w:rsid w:val="004C7630"/>
    <w:rsid w:val="004C775B"/>
    <w:rsid w:val="004D02F5"/>
    <w:rsid w:val="004D035B"/>
    <w:rsid w:val="004D0362"/>
    <w:rsid w:val="004D07B0"/>
    <w:rsid w:val="004D0B57"/>
    <w:rsid w:val="004D0D7B"/>
    <w:rsid w:val="004D0E18"/>
    <w:rsid w:val="004D136F"/>
    <w:rsid w:val="004D1814"/>
    <w:rsid w:val="004D195D"/>
    <w:rsid w:val="004D1AB9"/>
    <w:rsid w:val="004D1CC5"/>
    <w:rsid w:val="004D1CDB"/>
    <w:rsid w:val="004D1EDC"/>
    <w:rsid w:val="004D2247"/>
    <w:rsid w:val="004D273F"/>
    <w:rsid w:val="004D2DF1"/>
    <w:rsid w:val="004D3425"/>
    <w:rsid w:val="004D366B"/>
    <w:rsid w:val="004D39B2"/>
    <w:rsid w:val="004D41BB"/>
    <w:rsid w:val="004D4598"/>
    <w:rsid w:val="004D4F9C"/>
    <w:rsid w:val="004D5304"/>
    <w:rsid w:val="004D5426"/>
    <w:rsid w:val="004D579C"/>
    <w:rsid w:val="004D6B5D"/>
    <w:rsid w:val="004D75D3"/>
    <w:rsid w:val="004D768B"/>
    <w:rsid w:val="004D7F45"/>
    <w:rsid w:val="004E017E"/>
    <w:rsid w:val="004E117E"/>
    <w:rsid w:val="004E1471"/>
    <w:rsid w:val="004E157C"/>
    <w:rsid w:val="004E1605"/>
    <w:rsid w:val="004E16B6"/>
    <w:rsid w:val="004E185A"/>
    <w:rsid w:val="004E1C8E"/>
    <w:rsid w:val="004E256C"/>
    <w:rsid w:val="004E2785"/>
    <w:rsid w:val="004E33A2"/>
    <w:rsid w:val="004E393A"/>
    <w:rsid w:val="004E4460"/>
    <w:rsid w:val="004E5437"/>
    <w:rsid w:val="004E58DA"/>
    <w:rsid w:val="004E6277"/>
    <w:rsid w:val="004E64DC"/>
    <w:rsid w:val="004E65E8"/>
    <w:rsid w:val="004E6999"/>
    <w:rsid w:val="004E793A"/>
    <w:rsid w:val="004E7969"/>
    <w:rsid w:val="004E7D5A"/>
    <w:rsid w:val="004E7D8A"/>
    <w:rsid w:val="004F0644"/>
    <w:rsid w:val="004F0AC2"/>
    <w:rsid w:val="004F0E2F"/>
    <w:rsid w:val="004F0FFB"/>
    <w:rsid w:val="004F13D6"/>
    <w:rsid w:val="004F1944"/>
    <w:rsid w:val="004F21CB"/>
    <w:rsid w:val="004F3015"/>
    <w:rsid w:val="004F30BB"/>
    <w:rsid w:val="004F35B3"/>
    <w:rsid w:val="004F3E10"/>
    <w:rsid w:val="004F4127"/>
    <w:rsid w:val="004F4191"/>
    <w:rsid w:val="004F4B88"/>
    <w:rsid w:val="004F4DA9"/>
    <w:rsid w:val="004F55AE"/>
    <w:rsid w:val="004F5AB4"/>
    <w:rsid w:val="004F64E2"/>
    <w:rsid w:val="004F6F30"/>
    <w:rsid w:val="004F7CBD"/>
    <w:rsid w:val="004F7D8A"/>
    <w:rsid w:val="004F7EA0"/>
    <w:rsid w:val="004F7F08"/>
    <w:rsid w:val="005004B6"/>
    <w:rsid w:val="00500917"/>
    <w:rsid w:val="0050117E"/>
    <w:rsid w:val="00501599"/>
    <w:rsid w:val="00501CCF"/>
    <w:rsid w:val="005024A1"/>
    <w:rsid w:val="00503825"/>
    <w:rsid w:val="00504205"/>
    <w:rsid w:val="00504EA2"/>
    <w:rsid w:val="00504FD3"/>
    <w:rsid w:val="005054E0"/>
    <w:rsid w:val="005066D6"/>
    <w:rsid w:val="00506773"/>
    <w:rsid w:val="00506835"/>
    <w:rsid w:val="00506BA6"/>
    <w:rsid w:val="00506BE7"/>
    <w:rsid w:val="00506C54"/>
    <w:rsid w:val="00506D99"/>
    <w:rsid w:val="0050728B"/>
    <w:rsid w:val="00507391"/>
    <w:rsid w:val="005074EA"/>
    <w:rsid w:val="0050765B"/>
    <w:rsid w:val="005077C5"/>
    <w:rsid w:val="005079CE"/>
    <w:rsid w:val="00507AD3"/>
    <w:rsid w:val="00510430"/>
    <w:rsid w:val="00510606"/>
    <w:rsid w:val="00510B2D"/>
    <w:rsid w:val="005111C0"/>
    <w:rsid w:val="0051191E"/>
    <w:rsid w:val="0051313B"/>
    <w:rsid w:val="00513201"/>
    <w:rsid w:val="0051323D"/>
    <w:rsid w:val="005139C3"/>
    <w:rsid w:val="00513F9F"/>
    <w:rsid w:val="005140EB"/>
    <w:rsid w:val="005143E6"/>
    <w:rsid w:val="00514A89"/>
    <w:rsid w:val="00514C0C"/>
    <w:rsid w:val="00514C7C"/>
    <w:rsid w:val="00515137"/>
    <w:rsid w:val="005158C4"/>
    <w:rsid w:val="00515D1F"/>
    <w:rsid w:val="0051603B"/>
    <w:rsid w:val="0051615E"/>
    <w:rsid w:val="005162A1"/>
    <w:rsid w:val="005167DF"/>
    <w:rsid w:val="00516900"/>
    <w:rsid w:val="005177B2"/>
    <w:rsid w:val="005202A2"/>
    <w:rsid w:val="0052054E"/>
    <w:rsid w:val="0052056F"/>
    <w:rsid w:val="0052084A"/>
    <w:rsid w:val="00520AD9"/>
    <w:rsid w:val="00520B30"/>
    <w:rsid w:val="00520FAF"/>
    <w:rsid w:val="00521168"/>
    <w:rsid w:val="005216D9"/>
    <w:rsid w:val="005217EA"/>
    <w:rsid w:val="00522A01"/>
    <w:rsid w:val="005230E6"/>
    <w:rsid w:val="00523208"/>
    <w:rsid w:val="005237C2"/>
    <w:rsid w:val="00523920"/>
    <w:rsid w:val="00523CE6"/>
    <w:rsid w:val="00524460"/>
    <w:rsid w:val="0052462B"/>
    <w:rsid w:val="00524A35"/>
    <w:rsid w:val="00524C29"/>
    <w:rsid w:val="0052544C"/>
    <w:rsid w:val="00525731"/>
    <w:rsid w:val="005266A2"/>
    <w:rsid w:val="00526ECB"/>
    <w:rsid w:val="005278AA"/>
    <w:rsid w:val="00527C06"/>
    <w:rsid w:val="005303B0"/>
    <w:rsid w:val="0053074F"/>
    <w:rsid w:val="005308EC"/>
    <w:rsid w:val="00530AD9"/>
    <w:rsid w:val="00530E28"/>
    <w:rsid w:val="00532A55"/>
    <w:rsid w:val="0053321B"/>
    <w:rsid w:val="005334CA"/>
    <w:rsid w:val="00533F21"/>
    <w:rsid w:val="00534461"/>
    <w:rsid w:val="0053472B"/>
    <w:rsid w:val="00534CCD"/>
    <w:rsid w:val="005351ED"/>
    <w:rsid w:val="00535C85"/>
    <w:rsid w:val="00536C2D"/>
    <w:rsid w:val="00536F00"/>
    <w:rsid w:val="0053736A"/>
    <w:rsid w:val="005379FE"/>
    <w:rsid w:val="00537D6D"/>
    <w:rsid w:val="00537FFB"/>
    <w:rsid w:val="005400BD"/>
    <w:rsid w:val="00540FD4"/>
    <w:rsid w:val="00541425"/>
    <w:rsid w:val="00541671"/>
    <w:rsid w:val="00541777"/>
    <w:rsid w:val="00541A38"/>
    <w:rsid w:val="00541EC1"/>
    <w:rsid w:val="00542241"/>
    <w:rsid w:val="005427CF"/>
    <w:rsid w:val="00542869"/>
    <w:rsid w:val="00542D66"/>
    <w:rsid w:val="00542E78"/>
    <w:rsid w:val="0054319A"/>
    <w:rsid w:val="005431E5"/>
    <w:rsid w:val="005436DD"/>
    <w:rsid w:val="00543787"/>
    <w:rsid w:val="00543799"/>
    <w:rsid w:val="00543934"/>
    <w:rsid w:val="00543A77"/>
    <w:rsid w:val="00543E52"/>
    <w:rsid w:val="00543E67"/>
    <w:rsid w:val="00543F8E"/>
    <w:rsid w:val="00544B64"/>
    <w:rsid w:val="00544F21"/>
    <w:rsid w:val="00545805"/>
    <w:rsid w:val="005459A2"/>
    <w:rsid w:val="00546895"/>
    <w:rsid w:val="005469EB"/>
    <w:rsid w:val="005469F9"/>
    <w:rsid w:val="00546A6B"/>
    <w:rsid w:val="00546CF0"/>
    <w:rsid w:val="005473DD"/>
    <w:rsid w:val="0054798B"/>
    <w:rsid w:val="005502B0"/>
    <w:rsid w:val="005502BB"/>
    <w:rsid w:val="0055070D"/>
    <w:rsid w:val="00550C7A"/>
    <w:rsid w:val="00550E2A"/>
    <w:rsid w:val="00550E70"/>
    <w:rsid w:val="00551202"/>
    <w:rsid w:val="005517B7"/>
    <w:rsid w:val="00551DC6"/>
    <w:rsid w:val="005523A1"/>
    <w:rsid w:val="00552451"/>
    <w:rsid w:val="00552A75"/>
    <w:rsid w:val="005530A1"/>
    <w:rsid w:val="005531DA"/>
    <w:rsid w:val="00553572"/>
    <w:rsid w:val="005535CD"/>
    <w:rsid w:val="0055372B"/>
    <w:rsid w:val="00553782"/>
    <w:rsid w:val="00553B9E"/>
    <w:rsid w:val="00553F8A"/>
    <w:rsid w:val="00555E0E"/>
    <w:rsid w:val="0055625B"/>
    <w:rsid w:val="00556308"/>
    <w:rsid w:val="00556E20"/>
    <w:rsid w:val="00557199"/>
    <w:rsid w:val="00557A8E"/>
    <w:rsid w:val="00560655"/>
    <w:rsid w:val="0056140A"/>
    <w:rsid w:val="0056164E"/>
    <w:rsid w:val="00561702"/>
    <w:rsid w:val="00562514"/>
    <w:rsid w:val="00562F55"/>
    <w:rsid w:val="00563228"/>
    <w:rsid w:val="0056481E"/>
    <w:rsid w:val="00564B28"/>
    <w:rsid w:val="0056507E"/>
    <w:rsid w:val="0056563B"/>
    <w:rsid w:val="00565680"/>
    <w:rsid w:val="00565903"/>
    <w:rsid w:val="005659D0"/>
    <w:rsid w:val="00565C5D"/>
    <w:rsid w:val="00565C7B"/>
    <w:rsid w:val="00565E2A"/>
    <w:rsid w:val="005663FD"/>
    <w:rsid w:val="005668EA"/>
    <w:rsid w:val="005670E3"/>
    <w:rsid w:val="0056742A"/>
    <w:rsid w:val="00567459"/>
    <w:rsid w:val="005676BB"/>
    <w:rsid w:val="005679F7"/>
    <w:rsid w:val="00567A7C"/>
    <w:rsid w:val="00567F05"/>
    <w:rsid w:val="00567F98"/>
    <w:rsid w:val="0057055C"/>
    <w:rsid w:val="00570678"/>
    <w:rsid w:val="00570993"/>
    <w:rsid w:val="00570C9A"/>
    <w:rsid w:val="00570DA5"/>
    <w:rsid w:val="005723EC"/>
    <w:rsid w:val="00572854"/>
    <w:rsid w:val="005729E9"/>
    <w:rsid w:val="00573328"/>
    <w:rsid w:val="00573753"/>
    <w:rsid w:val="00573F33"/>
    <w:rsid w:val="00574090"/>
    <w:rsid w:val="0057457E"/>
    <w:rsid w:val="00574FFD"/>
    <w:rsid w:val="005752C4"/>
    <w:rsid w:val="00575409"/>
    <w:rsid w:val="00575482"/>
    <w:rsid w:val="0057549E"/>
    <w:rsid w:val="005755E3"/>
    <w:rsid w:val="00575F3D"/>
    <w:rsid w:val="005761C1"/>
    <w:rsid w:val="00577086"/>
    <w:rsid w:val="00577300"/>
    <w:rsid w:val="00577450"/>
    <w:rsid w:val="005779A7"/>
    <w:rsid w:val="00577FDE"/>
    <w:rsid w:val="00577FFE"/>
    <w:rsid w:val="005801DF"/>
    <w:rsid w:val="00580237"/>
    <w:rsid w:val="00580662"/>
    <w:rsid w:val="005807C1"/>
    <w:rsid w:val="005808AE"/>
    <w:rsid w:val="00580C8B"/>
    <w:rsid w:val="00581126"/>
    <w:rsid w:val="00581382"/>
    <w:rsid w:val="00581673"/>
    <w:rsid w:val="005818A7"/>
    <w:rsid w:val="00581B5A"/>
    <w:rsid w:val="00581C90"/>
    <w:rsid w:val="00581DBA"/>
    <w:rsid w:val="005822B9"/>
    <w:rsid w:val="00582354"/>
    <w:rsid w:val="005824F5"/>
    <w:rsid w:val="00582BEC"/>
    <w:rsid w:val="00582D72"/>
    <w:rsid w:val="0058320D"/>
    <w:rsid w:val="00583718"/>
    <w:rsid w:val="00583915"/>
    <w:rsid w:val="00583A37"/>
    <w:rsid w:val="00583A4C"/>
    <w:rsid w:val="00583B5D"/>
    <w:rsid w:val="00584B49"/>
    <w:rsid w:val="00584C1F"/>
    <w:rsid w:val="00585233"/>
    <w:rsid w:val="005856C4"/>
    <w:rsid w:val="005859E2"/>
    <w:rsid w:val="00585A07"/>
    <w:rsid w:val="005860CA"/>
    <w:rsid w:val="00587606"/>
    <w:rsid w:val="00587D8B"/>
    <w:rsid w:val="00590762"/>
    <w:rsid w:val="00590DDF"/>
    <w:rsid w:val="00591028"/>
    <w:rsid w:val="005910D0"/>
    <w:rsid w:val="0059174B"/>
    <w:rsid w:val="00592003"/>
    <w:rsid w:val="00592283"/>
    <w:rsid w:val="00592AFC"/>
    <w:rsid w:val="00592E00"/>
    <w:rsid w:val="00593670"/>
    <w:rsid w:val="005938F8"/>
    <w:rsid w:val="00593CD0"/>
    <w:rsid w:val="00593CE8"/>
    <w:rsid w:val="00593D98"/>
    <w:rsid w:val="00594069"/>
    <w:rsid w:val="00594240"/>
    <w:rsid w:val="00594EEA"/>
    <w:rsid w:val="0059513B"/>
    <w:rsid w:val="005952E7"/>
    <w:rsid w:val="00595323"/>
    <w:rsid w:val="00595507"/>
    <w:rsid w:val="0059594A"/>
    <w:rsid w:val="00595C27"/>
    <w:rsid w:val="00595D92"/>
    <w:rsid w:val="00596657"/>
    <w:rsid w:val="00596985"/>
    <w:rsid w:val="00597148"/>
    <w:rsid w:val="00597337"/>
    <w:rsid w:val="005976F4"/>
    <w:rsid w:val="00597728"/>
    <w:rsid w:val="005A04F0"/>
    <w:rsid w:val="005A07D4"/>
    <w:rsid w:val="005A0DD4"/>
    <w:rsid w:val="005A1551"/>
    <w:rsid w:val="005A17C2"/>
    <w:rsid w:val="005A1909"/>
    <w:rsid w:val="005A1997"/>
    <w:rsid w:val="005A1F58"/>
    <w:rsid w:val="005A228C"/>
    <w:rsid w:val="005A242E"/>
    <w:rsid w:val="005A26B8"/>
    <w:rsid w:val="005A2981"/>
    <w:rsid w:val="005A2D87"/>
    <w:rsid w:val="005A368E"/>
    <w:rsid w:val="005A38B3"/>
    <w:rsid w:val="005A38FF"/>
    <w:rsid w:val="005A3AF8"/>
    <w:rsid w:val="005A3C28"/>
    <w:rsid w:val="005A43FF"/>
    <w:rsid w:val="005A48BE"/>
    <w:rsid w:val="005A4D88"/>
    <w:rsid w:val="005A5231"/>
    <w:rsid w:val="005A54DA"/>
    <w:rsid w:val="005A5520"/>
    <w:rsid w:val="005A5D60"/>
    <w:rsid w:val="005A5F42"/>
    <w:rsid w:val="005A6280"/>
    <w:rsid w:val="005A64EC"/>
    <w:rsid w:val="005A6B5C"/>
    <w:rsid w:val="005A6CC8"/>
    <w:rsid w:val="005A700C"/>
    <w:rsid w:val="005A7073"/>
    <w:rsid w:val="005A7C37"/>
    <w:rsid w:val="005B03BD"/>
    <w:rsid w:val="005B132D"/>
    <w:rsid w:val="005B16BC"/>
    <w:rsid w:val="005B17D6"/>
    <w:rsid w:val="005B180C"/>
    <w:rsid w:val="005B1B01"/>
    <w:rsid w:val="005B1ECD"/>
    <w:rsid w:val="005B2681"/>
    <w:rsid w:val="005B2765"/>
    <w:rsid w:val="005B28C1"/>
    <w:rsid w:val="005B2A83"/>
    <w:rsid w:val="005B2AE9"/>
    <w:rsid w:val="005B32BE"/>
    <w:rsid w:val="005B42D7"/>
    <w:rsid w:val="005B43FA"/>
    <w:rsid w:val="005B4755"/>
    <w:rsid w:val="005B48CC"/>
    <w:rsid w:val="005B4A1D"/>
    <w:rsid w:val="005B4EC1"/>
    <w:rsid w:val="005B507B"/>
    <w:rsid w:val="005B52BA"/>
    <w:rsid w:val="005B52E9"/>
    <w:rsid w:val="005B5492"/>
    <w:rsid w:val="005B5920"/>
    <w:rsid w:val="005B5BD4"/>
    <w:rsid w:val="005B63DF"/>
    <w:rsid w:val="005B6955"/>
    <w:rsid w:val="005B6C37"/>
    <w:rsid w:val="005B7249"/>
    <w:rsid w:val="005B765C"/>
    <w:rsid w:val="005B7A2A"/>
    <w:rsid w:val="005C025F"/>
    <w:rsid w:val="005C06CB"/>
    <w:rsid w:val="005C06D6"/>
    <w:rsid w:val="005C07BA"/>
    <w:rsid w:val="005C091E"/>
    <w:rsid w:val="005C0A2F"/>
    <w:rsid w:val="005C0C64"/>
    <w:rsid w:val="005C0DF1"/>
    <w:rsid w:val="005C152B"/>
    <w:rsid w:val="005C1D4B"/>
    <w:rsid w:val="005C2B6E"/>
    <w:rsid w:val="005C3811"/>
    <w:rsid w:val="005C3A0A"/>
    <w:rsid w:val="005C3AB5"/>
    <w:rsid w:val="005C426B"/>
    <w:rsid w:val="005C44ED"/>
    <w:rsid w:val="005C4A30"/>
    <w:rsid w:val="005C4BAC"/>
    <w:rsid w:val="005C4C94"/>
    <w:rsid w:val="005C4CB7"/>
    <w:rsid w:val="005C4F4B"/>
    <w:rsid w:val="005C4F7F"/>
    <w:rsid w:val="005C50B8"/>
    <w:rsid w:val="005C51EB"/>
    <w:rsid w:val="005C51FD"/>
    <w:rsid w:val="005C5293"/>
    <w:rsid w:val="005C5402"/>
    <w:rsid w:val="005C5DC4"/>
    <w:rsid w:val="005C5E4B"/>
    <w:rsid w:val="005C5F01"/>
    <w:rsid w:val="005C61C3"/>
    <w:rsid w:val="005C6616"/>
    <w:rsid w:val="005C6BC0"/>
    <w:rsid w:val="005C72AC"/>
    <w:rsid w:val="005C773D"/>
    <w:rsid w:val="005C78D3"/>
    <w:rsid w:val="005D05DE"/>
    <w:rsid w:val="005D0ADC"/>
    <w:rsid w:val="005D0CD9"/>
    <w:rsid w:val="005D0E2F"/>
    <w:rsid w:val="005D112E"/>
    <w:rsid w:val="005D15F9"/>
    <w:rsid w:val="005D17F2"/>
    <w:rsid w:val="005D18A5"/>
    <w:rsid w:val="005D1948"/>
    <w:rsid w:val="005D20FA"/>
    <w:rsid w:val="005D26AB"/>
    <w:rsid w:val="005D2ACB"/>
    <w:rsid w:val="005D2AF4"/>
    <w:rsid w:val="005D2BA3"/>
    <w:rsid w:val="005D3AE6"/>
    <w:rsid w:val="005D3BFA"/>
    <w:rsid w:val="005D3D66"/>
    <w:rsid w:val="005D3DE7"/>
    <w:rsid w:val="005D470E"/>
    <w:rsid w:val="005D48CB"/>
    <w:rsid w:val="005D4902"/>
    <w:rsid w:val="005D533E"/>
    <w:rsid w:val="005D5681"/>
    <w:rsid w:val="005D604D"/>
    <w:rsid w:val="005D61E0"/>
    <w:rsid w:val="005D6D02"/>
    <w:rsid w:val="005D6DE1"/>
    <w:rsid w:val="005D6EC4"/>
    <w:rsid w:val="005D7114"/>
    <w:rsid w:val="005D7B04"/>
    <w:rsid w:val="005E0628"/>
    <w:rsid w:val="005E12B6"/>
    <w:rsid w:val="005E1438"/>
    <w:rsid w:val="005E2815"/>
    <w:rsid w:val="005E2A0C"/>
    <w:rsid w:val="005E2BF5"/>
    <w:rsid w:val="005E309E"/>
    <w:rsid w:val="005E3325"/>
    <w:rsid w:val="005E335E"/>
    <w:rsid w:val="005E3F0B"/>
    <w:rsid w:val="005E4F7C"/>
    <w:rsid w:val="005E52D3"/>
    <w:rsid w:val="005E56FC"/>
    <w:rsid w:val="005E64F0"/>
    <w:rsid w:val="005E6931"/>
    <w:rsid w:val="005E7A9F"/>
    <w:rsid w:val="005E7CE4"/>
    <w:rsid w:val="005E7E7C"/>
    <w:rsid w:val="005E7EBC"/>
    <w:rsid w:val="005F0A13"/>
    <w:rsid w:val="005F19E5"/>
    <w:rsid w:val="005F1FB6"/>
    <w:rsid w:val="005F227B"/>
    <w:rsid w:val="005F240F"/>
    <w:rsid w:val="005F2490"/>
    <w:rsid w:val="005F2673"/>
    <w:rsid w:val="005F2AA5"/>
    <w:rsid w:val="005F2B90"/>
    <w:rsid w:val="005F374E"/>
    <w:rsid w:val="005F37EF"/>
    <w:rsid w:val="005F411A"/>
    <w:rsid w:val="005F43EA"/>
    <w:rsid w:val="005F4438"/>
    <w:rsid w:val="005F4B8B"/>
    <w:rsid w:val="005F52B0"/>
    <w:rsid w:val="005F5683"/>
    <w:rsid w:val="005F56F1"/>
    <w:rsid w:val="005F584D"/>
    <w:rsid w:val="005F58CF"/>
    <w:rsid w:val="005F5903"/>
    <w:rsid w:val="005F5A25"/>
    <w:rsid w:val="005F5AFA"/>
    <w:rsid w:val="005F63EE"/>
    <w:rsid w:val="005F6A15"/>
    <w:rsid w:val="005F72FE"/>
    <w:rsid w:val="005F761B"/>
    <w:rsid w:val="005F76AB"/>
    <w:rsid w:val="006001DB"/>
    <w:rsid w:val="00600216"/>
    <w:rsid w:val="006008E6"/>
    <w:rsid w:val="00600DD2"/>
    <w:rsid w:val="006011CC"/>
    <w:rsid w:val="00601E94"/>
    <w:rsid w:val="006022B5"/>
    <w:rsid w:val="006026A3"/>
    <w:rsid w:val="006027CB"/>
    <w:rsid w:val="00602BEA"/>
    <w:rsid w:val="0060364D"/>
    <w:rsid w:val="00603B6A"/>
    <w:rsid w:val="00603BE9"/>
    <w:rsid w:val="006047B3"/>
    <w:rsid w:val="00604880"/>
    <w:rsid w:val="00604AD8"/>
    <w:rsid w:val="00604C5F"/>
    <w:rsid w:val="0060505A"/>
    <w:rsid w:val="0060567A"/>
    <w:rsid w:val="006058B8"/>
    <w:rsid w:val="00605B88"/>
    <w:rsid w:val="00606084"/>
    <w:rsid w:val="00606289"/>
    <w:rsid w:val="00606A14"/>
    <w:rsid w:val="00606AF2"/>
    <w:rsid w:val="00606D5C"/>
    <w:rsid w:val="00606D7E"/>
    <w:rsid w:val="00607B09"/>
    <w:rsid w:val="00607E2D"/>
    <w:rsid w:val="0061065F"/>
    <w:rsid w:val="0061078F"/>
    <w:rsid w:val="0061097C"/>
    <w:rsid w:val="00611361"/>
    <w:rsid w:val="006117CC"/>
    <w:rsid w:val="00611AC1"/>
    <w:rsid w:val="0061215E"/>
    <w:rsid w:val="00612465"/>
    <w:rsid w:val="0061255B"/>
    <w:rsid w:val="00612711"/>
    <w:rsid w:val="00612C9B"/>
    <w:rsid w:val="006134AC"/>
    <w:rsid w:val="00613877"/>
    <w:rsid w:val="00613EC5"/>
    <w:rsid w:val="0061408F"/>
    <w:rsid w:val="006140FC"/>
    <w:rsid w:val="006142DC"/>
    <w:rsid w:val="00614590"/>
    <w:rsid w:val="006147FA"/>
    <w:rsid w:val="00614A87"/>
    <w:rsid w:val="00614BB0"/>
    <w:rsid w:val="00615780"/>
    <w:rsid w:val="0061579D"/>
    <w:rsid w:val="00615D17"/>
    <w:rsid w:val="00615F11"/>
    <w:rsid w:val="00616316"/>
    <w:rsid w:val="00616383"/>
    <w:rsid w:val="0061654B"/>
    <w:rsid w:val="00616B6C"/>
    <w:rsid w:val="00616E86"/>
    <w:rsid w:val="006173D7"/>
    <w:rsid w:val="0061791F"/>
    <w:rsid w:val="00617D9F"/>
    <w:rsid w:val="00620034"/>
    <w:rsid w:val="00620A6A"/>
    <w:rsid w:val="00620EE7"/>
    <w:rsid w:val="00621963"/>
    <w:rsid w:val="006219C5"/>
    <w:rsid w:val="00621B3F"/>
    <w:rsid w:val="00621B5E"/>
    <w:rsid w:val="0062224E"/>
    <w:rsid w:val="00622331"/>
    <w:rsid w:val="00622ECE"/>
    <w:rsid w:val="006230EE"/>
    <w:rsid w:val="00623316"/>
    <w:rsid w:val="00623515"/>
    <w:rsid w:val="00623723"/>
    <w:rsid w:val="006238A9"/>
    <w:rsid w:val="00623C4A"/>
    <w:rsid w:val="00623CDB"/>
    <w:rsid w:val="00623E70"/>
    <w:rsid w:val="0062404E"/>
    <w:rsid w:val="006257A6"/>
    <w:rsid w:val="006258C2"/>
    <w:rsid w:val="00625AF1"/>
    <w:rsid w:val="00625C65"/>
    <w:rsid w:val="0062616F"/>
    <w:rsid w:val="006264F0"/>
    <w:rsid w:val="006267AD"/>
    <w:rsid w:val="006271A0"/>
    <w:rsid w:val="0062749D"/>
    <w:rsid w:val="006278DF"/>
    <w:rsid w:val="00627AA6"/>
    <w:rsid w:val="00627DB2"/>
    <w:rsid w:val="00630300"/>
    <w:rsid w:val="00630427"/>
    <w:rsid w:val="006307ED"/>
    <w:rsid w:val="00630A16"/>
    <w:rsid w:val="00630C67"/>
    <w:rsid w:val="00630D65"/>
    <w:rsid w:val="00631170"/>
    <w:rsid w:val="00631699"/>
    <w:rsid w:val="006319C3"/>
    <w:rsid w:val="006320D6"/>
    <w:rsid w:val="00632A2A"/>
    <w:rsid w:val="00632C63"/>
    <w:rsid w:val="006349EC"/>
    <w:rsid w:val="00635204"/>
    <w:rsid w:val="006357B5"/>
    <w:rsid w:val="00635D9B"/>
    <w:rsid w:val="00635FD0"/>
    <w:rsid w:val="00636701"/>
    <w:rsid w:val="00636980"/>
    <w:rsid w:val="00636CC9"/>
    <w:rsid w:val="006372ED"/>
    <w:rsid w:val="006373D3"/>
    <w:rsid w:val="006379C2"/>
    <w:rsid w:val="00637CD3"/>
    <w:rsid w:val="00640031"/>
    <w:rsid w:val="0064092D"/>
    <w:rsid w:val="00640D6C"/>
    <w:rsid w:val="00640D90"/>
    <w:rsid w:val="0064105E"/>
    <w:rsid w:val="00641276"/>
    <w:rsid w:val="00641583"/>
    <w:rsid w:val="00641F0E"/>
    <w:rsid w:val="00643E29"/>
    <w:rsid w:val="0064480D"/>
    <w:rsid w:val="00644C64"/>
    <w:rsid w:val="006454E7"/>
    <w:rsid w:val="0064560F"/>
    <w:rsid w:val="00645664"/>
    <w:rsid w:val="006456E9"/>
    <w:rsid w:val="00645C0D"/>
    <w:rsid w:val="00646E6B"/>
    <w:rsid w:val="006473B5"/>
    <w:rsid w:val="006474E6"/>
    <w:rsid w:val="00647503"/>
    <w:rsid w:val="0064762C"/>
    <w:rsid w:val="006477CC"/>
    <w:rsid w:val="00647805"/>
    <w:rsid w:val="0064798B"/>
    <w:rsid w:val="00647DA8"/>
    <w:rsid w:val="006501B4"/>
    <w:rsid w:val="00651070"/>
    <w:rsid w:val="00651A52"/>
    <w:rsid w:val="00651A9B"/>
    <w:rsid w:val="00651E97"/>
    <w:rsid w:val="00652C73"/>
    <w:rsid w:val="00653621"/>
    <w:rsid w:val="006539AF"/>
    <w:rsid w:val="006539B5"/>
    <w:rsid w:val="00653E7B"/>
    <w:rsid w:val="00653F7E"/>
    <w:rsid w:val="006547F9"/>
    <w:rsid w:val="00654858"/>
    <w:rsid w:val="0065489D"/>
    <w:rsid w:val="006548C9"/>
    <w:rsid w:val="00654AAD"/>
    <w:rsid w:val="00654D30"/>
    <w:rsid w:val="00654D91"/>
    <w:rsid w:val="0065543D"/>
    <w:rsid w:val="00655518"/>
    <w:rsid w:val="006559A5"/>
    <w:rsid w:val="00656272"/>
    <w:rsid w:val="0065683B"/>
    <w:rsid w:val="00656BAB"/>
    <w:rsid w:val="00657171"/>
    <w:rsid w:val="00657E2A"/>
    <w:rsid w:val="006605DD"/>
    <w:rsid w:val="00660711"/>
    <w:rsid w:val="00660870"/>
    <w:rsid w:val="00660D65"/>
    <w:rsid w:val="00660E84"/>
    <w:rsid w:val="006610FB"/>
    <w:rsid w:val="006614E1"/>
    <w:rsid w:val="006615AD"/>
    <w:rsid w:val="00661D7C"/>
    <w:rsid w:val="0066223A"/>
    <w:rsid w:val="006622BE"/>
    <w:rsid w:val="00662678"/>
    <w:rsid w:val="00662DBA"/>
    <w:rsid w:val="00663970"/>
    <w:rsid w:val="0066426D"/>
    <w:rsid w:val="006643CE"/>
    <w:rsid w:val="006645B0"/>
    <w:rsid w:val="00664DD0"/>
    <w:rsid w:val="00664E1E"/>
    <w:rsid w:val="00664E44"/>
    <w:rsid w:val="00667F9C"/>
    <w:rsid w:val="006701FE"/>
    <w:rsid w:val="006712E5"/>
    <w:rsid w:val="006715B8"/>
    <w:rsid w:val="00671A43"/>
    <w:rsid w:val="00671A63"/>
    <w:rsid w:val="006724E5"/>
    <w:rsid w:val="006725D7"/>
    <w:rsid w:val="006728BC"/>
    <w:rsid w:val="00672904"/>
    <w:rsid w:val="00672ACB"/>
    <w:rsid w:val="00673571"/>
    <w:rsid w:val="00673E19"/>
    <w:rsid w:val="0067403A"/>
    <w:rsid w:val="0067457A"/>
    <w:rsid w:val="006745A0"/>
    <w:rsid w:val="00674968"/>
    <w:rsid w:val="00674BB0"/>
    <w:rsid w:val="00674C1A"/>
    <w:rsid w:val="00674F30"/>
    <w:rsid w:val="00675128"/>
    <w:rsid w:val="006752BE"/>
    <w:rsid w:val="006755D7"/>
    <w:rsid w:val="0067563B"/>
    <w:rsid w:val="00675B38"/>
    <w:rsid w:val="00675E7A"/>
    <w:rsid w:val="00676634"/>
    <w:rsid w:val="00676941"/>
    <w:rsid w:val="0067697C"/>
    <w:rsid w:val="00676EA3"/>
    <w:rsid w:val="00676FE5"/>
    <w:rsid w:val="006777C1"/>
    <w:rsid w:val="006778A6"/>
    <w:rsid w:val="00677B15"/>
    <w:rsid w:val="00677B4D"/>
    <w:rsid w:val="00677E94"/>
    <w:rsid w:val="0068042F"/>
    <w:rsid w:val="006805AC"/>
    <w:rsid w:val="00680AA1"/>
    <w:rsid w:val="00682053"/>
    <w:rsid w:val="006828AE"/>
    <w:rsid w:val="006829C7"/>
    <w:rsid w:val="006829E1"/>
    <w:rsid w:val="00682EB4"/>
    <w:rsid w:val="00682F26"/>
    <w:rsid w:val="006839BE"/>
    <w:rsid w:val="00683F6F"/>
    <w:rsid w:val="00684184"/>
    <w:rsid w:val="006842DE"/>
    <w:rsid w:val="006843C4"/>
    <w:rsid w:val="006851EC"/>
    <w:rsid w:val="006853C0"/>
    <w:rsid w:val="0068546B"/>
    <w:rsid w:val="00685490"/>
    <w:rsid w:val="00685D19"/>
    <w:rsid w:val="00686352"/>
    <w:rsid w:val="006867D5"/>
    <w:rsid w:val="00686918"/>
    <w:rsid w:val="00686AA7"/>
    <w:rsid w:val="00686E3E"/>
    <w:rsid w:val="00687509"/>
    <w:rsid w:val="00687645"/>
    <w:rsid w:val="0069015F"/>
    <w:rsid w:val="006901A0"/>
    <w:rsid w:val="00690AD1"/>
    <w:rsid w:val="006918CA"/>
    <w:rsid w:val="00691CAE"/>
    <w:rsid w:val="00691DE0"/>
    <w:rsid w:val="0069201F"/>
    <w:rsid w:val="0069245E"/>
    <w:rsid w:val="00692500"/>
    <w:rsid w:val="00692DDE"/>
    <w:rsid w:val="00692FBF"/>
    <w:rsid w:val="006934C0"/>
    <w:rsid w:val="00693695"/>
    <w:rsid w:val="00693E28"/>
    <w:rsid w:val="0069412D"/>
    <w:rsid w:val="0069472C"/>
    <w:rsid w:val="0069490A"/>
    <w:rsid w:val="0069507A"/>
    <w:rsid w:val="0069561F"/>
    <w:rsid w:val="00696E2E"/>
    <w:rsid w:val="0069723E"/>
    <w:rsid w:val="00697A1A"/>
    <w:rsid w:val="00697A36"/>
    <w:rsid w:val="00697BFE"/>
    <w:rsid w:val="006A005A"/>
    <w:rsid w:val="006A0136"/>
    <w:rsid w:val="006A11E1"/>
    <w:rsid w:val="006A1225"/>
    <w:rsid w:val="006A12B4"/>
    <w:rsid w:val="006A1526"/>
    <w:rsid w:val="006A15CE"/>
    <w:rsid w:val="006A196B"/>
    <w:rsid w:val="006A1CCB"/>
    <w:rsid w:val="006A21C2"/>
    <w:rsid w:val="006A22FC"/>
    <w:rsid w:val="006A2501"/>
    <w:rsid w:val="006A3349"/>
    <w:rsid w:val="006A339D"/>
    <w:rsid w:val="006A3DD8"/>
    <w:rsid w:val="006A3F2A"/>
    <w:rsid w:val="006A4285"/>
    <w:rsid w:val="006A4714"/>
    <w:rsid w:val="006A4A29"/>
    <w:rsid w:val="006A4CFE"/>
    <w:rsid w:val="006A5555"/>
    <w:rsid w:val="006A5592"/>
    <w:rsid w:val="006A5593"/>
    <w:rsid w:val="006A5BEA"/>
    <w:rsid w:val="006A5F91"/>
    <w:rsid w:val="006A602B"/>
    <w:rsid w:val="006A63BE"/>
    <w:rsid w:val="006A68E0"/>
    <w:rsid w:val="006A694C"/>
    <w:rsid w:val="006A6A60"/>
    <w:rsid w:val="006A79B7"/>
    <w:rsid w:val="006A7E48"/>
    <w:rsid w:val="006B05EA"/>
    <w:rsid w:val="006B0B84"/>
    <w:rsid w:val="006B0B9B"/>
    <w:rsid w:val="006B0C78"/>
    <w:rsid w:val="006B1220"/>
    <w:rsid w:val="006B1E65"/>
    <w:rsid w:val="006B22C6"/>
    <w:rsid w:val="006B23FD"/>
    <w:rsid w:val="006B2D8F"/>
    <w:rsid w:val="006B3455"/>
    <w:rsid w:val="006B3CFA"/>
    <w:rsid w:val="006B42E8"/>
    <w:rsid w:val="006B46D1"/>
    <w:rsid w:val="006B54BE"/>
    <w:rsid w:val="006B566D"/>
    <w:rsid w:val="006B598C"/>
    <w:rsid w:val="006B614D"/>
    <w:rsid w:val="006B6474"/>
    <w:rsid w:val="006B69CF"/>
    <w:rsid w:val="006B6AFE"/>
    <w:rsid w:val="006B6B73"/>
    <w:rsid w:val="006B77C5"/>
    <w:rsid w:val="006B7C13"/>
    <w:rsid w:val="006B7C96"/>
    <w:rsid w:val="006B7D92"/>
    <w:rsid w:val="006C05E6"/>
    <w:rsid w:val="006C0A04"/>
    <w:rsid w:val="006C18D1"/>
    <w:rsid w:val="006C18FF"/>
    <w:rsid w:val="006C1AAC"/>
    <w:rsid w:val="006C1DDB"/>
    <w:rsid w:val="006C334F"/>
    <w:rsid w:val="006C3E09"/>
    <w:rsid w:val="006C472A"/>
    <w:rsid w:val="006C4C60"/>
    <w:rsid w:val="006C52C3"/>
    <w:rsid w:val="006C539A"/>
    <w:rsid w:val="006C5712"/>
    <w:rsid w:val="006C5D92"/>
    <w:rsid w:val="006C5E19"/>
    <w:rsid w:val="006C64D2"/>
    <w:rsid w:val="006C65B1"/>
    <w:rsid w:val="006C6731"/>
    <w:rsid w:val="006C7029"/>
    <w:rsid w:val="006C71F4"/>
    <w:rsid w:val="006C761C"/>
    <w:rsid w:val="006C79E6"/>
    <w:rsid w:val="006D0191"/>
    <w:rsid w:val="006D0528"/>
    <w:rsid w:val="006D1039"/>
    <w:rsid w:val="006D147F"/>
    <w:rsid w:val="006D18D9"/>
    <w:rsid w:val="006D1AB3"/>
    <w:rsid w:val="006D207F"/>
    <w:rsid w:val="006D22C5"/>
    <w:rsid w:val="006D22C6"/>
    <w:rsid w:val="006D2B23"/>
    <w:rsid w:val="006D2BA9"/>
    <w:rsid w:val="006D2D72"/>
    <w:rsid w:val="006D2E57"/>
    <w:rsid w:val="006D37A9"/>
    <w:rsid w:val="006D3A0A"/>
    <w:rsid w:val="006D3D5E"/>
    <w:rsid w:val="006D3F72"/>
    <w:rsid w:val="006D4754"/>
    <w:rsid w:val="006D576E"/>
    <w:rsid w:val="006D5778"/>
    <w:rsid w:val="006D5F6B"/>
    <w:rsid w:val="006D6369"/>
    <w:rsid w:val="006D6866"/>
    <w:rsid w:val="006D68DE"/>
    <w:rsid w:val="006D6989"/>
    <w:rsid w:val="006D6C88"/>
    <w:rsid w:val="006D6D28"/>
    <w:rsid w:val="006D6E08"/>
    <w:rsid w:val="006D6F4B"/>
    <w:rsid w:val="006D7533"/>
    <w:rsid w:val="006D7581"/>
    <w:rsid w:val="006D79D8"/>
    <w:rsid w:val="006D7A74"/>
    <w:rsid w:val="006D7BE3"/>
    <w:rsid w:val="006E0072"/>
    <w:rsid w:val="006E0550"/>
    <w:rsid w:val="006E07C9"/>
    <w:rsid w:val="006E0DDD"/>
    <w:rsid w:val="006E0E7B"/>
    <w:rsid w:val="006E10ED"/>
    <w:rsid w:val="006E193D"/>
    <w:rsid w:val="006E2B07"/>
    <w:rsid w:val="006E2B7E"/>
    <w:rsid w:val="006E2B84"/>
    <w:rsid w:val="006E3173"/>
    <w:rsid w:val="006E3A07"/>
    <w:rsid w:val="006E3A4D"/>
    <w:rsid w:val="006E3EBD"/>
    <w:rsid w:val="006E42E9"/>
    <w:rsid w:val="006E4311"/>
    <w:rsid w:val="006E43FB"/>
    <w:rsid w:val="006E4872"/>
    <w:rsid w:val="006E4D62"/>
    <w:rsid w:val="006E4FE7"/>
    <w:rsid w:val="006E5739"/>
    <w:rsid w:val="006E5832"/>
    <w:rsid w:val="006E5872"/>
    <w:rsid w:val="006E5DDA"/>
    <w:rsid w:val="006E5EE0"/>
    <w:rsid w:val="006E5EF9"/>
    <w:rsid w:val="006E5F60"/>
    <w:rsid w:val="006E6249"/>
    <w:rsid w:val="006E65FD"/>
    <w:rsid w:val="006E6AA6"/>
    <w:rsid w:val="006E6D18"/>
    <w:rsid w:val="006E6E30"/>
    <w:rsid w:val="006E6F13"/>
    <w:rsid w:val="006E73C4"/>
    <w:rsid w:val="006E7F4A"/>
    <w:rsid w:val="006F03B3"/>
    <w:rsid w:val="006F066D"/>
    <w:rsid w:val="006F09F8"/>
    <w:rsid w:val="006F0B20"/>
    <w:rsid w:val="006F0C28"/>
    <w:rsid w:val="006F0F72"/>
    <w:rsid w:val="006F19EC"/>
    <w:rsid w:val="006F1B06"/>
    <w:rsid w:val="006F1D98"/>
    <w:rsid w:val="006F237C"/>
    <w:rsid w:val="006F2BFA"/>
    <w:rsid w:val="006F343D"/>
    <w:rsid w:val="006F3866"/>
    <w:rsid w:val="006F3EDE"/>
    <w:rsid w:val="006F3F13"/>
    <w:rsid w:val="006F41F2"/>
    <w:rsid w:val="006F435F"/>
    <w:rsid w:val="006F45DC"/>
    <w:rsid w:val="006F4BDF"/>
    <w:rsid w:val="006F51DA"/>
    <w:rsid w:val="006F55E2"/>
    <w:rsid w:val="006F56AA"/>
    <w:rsid w:val="006F571C"/>
    <w:rsid w:val="006F5952"/>
    <w:rsid w:val="006F5A63"/>
    <w:rsid w:val="006F6F72"/>
    <w:rsid w:val="006F7288"/>
    <w:rsid w:val="006F7958"/>
    <w:rsid w:val="006F7F6E"/>
    <w:rsid w:val="00700949"/>
    <w:rsid w:val="00700CFA"/>
    <w:rsid w:val="00700F0D"/>
    <w:rsid w:val="00701193"/>
    <w:rsid w:val="007013F2"/>
    <w:rsid w:val="007015FA"/>
    <w:rsid w:val="007017E5"/>
    <w:rsid w:val="00702021"/>
    <w:rsid w:val="00703939"/>
    <w:rsid w:val="00703F62"/>
    <w:rsid w:val="00704166"/>
    <w:rsid w:val="0070443F"/>
    <w:rsid w:val="00706224"/>
    <w:rsid w:val="007066A1"/>
    <w:rsid w:val="00706B4B"/>
    <w:rsid w:val="00706C60"/>
    <w:rsid w:val="00706D57"/>
    <w:rsid w:val="00707113"/>
    <w:rsid w:val="00707638"/>
    <w:rsid w:val="007100DB"/>
    <w:rsid w:val="0071035D"/>
    <w:rsid w:val="007105C8"/>
    <w:rsid w:val="007105F6"/>
    <w:rsid w:val="0071091E"/>
    <w:rsid w:val="00710FB5"/>
    <w:rsid w:val="00711D72"/>
    <w:rsid w:val="00711FD2"/>
    <w:rsid w:val="007122E2"/>
    <w:rsid w:val="007123A9"/>
    <w:rsid w:val="0071261D"/>
    <w:rsid w:val="007129B4"/>
    <w:rsid w:val="00712B51"/>
    <w:rsid w:val="0071378E"/>
    <w:rsid w:val="007137A5"/>
    <w:rsid w:val="00713816"/>
    <w:rsid w:val="00713A97"/>
    <w:rsid w:val="00713CC1"/>
    <w:rsid w:val="00714392"/>
    <w:rsid w:val="007155BA"/>
    <w:rsid w:val="007156D9"/>
    <w:rsid w:val="007157B7"/>
    <w:rsid w:val="00715DBD"/>
    <w:rsid w:val="007166D6"/>
    <w:rsid w:val="0071684D"/>
    <w:rsid w:val="00716B54"/>
    <w:rsid w:val="007170EF"/>
    <w:rsid w:val="007171A3"/>
    <w:rsid w:val="00717484"/>
    <w:rsid w:val="007175CC"/>
    <w:rsid w:val="00720965"/>
    <w:rsid w:val="00720FE3"/>
    <w:rsid w:val="007214D6"/>
    <w:rsid w:val="0072238A"/>
    <w:rsid w:val="007223A8"/>
    <w:rsid w:val="007233DC"/>
    <w:rsid w:val="00723637"/>
    <w:rsid w:val="00723D3C"/>
    <w:rsid w:val="00724345"/>
    <w:rsid w:val="007248C2"/>
    <w:rsid w:val="00724A61"/>
    <w:rsid w:val="00724CCF"/>
    <w:rsid w:val="00724F5F"/>
    <w:rsid w:val="00725356"/>
    <w:rsid w:val="00725D94"/>
    <w:rsid w:val="00725F0D"/>
    <w:rsid w:val="00726230"/>
    <w:rsid w:val="007263A9"/>
    <w:rsid w:val="007264AD"/>
    <w:rsid w:val="00726B7D"/>
    <w:rsid w:val="00727179"/>
    <w:rsid w:val="00727457"/>
    <w:rsid w:val="00727A59"/>
    <w:rsid w:val="00727BBD"/>
    <w:rsid w:val="00727C32"/>
    <w:rsid w:val="00727CF3"/>
    <w:rsid w:val="00727FFE"/>
    <w:rsid w:val="007304FC"/>
    <w:rsid w:val="00730B72"/>
    <w:rsid w:val="00730FDA"/>
    <w:rsid w:val="007311AE"/>
    <w:rsid w:val="0073136A"/>
    <w:rsid w:val="0073219B"/>
    <w:rsid w:val="00732A4E"/>
    <w:rsid w:val="00732C8B"/>
    <w:rsid w:val="007335CA"/>
    <w:rsid w:val="00733693"/>
    <w:rsid w:val="00733724"/>
    <w:rsid w:val="007337A0"/>
    <w:rsid w:val="00733F28"/>
    <w:rsid w:val="007349B9"/>
    <w:rsid w:val="00734A34"/>
    <w:rsid w:val="00734A5B"/>
    <w:rsid w:val="0073617F"/>
    <w:rsid w:val="00736656"/>
    <w:rsid w:val="007367CB"/>
    <w:rsid w:val="007373E9"/>
    <w:rsid w:val="00737CBE"/>
    <w:rsid w:val="00737D12"/>
    <w:rsid w:val="00740275"/>
    <w:rsid w:val="0074038F"/>
    <w:rsid w:val="0074049E"/>
    <w:rsid w:val="007404B1"/>
    <w:rsid w:val="00740579"/>
    <w:rsid w:val="00740824"/>
    <w:rsid w:val="00740923"/>
    <w:rsid w:val="00740994"/>
    <w:rsid w:val="00740C03"/>
    <w:rsid w:val="007410AB"/>
    <w:rsid w:val="00741156"/>
    <w:rsid w:val="00741F4C"/>
    <w:rsid w:val="007423BB"/>
    <w:rsid w:val="0074240A"/>
    <w:rsid w:val="00742BB2"/>
    <w:rsid w:val="007432C7"/>
    <w:rsid w:val="00743363"/>
    <w:rsid w:val="00743506"/>
    <w:rsid w:val="00744248"/>
    <w:rsid w:val="00744813"/>
    <w:rsid w:val="00744F76"/>
    <w:rsid w:val="00745429"/>
    <w:rsid w:val="00745BB7"/>
    <w:rsid w:val="00745BE5"/>
    <w:rsid w:val="0074617C"/>
    <w:rsid w:val="007465AF"/>
    <w:rsid w:val="0074689C"/>
    <w:rsid w:val="0074697B"/>
    <w:rsid w:val="00747591"/>
    <w:rsid w:val="00747619"/>
    <w:rsid w:val="00747A52"/>
    <w:rsid w:val="00750224"/>
    <w:rsid w:val="007506AA"/>
    <w:rsid w:val="00750A4D"/>
    <w:rsid w:val="00750BBA"/>
    <w:rsid w:val="00751A4B"/>
    <w:rsid w:val="00752314"/>
    <w:rsid w:val="007526E2"/>
    <w:rsid w:val="00752F82"/>
    <w:rsid w:val="007530F8"/>
    <w:rsid w:val="0075372F"/>
    <w:rsid w:val="007538FF"/>
    <w:rsid w:val="00753D66"/>
    <w:rsid w:val="00754087"/>
    <w:rsid w:val="00754127"/>
    <w:rsid w:val="0075480D"/>
    <w:rsid w:val="00754E8A"/>
    <w:rsid w:val="00754EAE"/>
    <w:rsid w:val="00755519"/>
    <w:rsid w:val="007558FE"/>
    <w:rsid w:val="00756961"/>
    <w:rsid w:val="00756A97"/>
    <w:rsid w:val="00756B9E"/>
    <w:rsid w:val="00756C3C"/>
    <w:rsid w:val="0075779E"/>
    <w:rsid w:val="00757E91"/>
    <w:rsid w:val="007604DB"/>
    <w:rsid w:val="0076050C"/>
    <w:rsid w:val="00760C73"/>
    <w:rsid w:val="00760ED9"/>
    <w:rsid w:val="007611F5"/>
    <w:rsid w:val="0076179B"/>
    <w:rsid w:val="00762004"/>
    <w:rsid w:val="0076206E"/>
    <w:rsid w:val="0076238A"/>
    <w:rsid w:val="00762800"/>
    <w:rsid w:val="00762B23"/>
    <w:rsid w:val="00762CB7"/>
    <w:rsid w:val="00762CBF"/>
    <w:rsid w:val="007631DD"/>
    <w:rsid w:val="00763529"/>
    <w:rsid w:val="00763A68"/>
    <w:rsid w:val="007646C1"/>
    <w:rsid w:val="00764995"/>
    <w:rsid w:val="00764FB0"/>
    <w:rsid w:val="0076523E"/>
    <w:rsid w:val="007653E1"/>
    <w:rsid w:val="007657DF"/>
    <w:rsid w:val="007662E3"/>
    <w:rsid w:val="0076634B"/>
    <w:rsid w:val="00766547"/>
    <w:rsid w:val="00766710"/>
    <w:rsid w:val="00767193"/>
    <w:rsid w:val="007671C7"/>
    <w:rsid w:val="00767C86"/>
    <w:rsid w:val="00770714"/>
    <w:rsid w:val="00770B54"/>
    <w:rsid w:val="00770DD9"/>
    <w:rsid w:val="00770E64"/>
    <w:rsid w:val="0077115B"/>
    <w:rsid w:val="00771352"/>
    <w:rsid w:val="00771A9A"/>
    <w:rsid w:val="00771BC8"/>
    <w:rsid w:val="00772024"/>
    <w:rsid w:val="00772025"/>
    <w:rsid w:val="007722A4"/>
    <w:rsid w:val="00772A12"/>
    <w:rsid w:val="00773708"/>
    <w:rsid w:val="00773721"/>
    <w:rsid w:val="00773D05"/>
    <w:rsid w:val="007741A7"/>
    <w:rsid w:val="00774342"/>
    <w:rsid w:val="0077449E"/>
    <w:rsid w:val="00774C16"/>
    <w:rsid w:val="00774F7F"/>
    <w:rsid w:val="007752CE"/>
    <w:rsid w:val="007759C7"/>
    <w:rsid w:val="00776057"/>
    <w:rsid w:val="007762D5"/>
    <w:rsid w:val="00776845"/>
    <w:rsid w:val="00776A98"/>
    <w:rsid w:val="00776B14"/>
    <w:rsid w:val="00776D34"/>
    <w:rsid w:val="00776F43"/>
    <w:rsid w:val="00776FCB"/>
    <w:rsid w:val="0077707D"/>
    <w:rsid w:val="00777140"/>
    <w:rsid w:val="0077727C"/>
    <w:rsid w:val="007774E5"/>
    <w:rsid w:val="0077779B"/>
    <w:rsid w:val="00777CD9"/>
    <w:rsid w:val="00777F2A"/>
    <w:rsid w:val="00780327"/>
    <w:rsid w:val="007803BB"/>
    <w:rsid w:val="0078085A"/>
    <w:rsid w:val="007809B0"/>
    <w:rsid w:val="00780D2E"/>
    <w:rsid w:val="00780E5D"/>
    <w:rsid w:val="00781BD6"/>
    <w:rsid w:val="00782101"/>
    <w:rsid w:val="007822BD"/>
    <w:rsid w:val="00783FA5"/>
    <w:rsid w:val="0078418D"/>
    <w:rsid w:val="00784267"/>
    <w:rsid w:val="0078429B"/>
    <w:rsid w:val="007848B1"/>
    <w:rsid w:val="00784C74"/>
    <w:rsid w:val="00784F03"/>
    <w:rsid w:val="00785163"/>
    <w:rsid w:val="00785857"/>
    <w:rsid w:val="0078757E"/>
    <w:rsid w:val="00787C58"/>
    <w:rsid w:val="00787F6E"/>
    <w:rsid w:val="00787F7D"/>
    <w:rsid w:val="00790072"/>
    <w:rsid w:val="007901DF"/>
    <w:rsid w:val="007906D3"/>
    <w:rsid w:val="00790B85"/>
    <w:rsid w:val="00790F0C"/>
    <w:rsid w:val="007915F1"/>
    <w:rsid w:val="0079188F"/>
    <w:rsid w:val="00791E21"/>
    <w:rsid w:val="00792417"/>
    <w:rsid w:val="00792583"/>
    <w:rsid w:val="007927BA"/>
    <w:rsid w:val="0079292C"/>
    <w:rsid w:val="00792FA2"/>
    <w:rsid w:val="0079352E"/>
    <w:rsid w:val="0079356A"/>
    <w:rsid w:val="0079379E"/>
    <w:rsid w:val="0079471F"/>
    <w:rsid w:val="00794ACA"/>
    <w:rsid w:val="00795D31"/>
    <w:rsid w:val="00795EC3"/>
    <w:rsid w:val="00795F69"/>
    <w:rsid w:val="00795FBA"/>
    <w:rsid w:val="007962A0"/>
    <w:rsid w:val="007965AA"/>
    <w:rsid w:val="00796CBF"/>
    <w:rsid w:val="00797083"/>
    <w:rsid w:val="007971FC"/>
    <w:rsid w:val="0079771B"/>
    <w:rsid w:val="007A0A0C"/>
    <w:rsid w:val="007A17F4"/>
    <w:rsid w:val="007A1BEC"/>
    <w:rsid w:val="007A1DAF"/>
    <w:rsid w:val="007A2202"/>
    <w:rsid w:val="007A220D"/>
    <w:rsid w:val="007A29BD"/>
    <w:rsid w:val="007A2ADC"/>
    <w:rsid w:val="007A2C45"/>
    <w:rsid w:val="007A2F7F"/>
    <w:rsid w:val="007A2FA6"/>
    <w:rsid w:val="007A36CE"/>
    <w:rsid w:val="007A3873"/>
    <w:rsid w:val="007A555B"/>
    <w:rsid w:val="007A5650"/>
    <w:rsid w:val="007A575B"/>
    <w:rsid w:val="007A585C"/>
    <w:rsid w:val="007A63B3"/>
    <w:rsid w:val="007A67CE"/>
    <w:rsid w:val="007A6A52"/>
    <w:rsid w:val="007A6EB4"/>
    <w:rsid w:val="007A741B"/>
    <w:rsid w:val="007A7A7F"/>
    <w:rsid w:val="007B0249"/>
    <w:rsid w:val="007B03AB"/>
    <w:rsid w:val="007B142D"/>
    <w:rsid w:val="007B1978"/>
    <w:rsid w:val="007B1D82"/>
    <w:rsid w:val="007B1F24"/>
    <w:rsid w:val="007B3148"/>
    <w:rsid w:val="007B38AB"/>
    <w:rsid w:val="007B38FE"/>
    <w:rsid w:val="007B3BAE"/>
    <w:rsid w:val="007B3D25"/>
    <w:rsid w:val="007B6334"/>
    <w:rsid w:val="007B6693"/>
    <w:rsid w:val="007B6B98"/>
    <w:rsid w:val="007B6E9C"/>
    <w:rsid w:val="007C009C"/>
    <w:rsid w:val="007C01C5"/>
    <w:rsid w:val="007C0A41"/>
    <w:rsid w:val="007C0E72"/>
    <w:rsid w:val="007C1093"/>
    <w:rsid w:val="007C17DE"/>
    <w:rsid w:val="007C1CD9"/>
    <w:rsid w:val="007C1D84"/>
    <w:rsid w:val="007C2168"/>
    <w:rsid w:val="007C24FD"/>
    <w:rsid w:val="007C257A"/>
    <w:rsid w:val="007C2DAE"/>
    <w:rsid w:val="007C2E17"/>
    <w:rsid w:val="007C3426"/>
    <w:rsid w:val="007C367F"/>
    <w:rsid w:val="007C4048"/>
    <w:rsid w:val="007C4F3D"/>
    <w:rsid w:val="007C5751"/>
    <w:rsid w:val="007C5B08"/>
    <w:rsid w:val="007C6125"/>
    <w:rsid w:val="007C638F"/>
    <w:rsid w:val="007C6993"/>
    <w:rsid w:val="007C71E4"/>
    <w:rsid w:val="007C7E32"/>
    <w:rsid w:val="007D0247"/>
    <w:rsid w:val="007D029D"/>
    <w:rsid w:val="007D0447"/>
    <w:rsid w:val="007D04A9"/>
    <w:rsid w:val="007D0B6B"/>
    <w:rsid w:val="007D0C25"/>
    <w:rsid w:val="007D0D37"/>
    <w:rsid w:val="007D1ADF"/>
    <w:rsid w:val="007D220E"/>
    <w:rsid w:val="007D2223"/>
    <w:rsid w:val="007D265F"/>
    <w:rsid w:val="007D28A6"/>
    <w:rsid w:val="007D298D"/>
    <w:rsid w:val="007D2C8D"/>
    <w:rsid w:val="007D2FDB"/>
    <w:rsid w:val="007D31AA"/>
    <w:rsid w:val="007D351C"/>
    <w:rsid w:val="007D3A88"/>
    <w:rsid w:val="007D4AB9"/>
    <w:rsid w:val="007D5B15"/>
    <w:rsid w:val="007D5F97"/>
    <w:rsid w:val="007D5FB6"/>
    <w:rsid w:val="007D60EC"/>
    <w:rsid w:val="007D6393"/>
    <w:rsid w:val="007D63B3"/>
    <w:rsid w:val="007D6663"/>
    <w:rsid w:val="007D6994"/>
    <w:rsid w:val="007D6ED5"/>
    <w:rsid w:val="007D77E7"/>
    <w:rsid w:val="007E0AEC"/>
    <w:rsid w:val="007E1535"/>
    <w:rsid w:val="007E198C"/>
    <w:rsid w:val="007E1C16"/>
    <w:rsid w:val="007E1DA1"/>
    <w:rsid w:val="007E1F75"/>
    <w:rsid w:val="007E29B6"/>
    <w:rsid w:val="007E2F7C"/>
    <w:rsid w:val="007E3008"/>
    <w:rsid w:val="007E30DC"/>
    <w:rsid w:val="007E354E"/>
    <w:rsid w:val="007E3E11"/>
    <w:rsid w:val="007E3F65"/>
    <w:rsid w:val="007E433F"/>
    <w:rsid w:val="007E4687"/>
    <w:rsid w:val="007E4938"/>
    <w:rsid w:val="007E5689"/>
    <w:rsid w:val="007E5A56"/>
    <w:rsid w:val="007E6DB6"/>
    <w:rsid w:val="007E6EB8"/>
    <w:rsid w:val="007E75CA"/>
    <w:rsid w:val="007E75EA"/>
    <w:rsid w:val="007E7A6F"/>
    <w:rsid w:val="007E7D32"/>
    <w:rsid w:val="007F02D5"/>
    <w:rsid w:val="007F035C"/>
    <w:rsid w:val="007F0570"/>
    <w:rsid w:val="007F0733"/>
    <w:rsid w:val="007F07A7"/>
    <w:rsid w:val="007F1E16"/>
    <w:rsid w:val="007F241E"/>
    <w:rsid w:val="007F2B18"/>
    <w:rsid w:val="007F3316"/>
    <w:rsid w:val="007F464E"/>
    <w:rsid w:val="007F49B8"/>
    <w:rsid w:val="007F4F71"/>
    <w:rsid w:val="007F50C0"/>
    <w:rsid w:val="007F521E"/>
    <w:rsid w:val="007F66FC"/>
    <w:rsid w:val="007F6917"/>
    <w:rsid w:val="007F71B2"/>
    <w:rsid w:val="007F73C9"/>
    <w:rsid w:val="007F75D6"/>
    <w:rsid w:val="007F7B86"/>
    <w:rsid w:val="007F7E7F"/>
    <w:rsid w:val="007F7EC0"/>
    <w:rsid w:val="00800220"/>
    <w:rsid w:val="00800358"/>
    <w:rsid w:val="00801806"/>
    <w:rsid w:val="008018C7"/>
    <w:rsid w:val="008029E3"/>
    <w:rsid w:val="00802A23"/>
    <w:rsid w:val="00802B6C"/>
    <w:rsid w:val="00802D31"/>
    <w:rsid w:val="0080332F"/>
    <w:rsid w:val="008038A8"/>
    <w:rsid w:val="00803BBD"/>
    <w:rsid w:val="00803C53"/>
    <w:rsid w:val="00803D38"/>
    <w:rsid w:val="0080419F"/>
    <w:rsid w:val="00804733"/>
    <w:rsid w:val="00805091"/>
    <w:rsid w:val="0080517E"/>
    <w:rsid w:val="008058AD"/>
    <w:rsid w:val="00805BDF"/>
    <w:rsid w:val="00805DDE"/>
    <w:rsid w:val="00805EAC"/>
    <w:rsid w:val="0080622A"/>
    <w:rsid w:val="00806421"/>
    <w:rsid w:val="00806445"/>
    <w:rsid w:val="008066C3"/>
    <w:rsid w:val="008069F8"/>
    <w:rsid w:val="00807110"/>
    <w:rsid w:val="00807229"/>
    <w:rsid w:val="0080792C"/>
    <w:rsid w:val="00807B83"/>
    <w:rsid w:val="00807D65"/>
    <w:rsid w:val="00807DB5"/>
    <w:rsid w:val="00807E2B"/>
    <w:rsid w:val="008101F4"/>
    <w:rsid w:val="00810527"/>
    <w:rsid w:val="00810B08"/>
    <w:rsid w:val="00811153"/>
    <w:rsid w:val="008112BA"/>
    <w:rsid w:val="00811699"/>
    <w:rsid w:val="0081178A"/>
    <w:rsid w:val="0081195D"/>
    <w:rsid w:val="00811AC4"/>
    <w:rsid w:val="00811C2A"/>
    <w:rsid w:val="00811F5F"/>
    <w:rsid w:val="00811FFF"/>
    <w:rsid w:val="008123D3"/>
    <w:rsid w:val="008124AB"/>
    <w:rsid w:val="00812508"/>
    <w:rsid w:val="008127FA"/>
    <w:rsid w:val="00812A30"/>
    <w:rsid w:val="00812C1B"/>
    <w:rsid w:val="00812CBC"/>
    <w:rsid w:val="0081389F"/>
    <w:rsid w:val="008138D3"/>
    <w:rsid w:val="00813F68"/>
    <w:rsid w:val="00814401"/>
    <w:rsid w:val="0081495F"/>
    <w:rsid w:val="00814BA6"/>
    <w:rsid w:val="008154C3"/>
    <w:rsid w:val="00815531"/>
    <w:rsid w:val="00815EF6"/>
    <w:rsid w:val="008160E2"/>
    <w:rsid w:val="00816690"/>
    <w:rsid w:val="00817278"/>
    <w:rsid w:val="008173CE"/>
    <w:rsid w:val="00817755"/>
    <w:rsid w:val="00817CF7"/>
    <w:rsid w:val="00817E89"/>
    <w:rsid w:val="00820F3F"/>
    <w:rsid w:val="0082160A"/>
    <w:rsid w:val="008217F5"/>
    <w:rsid w:val="008220F4"/>
    <w:rsid w:val="00822177"/>
    <w:rsid w:val="00822E1B"/>
    <w:rsid w:val="00823171"/>
    <w:rsid w:val="00823180"/>
    <w:rsid w:val="00823556"/>
    <w:rsid w:val="00823ABB"/>
    <w:rsid w:val="00823C6F"/>
    <w:rsid w:val="00823F7F"/>
    <w:rsid w:val="00824176"/>
    <w:rsid w:val="008242DE"/>
    <w:rsid w:val="00824345"/>
    <w:rsid w:val="00824455"/>
    <w:rsid w:val="00824468"/>
    <w:rsid w:val="00824572"/>
    <w:rsid w:val="00824B8D"/>
    <w:rsid w:val="00824F0F"/>
    <w:rsid w:val="008258A2"/>
    <w:rsid w:val="008258BC"/>
    <w:rsid w:val="00826207"/>
    <w:rsid w:val="0082647F"/>
    <w:rsid w:val="008264C0"/>
    <w:rsid w:val="00826DE2"/>
    <w:rsid w:val="00826E74"/>
    <w:rsid w:val="00826ECC"/>
    <w:rsid w:val="00827564"/>
    <w:rsid w:val="00827CC6"/>
    <w:rsid w:val="00830BB4"/>
    <w:rsid w:val="00830CBE"/>
    <w:rsid w:val="00830FAB"/>
    <w:rsid w:val="00831BE7"/>
    <w:rsid w:val="00831F40"/>
    <w:rsid w:val="00831F71"/>
    <w:rsid w:val="008324D9"/>
    <w:rsid w:val="00832D77"/>
    <w:rsid w:val="00832F2E"/>
    <w:rsid w:val="00833414"/>
    <w:rsid w:val="00833629"/>
    <w:rsid w:val="008336DE"/>
    <w:rsid w:val="0083389D"/>
    <w:rsid w:val="00833FED"/>
    <w:rsid w:val="00834505"/>
    <w:rsid w:val="00834D39"/>
    <w:rsid w:val="0083515B"/>
    <w:rsid w:val="00835662"/>
    <w:rsid w:val="00836214"/>
    <w:rsid w:val="008363E1"/>
    <w:rsid w:val="008364CD"/>
    <w:rsid w:val="00836AC0"/>
    <w:rsid w:val="008378C8"/>
    <w:rsid w:val="00837C37"/>
    <w:rsid w:val="00837D66"/>
    <w:rsid w:val="00840338"/>
    <w:rsid w:val="008405D2"/>
    <w:rsid w:val="008408B7"/>
    <w:rsid w:val="00840B4F"/>
    <w:rsid w:val="00840E07"/>
    <w:rsid w:val="00841438"/>
    <w:rsid w:val="00841DB4"/>
    <w:rsid w:val="00842390"/>
    <w:rsid w:val="00842632"/>
    <w:rsid w:val="008426B3"/>
    <w:rsid w:val="008434F7"/>
    <w:rsid w:val="00843A71"/>
    <w:rsid w:val="00843AB4"/>
    <w:rsid w:val="00843B8B"/>
    <w:rsid w:val="00843D57"/>
    <w:rsid w:val="0084435F"/>
    <w:rsid w:val="00844795"/>
    <w:rsid w:val="00844C0F"/>
    <w:rsid w:val="00844F8B"/>
    <w:rsid w:val="0084528F"/>
    <w:rsid w:val="00845605"/>
    <w:rsid w:val="0084585E"/>
    <w:rsid w:val="00845CA5"/>
    <w:rsid w:val="0084652E"/>
    <w:rsid w:val="00846716"/>
    <w:rsid w:val="0084672F"/>
    <w:rsid w:val="0084692B"/>
    <w:rsid w:val="00846EA0"/>
    <w:rsid w:val="00847273"/>
    <w:rsid w:val="00847495"/>
    <w:rsid w:val="008477E2"/>
    <w:rsid w:val="00847D1D"/>
    <w:rsid w:val="00847F12"/>
    <w:rsid w:val="0085019A"/>
    <w:rsid w:val="00850332"/>
    <w:rsid w:val="00850AD7"/>
    <w:rsid w:val="00850AD8"/>
    <w:rsid w:val="00850D00"/>
    <w:rsid w:val="00851469"/>
    <w:rsid w:val="008514E3"/>
    <w:rsid w:val="008516C6"/>
    <w:rsid w:val="00851F72"/>
    <w:rsid w:val="008521BA"/>
    <w:rsid w:val="008522B5"/>
    <w:rsid w:val="008527CA"/>
    <w:rsid w:val="00852A8F"/>
    <w:rsid w:val="00852CEF"/>
    <w:rsid w:val="00852E5C"/>
    <w:rsid w:val="008534FA"/>
    <w:rsid w:val="00853519"/>
    <w:rsid w:val="00853D75"/>
    <w:rsid w:val="00855021"/>
    <w:rsid w:val="0085516F"/>
    <w:rsid w:val="0085588B"/>
    <w:rsid w:val="0085657F"/>
    <w:rsid w:val="00856E9B"/>
    <w:rsid w:val="00856EA9"/>
    <w:rsid w:val="00856FB2"/>
    <w:rsid w:val="0085703D"/>
    <w:rsid w:val="008570F4"/>
    <w:rsid w:val="0085740A"/>
    <w:rsid w:val="008577F8"/>
    <w:rsid w:val="00857C8A"/>
    <w:rsid w:val="00857D22"/>
    <w:rsid w:val="008603A6"/>
    <w:rsid w:val="00860463"/>
    <w:rsid w:val="00860798"/>
    <w:rsid w:val="00860A9C"/>
    <w:rsid w:val="00860EE8"/>
    <w:rsid w:val="0086112A"/>
    <w:rsid w:val="00861708"/>
    <w:rsid w:val="00861934"/>
    <w:rsid w:val="00861991"/>
    <w:rsid w:val="008619DE"/>
    <w:rsid w:val="008621FB"/>
    <w:rsid w:val="0086223A"/>
    <w:rsid w:val="00862AA7"/>
    <w:rsid w:val="00863165"/>
    <w:rsid w:val="00863BCD"/>
    <w:rsid w:val="00863C45"/>
    <w:rsid w:val="00864812"/>
    <w:rsid w:val="00864B2A"/>
    <w:rsid w:val="00864D78"/>
    <w:rsid w:val="00865031"/>
    <w:rsid w:val="0086516E"/>
    <w:rsid w:val="00865F64"/>
    <w:rsid w:val="00865FAD"/>
    <w:rsid w:val="00866473"/>
    <w:rsid w:val="008667C5"/>
    <w:rsid w:val="008671B3"/>
    <w:rsid w:val="008678C0"/>
    <w:rsid w:val="00867C52"/>
    <w:rsid w:val="00867E55"/>
    <w:rsid w:val="00870A99"/>
    <w:rsid w:val="00870D7E"/>
    <w:rsid w:val="008714DE"/>
    <w:rsid w:val="00872326"/>
    <w:rsid w:val="00872A74"/>
    <w:rsid w:val="00873003"/>
    <w:rsid w:val="008738C4"/>
    <w:rsid w:val="00873C89"/>
    <w:rsid w:val="008742F2"/>
    <w:rsid w:val="008745CD"/>
    <w:rsid w:val="0087476A"/>
    <w:rsid w:val="008749BC"/>
    <w:rsid w:val="00874D1F"/>
    <w:rsid w:val="0087507E"/>
    <w:rsid w:val="00875AFB"/>
    <w:rsid w:val="00875B12"/>
    <w:rsid w:val="00875EA2"/>
    <w:rsid w:val="008760C3"/>
    <w:rsid w:val="008765BE"/>
    <w:rsid w:val="0087674B"/>
    <w:rsid w:val="0087697D"/>
    <w:rsid w:val="00876A40"/>
    <w:rsid w:val="00876AFF"/>
    <w:rsid w:val="008770C6"/>
    <w:rsid w:val="00877139"/>
    <w:rsid w:val="00877D1A"/>
    <w:rsid w:val="0088038B"/>
    <w:rsid w:val="0088048B"/>
    <w:rsid w:val="0088083C"/>
    <w:rsid w:val="00880E4A"/>
    <w:rsid w:val="00880FB6"/>
    <w:rsid w:val="0088159D"/>
    <w:rsid w:val="008815E6"/>
    <w:rsid w:val="00881BA0"/>
    <w:rsid w:val="00881F9B"/>
    <w:rsid w:val="008820DB"/>
    <w:rsid w:val="0088289A"/>
    <w:rsid w:val="00882929"/>
    <w:rsid w:val="0088338B"/>
    <w:rsid w:val="00883C02"/>
    <w:rsid w:val="008841BA"/>
    <w:rsid w:val="008846C1"/>
    <w:rsid w:val="00884C9C"/>
    <w:rsid w:val="00884F25"/>
    <w:rsid w:val="00885343"/>
    <w:rsid w:val="0088553A"/>
    <w:rsid w:val="008859C6"/>
    <w:rsid w:val="00885AC6"/>
    <w:rsid w:val="00885B15"/>
    <w:rsid w:val="00885F4F"/>
    <w:rsid w:val="00886367"/>
    <w:rsid w:val="00886EA1"/>
    <w:rsid w:val="00887060"/>
    <w:rsid w:val="00887288"/>
    <w:rsid w:val="00887909"/>
    <w:rsid w:val="00887B65"/>
    <w:rsid w:val="00887BDE"/>
    <w:rsid w:val="00890263"/>
    <w:rsid w:val="0089042A"/>
    <w:rsid w:val="008905AC"/>
    <w:rsid w:val="0089176D"/>
    <w:rsid w:val="00891E5C"/>
    <w:rsid w:val="008920DF"/>
    <w:rsid w:val="008921B3"/>
    <w:rsid w:val="00892CAF"/>
    <w:rsid w:val="00892FD9"/>
    <w:rsid w:val="00893018"/>
    <w:rsid w:val="00893595"/>
    <w:rsid w:val="00893A0D"/>
    <w:rsid w:val="00893FA0"/>
    <w:rsid w:val="00894EAA"/>
    <w:rsid w:val="008953FE"/>
    <w:rsid w:val="00896111"/>
    <w:rsid w:val="0089661E"/>
    <w:rsid w:val="00896746"/>
    <w:rsid w:val="008969CE"/>
    <w:rsid w:val="00897238"/>
    <w:rsid w:val="00897500"/>
    <w:rsid w:val="0089782F"/>
    <w:rsid w:val="00897F5E"/>
    <w:rsid w:val="008A035F"/>
    <w:rsid w:val="008A0403"/>
    <w:rsid w:val="008A0F94"/>
    <w:rsid w:val="008A1016"/>
    <w:rsid w:val="008A11A5"/>
    <w:rsid w:val="008A13C9"/>
    <w:rsid w:val="008A1550"/>
    <w:rsid w:val="008A1A99"/>
    <w:rsid w:val="008A1CC6"/>
    <w:rsid w:val="008A1CCF"/>
    <w:rsid w:val="008A1F92"/>
    <w:rsid w:val="008A2034"/>
    <w:rsid w:val="008A264F"/>
    <w:rsid w:val="008A267A"/>
    <w:rsid w:val="008A300E"/>
    <w:rsid w:val="008A31A7"/>
    <w:rsid w:val="008A31C2"/>
    <w:rsid w:val="008A3CA6"/>
    <w:rsid w:val="008A4328"/>
    <w:rsid w:val="008A4875"/>
    <w:rsid w:val="008A4932"/>
    <w:rsid w:val="008A4C0F"/>
    <w:rsid w:val="008A5505"/>
    <w:rsid w:val="008A5693"/>
    <w:rsid w:val="008A5715"/>
    <w:rsid w:val="008A5742"/>
    <w:rsid w:val="008A5817"/>
    <w:rsid w:val="008A5DBA"/>
    <w:rsid w:val="008A61F0"/>
    <w:rsid w:val="008A6226"/>
    <w:rsid w:val="008A65A1"/>
    <w:rsid w:val="008A65E5"/>
    <w:rsid w:val="008A692A"/>
    <w:rsid w:val="008A6B65"/>
    <w:rsid w:val="008A6D03"/>
    <w:rsid w:val="008A6D89"/>
    <w:rsid w:val="008A6E2C"/>
    <w:rsid w:val="008A795E"/>
    <w:rsid w:val="008A7A7F"/>
    <w:rsid w:val="008A7BCF"/>
    <w:rsid w:val="008B0488"/>
    <w:rsid w:val="008B0639"/>
    <w:rsid w:val="008B06AC"/>
    <w:rsid w:val="008B06E3"/>
    <w:rsid w:val="008B0C25"/>
    <w:rsid w:val="008B0C90"/>
    <w:rsid w:val="008B0DA9"/>
    <w:rsid w:val="008B0E3B"/>
    <w:rsid w:val="008B1487"/>
    <w:rsid w:val="008B1605"/>
    <w:rsid w:val="008B1A28"/>
    <w:rsid w:val="008B1EE1"/>
    <w:rsid w:val="008B1FD2"/>
    <w:rsid w:val="008B2694"/>
    <w:rsid w:val="008B2D3D"/>
    <w:rsid w:val="008B35A1"/>
    <w:rsid w:val="008B39EF"/>
    <w:rsid w:val="008B3ACE"/>
    <w:rsid w:val="008B4280"/>
    <w:rsid w:val="008B42F6"/>
    <w:rsid w:val="008B4331"/>
    <w:rsid w:val="008B437C"/>
    <w:rsid w:val="008B4D64"/>
    <w:rsid w:val="008B4D6A"/>
    <w:rsid w:val="008B57FD"/>
    <w:rsid w:val="008B5F50"/>
    <w:rsid w:val="008B6208"/>
    <w:rsid w:val="008B6BFC"/>
    <w:rsid w:val="008B6D05"/>
    <w:rsid w:val="008B7351"/>
    <w:rsid w:val="008B7916"/>
    <w:rsid w:val="008C0101"/>
    <w:rsid w:val="008C0D78"/>
    <w:rsid w:val="008C1374"/>
    <w:rsid w:val="008C17E3"/>
    <w:rsid w:val="008C1A4C"/>
    <w:rsid w:val="008C1B60"/>
    <w:rsid w:val="008C1CB9"/>
    <w:rsid w:val="008C1E42"/>
    <w:rsid w:val="008C1F0E"/>
    <w:rsid w:val="008C20B4"/>
    <w:rsid w:val="008C226A"/>
    <w:rsid w:val="008C262B"/>
    <w:rsid w:val="008C2CAB"/>
    <w:rsid w:val="008C2F26"/>
    <w:rsid w:val="008C3014"/>
    <w:rsid w:val="008C3162"/>
    <w:rsid w:val="008C3476"/>
    <w:rsid w:val="008C386E"/>
    <w:rsid w:val="008C3A46"/>
    <w:rsid w:val="008C3BBF"/>
    <w:rsid w:val="008C3CDD"/>
    <w:rsid w:val="008C3F30"/>
    <w:rsid w:val="008C4062"/>
    <w:rsid w:val="008C4E81"/>
    <w:rsid w:val="008C4FF1"/>
    <w:rsid w:val="008C500C"/>
    <w:rsid w:val="008C51A7"/>
    <w:rsid w:val="008C545B"/>
    <w:rsid w:val="008C54CD"/>
    <w:rsid w:val="008C5B77"/>
    <w:rsid w:val="008C607B"/>
    <w:rsid w:val="008C667A"/>
    <w:rsid w:val="008C6875"/>
    <w:rsid w:val="008C6EC6"/>
    <w:rsid w:val="008C74C2"/>
    <w:rsid w:val="008C7813"/>
    <w:rsid w:val="008D00A8"/>
    <w:rsid w:val="008D04BF"/>
    <w:rsid w:val="008D0705"/>
    <w:rsid w:val="008D0A1B"/>
    <w:rsid w:val="008D0C4E"/>
    <w:rsid w:val="008D0D1D"/>
    <w:rsid w:val="008D1EC7"/>
    <w:rsid w:val="008D211A"/>
    <w:rsid w:val="008D216B"/>
    <w:rsid w:val="008D2511"/>
    <w:rsid w:val="008D29E1"/>
    <w:rsid w:val="008D2ACF"/>
    <w:rsid w:val="008D40D2"/>
    <w:rsid w:val="008D40E2"/>
    <w:rsid w:val="008D43AB"/>
    <w:rsid w:val="008D446F"/>
    <w:rsid w:val="008D4CB7"/>
    <w:rsid w:val="008D5153"/>
    <w:rsid w:val="008D530C"/>
    <w:rsid w:val="008D5833"/>
    <w:rsid w:val="008D5C0B"/>
    <w:rsid w:val="008D6BA9"/>
    <w:rsid w:val="008D6D3E"/>
    <w:rsid w:val="008D75E9"/>
    <w:rsid w:val="008D7607"/>
    <w:rsid w:val="008D778E"/>
    <w:rsid w:val="008D79BC"/>
    <w:rsid w:val="008D7B12"/>
    <w:rsid w:val="008D7BCD"/>
    <w:rsid w:val="008E04D9"/>
    <w:rsid w:val="008E0D85"/>
    <w:rsid w:val="008E0F6E"/>
    <w:rsid w:val="008E111B"/>
    <w:rsid w:val="008E188D"/>
    <w:rsid w:val="008E2301"/>
    <w:rsid w:val="008E2B14"/>
    <w:rsid w:val="008E2BEB"/>
    <w:rsid w:val="008E2E0E"/>
    <w:rsid w:val="008E2E64"/>
    <w:rsid w:val="008E2EA9"/>
    <w:rsid w:val="008E2EBE"/>
    <w:rsid w:val="008E30E9"/>
    <w:rsid w:val="008E32B8"/>
    <w:rsid w:val="008E41F5"/>
    <w:rsid w:val="008E4DE7"/>
    <w:rsid w:val="008E5627"/>
    <w:rsid w:val="008E58EC"/>
    <w:rsid w:val="008E62A9"/>
    <w:rsid w:val="008E6328"/>
    <w:rsid w:val="008E65B3"/>
    <w:rsid w:val="008E6612"/>
    <w:rsid w:val="008E668B"/>
    <w:rsid w:val="008E6CE0"/>
    <w:rsid w:val="008E7292"/>
    <w:rsid w:val="008E7B3F"/>
    <w:rsid w:val="008E7F5E"/>
    <w:rsid w:val="008F06B7"/>
    <w:rsid w:val="008F0850"/>
    <w:rsid w:val="008F0D33"/>
    <w:rsid w:val="008F0D6D"/>
    <w:rsid w:val="008F12D2"/>
    <w:rsid w:val="008F1393"/>
    <w:rsid w:val="008F16DE"/>
    <w:rsid w:val="008F175B"/>
    <w:rsid w:val="008F1846"/>
    <w:rsid w:val="008F1AB9"/>
    <w:rsid w:val="008F1C1C"/>
    <w:rsid w:val="008F22A9"/>
    <w:rsid w:val="008F24EE"/>
    <w:rsid w:val="008F2740"/>
    <w:rsid w:val="008F2835"/>
    <w:rsid w:val="008F29FD"/>
    <w:rsid w:val="008F2A11"/>
    <w:rsid w:val="008F2D4F"/>
    <w:rsid w:val="008F2F8F"/>
    <w:rsid w:val="008F32F3"/>
    <w:rsid w:val="008F38EC"/>
    <w:rsid w:val="008F3C10"/>
    <w:rsid w:val="008F3F8A"/>
    <w:rsid w:val="008F4053"/>
    <w:rsid w:val="008F40E3"/>
    <w:rsid w:val="008F4290"/>
    <w:rsid w:val="008F429B"/>
    <w:rsid w:val="008F43B4"/>
    <w:rsid w:val="008F5527"/>
    <w:rsid w:val="008F5942"/>
    <w:rsid w:val="008F63A0"/>
    <w:rsid w:val="008F68F8"/>
    <w:rsid w:val="008F6A2B"/>
    <w:rsid w:val="008F6A70"/>
    <w:rsid w:val="008F6D31"/>
    <w:rsid w:val="008F73F5"/>
    <w:rsid w:val="008F7815"/>
    <w:rsid w:val="008F792D"/>
    <w:rsid w:val="008F7F1D"/>
    <w:rsid w:val="0090007F"/>
    <w:rsid w:val="009000D1"/>
    <w:rsid w:val="009002EF"/>
    <w:rsid w:val="0090046F"/>
    <w:rsid w:val="00900D0C"/>
    <w:rsid w:val="00900D85"/>
    <w:rsid w:val="009010C5"/>
    <w:rsid w:val="0090135D"/>
    <w:rsid w:val="009014C9"/>
    <w:rsid w:val="00901CC4"/>
    <w:rsid w:val="009020F4"/>
    <w:rsid w:val="009023E8"/>
    <w:rsid w:val="009024D1"/>
    <w:rsid w:val="00902A0C"/>
    <w:rsid w:val="009032A4"/>
    <w:rsid w:val="00903448"/>
    <w:rsid w:val="0090357B"/>
    <w:rsid w:val="00903723"/>
    <w:rsid w:val="00903AC8"/>
    <w:rsid w:val="00904146"/>
    <w:rsid w:val="00904830"/>
    <w:rsid w:val="0090483E"/>
    <w:rsid w:val="00905084"/>
    <w:rsid w:val="009051EB"/>
    <w:rsid w:val="00905649"/>
    <w:rsid w:val="00905714"/>
    <w:rsid w:val="00905D6C"/>
    <w:rsid w:val="009062CB"/>
    <w:rsid w:val="0090664A"/>
    <w:rsid w:val="009067EB"/>
    <w:rsid w:val="00906AAE"/>
    <w:rsid w:val="0090753E"/>
    <w:rsid w:val="0090785C"/>
    <w:rsid w:val="00910B34"/>
    <w:rsid w:val="00911190"/>
    <w:rsid w:val="00911308"/>
    <w:rsid w:val="009114C4"/>
    <w:rsid w:val="0091174D"/>
    <w:rsid w:val="00911DC9"/>
    <w:rsid w:val="00911FFB"/>
    <w:rsid w:val="00912537"/>
    <w:rsid w:val="009125B7"/>
    <w:rsid w:val="009133DD"/>
    <w:rsid w:val="009134FC"/>
    <w:rsid w:val="009138FC"/>
    <w:rsid w:val="00913A44"/>
    <w:rsid w:val="009143E1"/>
    <w:rsid w:val="00915082"/>
    <w:rsid w:val="009151D4"/>
    <w:rsid w:val="009152C7"/>
    <w:rsid w:val="00915418"/>
    <w:rsid w:val="009159CE"/>
    <w:rsid w:val="00916089"/>
    <w:rsid w:val="00916124"/>
    <w:rsid w:val="009162CF"/>
    <w:rsid w:val="009168EF"/>
    <w:rsid w:val="009168FB"/>
    <w:rsid w:val="00916C55"/>
    <w:rsid w:val="00916EEA"/>
    <w:rsid w:val="0091709D"/>
    <w:rsid w:val="0091711F"/>
    <w:rsid w:val="00917BF9"/>
    <w:rsid w:val="00920AF1"/>
    <w:rsid w:val="00920CFA"/>
    <w:rsid w:val="0092131B"/>
    <w:rsid w:val="00921571"/>
    <w:rsid w:val="009215D4"/>
    <w:rsid w:val="00921747"/>
    <w:rsid w:val="0092194A"/>
    <w:rsid w:val="00921965"/>
    <w:rsid w:val="0092226A"/>
    <w:rsid w:val="00922867"/>
    <w:rsid w:val="00922CFE"/>
    <w:rsid w:val="00922DFE"/>
    <w:rsid w:val="0092323F"/>
    <w:rsid w:val="009235F9"/>
    <w:rsid w:val="00924642"/>
    <w:rsid w:val="00924BD6"/>
    <w:rsid w:val="0092519A"/>
    <w:rsid w:val="00925AD8"/>
    <w:rsid w:val="00925C6A"/>
    <w:rsid w:val="00925F52"/>
    <w:rsid w:val="009260C9"/>
    <w:rsid w:val="0092680D"/>
    <w:rsid w:val="00926A1C"/>
    <w:rsid w:val="00927A35"/>
    <w:rsid w:val="00927C37"/>
    <w:rsid w:val="009303B7"/>
    <w:rsid w:val="0093098D"/>
    <w:rsid w:val="00930E6C"/>
    <w:rsid w:val="00931082"/>
    <w:rsid w:val="0093124B"/>
    <w:rsid w:val="009319F3"/>
    <w:rsid w:val="00932456"/>
    <w:rsid w:val="00933792"/>
    <w:rsid w:val="00933C1A"/>
    <w:rsid w:val="00933C77"/>
    <w:rsid w:val="00933FD9"/>
    <w:rsid w:val="00934B67"/>
    <w:rsid w:val="00934EA9"/>
    <w:rsid w:val="00934F4D"/>
    <w:rsid w:val="00935EEE"/>
    <w:rsid w:val="00935F11"/>
    <w:rsid w:val="0093675A"/>
    <w:rsid w:val="00936F8C"/>
    <w:rsid w:val="009374B6"/>
    <w:rsid w:val="009377B8"/>
    <w:rsid w:val="00940404"/>
    <w:rsid w:val="0094070D"/>
    <w:rsid w:val="00940B90"/>
    <w:rsid w:val="00940C21"/>
    <w:rsid w:val="00940CD4"/>
    <w:rsid w:val="0094125C"/>
    <w:rsid w:val="00941850"/>
    <w:rsid w:val="009418F8"/>
    <w:rsid w:val="00941F7B"/>
    <w:rsid w:val="009422A7"/>
    <w:rsid w:val="00942BFF"/>
    <w:rsid w:val="00943028"/>
    <w:rsid w:val="009438D9"/>
    <w:rsid w:val="00943A65"/>
    <w:rsid w:val="00943CE6"/>
    <w:rsid w:val="00944011"/>
    <w:rsid w:val="00944709"/>
    <w:rsid w:val="00944E7B"/>
    <w:rsid w:val="009451BA"/>
    <w:rsid w:val="0094616B"/>
    <w:rsid w:val="00946532"/>
    <w:rsid w:val="009468E0"/>
    <w:rsid w:val="00946974"/>
    <w:rsid w:val="00946C02"/>
    <w:rsid w:val="00946CC5"/>
    <w:rsid w:val="00947167"/>
    <w:rsid w:val="009504F2"/>
    <w:rsid w:val="00950770"/>
    <w:rsid w:val="00950ADB"/>
    <w:rsid w:val="009514EB"/>
    <w:rsid w:val="0095158F"/>
    <w:rsid w:val="00951C71"/>
    <w:rsid w:val="0095233D"/>
    <w:rsid w:val="009523F6"/>
    <w:rsid w:val="00952589"/>
    <w:rsid w:val="009525C6"/>
    <w:rsid w:val="00952673"/>
    <w:rsid w:val="0095344F"/>
    <w:rsid w:val="00953715"/>
    <w:rsid w:val="009537CF"/>
    <w:rsid w:val="00953AA5"/>
    <w:rsid w:val="00953B3B"/>
    <w:rsid w:val="00953F02"/>
    <w:rsid w:val="00954919"/>
    <w:rsid w:val="00954EE3"/>
    <w:rsid w:val="00955108"/>
    <w:rsid w:val="00955364"/>
    <w:rsid w:val="00955DAE"/>
    <w:rsid w:val="00955F60"/>
    <w:rsid w:val="00956759"/>
    <w:rsid w:val="00956BB6"/>
    <w:rsid w:val="00956BF9"/>
    <w:rsid w:val="0095708F"/>
    <w:rsid w:val="00957600"/>
    <w:rsid w:val="00957CE9"/>
    <w:rsid w:val="0096069C"/>
    <w:rsid w:val="00961040"/>
    <w:rsid w:val="009614F8"/>
    <w:rsid w:val="00961AAB"/>
    <w:rsid w:val="00961C28"/>
    <w:rsid w:val="00961E2F"/>
    <w:rsid w:val="009621CE"/>
    <w:rsid w:val="00962776"/>
    <w:rsid w:val="00962952"/>
    <w:rsid w:val="00962A3C"/>
    <w:rsid w:val="00962A44"/>
    <w:rsid w:val="00962B0A"/>
    <w:rsid w:val="00962D47"/>
    <w:rsid w:val="0096325B"/>
    <w:rsid w:val="0096373D"/>
    <w:rsid w:val="00963BB9"/>
    <w:rsid w:val="00963D68"/>
    <w:rsid w:val="0096409F"/>
    <w:rsid w:val="0096465A"/>
    <w:rsid w:val="00964682"/>
    <w:rsid w:val="00965090"/>
    <w:rsid w:val="009652BD"/>
    <w:rsid w:val="009653A7"/>
    <w:rsid w:val="00965432"/>
    <w:rsid w:val="00965614"/>
    <w:rsid w:val="009658F4"/>
    <w:rsid w:val="00965F06"/>
    <w:rsid w:val="009661CF"/>
    <w:rsid w:val="0096620A"/>
    <w:rsid w:val="00966394"/>
    <w:rsid w:val="009663F4"/>
    <w:rsid w:val="00966783"/>
    <w:rsid w:val="00966CCF"/>
    <w:rsid w:val="009671DF"/>
    <w:rsid w:val="00967C4D"/>
    <w:rsid w:val="00967CEA"/>
    <w:rsid w:val="0097003F"/>
    <w:rsid w:val="009702CA"/>
    <w:rsid w:val="00970801"/>
    <w:rsid w:val="00970A3B"/>
    <w:rsid w:val="00970F4F"/>
    <w:rsid w:val="00971AC5"/>
    <w:rsid w:val="009728D7"/>
    <w:rsid w:val="00972E77"/>
    <w:rsid w:val="00972E9C"/>
    <w:rsid w:val="00973393"/>
    <w:rsid w:val="00973675"/>
    <w:rsid w:val="00973DC7"/>
    <w:rsid w:val="00973DD5"/>
    <w:rsid w:val="00974027"/>
    <w:rsid w:val="00974CA2"/>
    <w:rsid w:val="00975071"/>
    <w:rsid w:val="00975294"/>
    <w:rsid w:val="00975339"/>
    <w:rsid w:val="00976188"/>
    <w:rsid w:val="0097690E"/>
    <w:rsid w:val="00976F50"/>
    <w:rsid w:val="00977262"/>
    <w:rsid w:val="00977305"/>
    <w:rsid w:val="009776B5"/>
    <w:rsid w:val="00977922"/>
    <w:rsid w:val="0098000C"/>
    <w:rsid w:val="009803D7"/>
    <w:rsid w:val="009804EC"/>
    <w:rsid w:val="0098070A"/>
    <w:rsid w:val="0098074D"/>
    <w:rsid w:val="00980A05"/>
    <w:rsid w:val="00980BC5"/>
    <w:rsid w:val="00980D40"/>
    <w:rsid w:val="009812F5"/>
    <w:rsid w:val="00981488"/>
    <w:rsid w:val="00981D1F"/>
    <w:rsid w:val="00982239"/>
    <w:rsid w:val="009829C5"/>
    <w:rsid w:val="00983050"/>
    <w:rsid w:val="00983351"/>
    <w:rsid w:val="00983974"/>
    <w:rsid w:val="00984010"/>
    <w:rsid w:val="0098425F"/>
    <w:rsid w:val="0098477C"/>
    <w:rsid w:val="00984855"/>
    <w:rsid w:val="00985512"/>
    <w:rsid w:val="00985665"/>
    <w:rsid w:val="00985743"/>
    <w:rsid w:val="009857A8"/>
    <w:rsid w:val="0098591D"/>
    <w:rsid w:val="00985C75"/>
    <w:rsid w:val="00986056"/>
    <w:rsid w:val="0098605B"/>
    <w:rsid w:val="009861D1"/>
    <w:rsid w:val="009862BC"/>
    <w:rsid w:val="00986477"/>
    <w:rsid w:val="009864C4"/>
    <w:rsid w:val="00986DE9"/>
    <w:rsid w:val="009870AD"/>
    <w:rsid w:val="009909A0"/>
    <w:rsid w:val="00990B18"/>
    <w:rsid w:val="00990E9E"/>
    <w:rsid w:val="00991663"/>
    <w:rsid w:val="00991E1C"/>
    <w:rsid w:val="00991F10"/>
    <w:rsid w:val="009920C6"/>
    <w:rsid w:val="009923E2"/>
    <w:rsid w:val="00992C13"/>
    <w:rsid w:val="00992E28"/>
    <w:rsid w:val="00992ED9"/>
    <w:rsid w:val="00993847"/>
    <w:rsid w:val="009938A9"/>
    <w:rsid w:val="00993C3E"/>
    <w:rsid w:val="00993C46"/>
    <w:rsid w:val="00993D01"/>
    <w:rsid w:val="00994393"/>
    <w:rsid w:val="00995036"/>
    <w:rsid w:val="009957CE"/>
    <w:rsid w:val="0099591E"/>
    <w:rsid w:val="009968BA"/>
    <w:rsid w:val="0099751B"/>
    <w:rsid w:val="0099776B"/>
    <w:rsid w:val="0099779A"/>
    <w:rsid w:val="009977F8"/>
    <w:rsid w:val="009A000B"/>
    <w:rsid w:val="009A0135"/>
    <w:rsid w:val="009A0193"/>
    <w:rsid w:val="009A038A"/>
    <w:rsid w:val="009A057B"/>
    <w:rsid w:val="009A06D7"/>
    <w:rsid w:val="009A0B63"/>
    <w:rsid w:val="009A0CAF"/>
    <w:rsid w:val="009A0E98"/>
    <w:rsid w:val="009A1266"/>
    <w:rsid w:val="009A12B8"/>
    <w:rsid w:val="009A1D93"/>
    <w:rsid w:val="009A1DCE"/>
    <w:rsid w:val="009A2470"/>
    <w:rsid w:val="009A25FB"/>
    <w:rsid w:val="009A2A24"/>
    <w:rsid w:val="009A31BF"/>
    <w:rsid w:val="009A3228"/>
    <w:rsid w:val="009A430F"/>
    <w:rsid w:val="009A45D2"/>
    <w:rsid w:val="009A46DA"/>
    <w:rsid w:val="009A4D95"/>
    <w:rsid w:val="009A5246"/>
    <w:rsid w:val="009A52C7"/>
    <w:rsid w:val="009A5359"/>
    <w:rsid w:val="009A5422"/>
    <w:rsid w:val="009A6786"/>
    <w:rsid w:val="009A69F3"/>
    <w:rsid w:val="009A6EA6"/>
    <w:rsid w:val="009A7494"/>
    <w:rsid w:val="009A765A"/>
    <w:rsid w:val="009A7CF5"/>
    <w:rsid w:val="009A7F04"/>
    <w:rsid w:val="009B0357"/>
    <w:rsid w:val="009B048D"/>
    <w:rsid w:val="009B0492"/>
    <w:rsid w:val="009B0664"/>
    <w:rsid w:val="009B06D5"/>
    <w:rsid w:val="009B09D9"/>
    <w:rsid w:val="009B09E1"/>
    <w:rsid w:val="009B0B2E"/>
    <w:rsid w:val="009B0F9D"/>
    <w:rsid w:val="009B1BA6"/>
    <w:rsid w:val="009B1BED"/>
    <w:rsid w:val="009B1D2B"/>
    <w:rsid w:val="009B30C0"/>
    <w:rsid w:val="009B3589"/>
    <w:rsid w:val="009B37DA"/>
    <w:rsid w:val="009B39B1"/>
    <w:rsid w:val="009B402E"/>
    <w:rsid w:val="009B40A4"/>
    <w:rsid w:val="009B4E1D"/>
    <w:rsid w:val="009B4E38"/>
    <w:rsid w:val="009B54FC"/>
    <w:rsid w:val="009B5598"/>
    <w:rsid w:val="009B5746"/>
    <w:rsid w:val="009B5B27"/>
    <w:rsid w:val="009B5B91"/>
    <w:rsid w:val="009B6CBA"/>
    <w:rsid w:val="009B71E6"/>
    <w:rsid w:val="009B739C"/>
    <w:rsid w:val="009B777B"/>
    <w:rsid w:val="009B7DE0"/>
    <w:rsid w:val="009B7DF8"/>
    <w:rsid w:val="009C0068"/>
    <w:rsid w:val="009C012E"/>
    <w:rsid w:val="009C05B2"/>
    <w:rsid w:val="009C07CB"/>
    <w:rsid w:val="009C086C"/>
    <w:rsid w:val="009C0D2D"/>
    <w:rsid w:val="009C0D7D"/>
    <w:rsid w:val="009C1540"/>
    <w:rsid w:val="009C1923"/>
    <w:rsid w:val="009C2ACC"/>
    <w:rsid w:val="009C2FAA"/>
    <w:rsid w:val="009C34E6"/>
    <w:rsid w:val="009C3B06"/>
    <w:rsid w:val="009C3F38"/>
    <w:rsid w:val="009C3F82"/>
    <w:rsid w:val="009C40DC"/>
    <w:rsid w:val="009C4346"/>
    <w:rsid w:val="009C4C99"/>
    <w:rsid w:val="009C58D2"/>
    <w:rsid w:val="009C6C07"/>
    <w:rsid w:val="009C75A3"/>
    <w:rsid w:val="009C7872"/>
    <w:rsid w:val="009C79D6"/>
    <w:rsid w:val="009C7EC5"/>
    <w:rsid w:val="009D05DE"/>
    <w:rsid w:val="009D083C"/>
    <w:rsid w:val="009D0E1B"/>
    <w:rsid w:val="009D0FC6"/>
    <w:rsid w:val="009D130F"/>
    <w:rsid w:val="009D16D0"/>
    <w:rsid w:val="009D2A09"/>
    <w:rsid w:val="009D2F7A"/>
    <w:rsid w:val="009D3633"/>
    <w:rsid w:val="009D3E69"/>
    <w:rsid w:val="009D4175"/>
    <w:rsid w:val="009D432B"/>
    <w:rsid w:val="009D44A2"/>
    <w:rsid w:val="009D49EB"/>
    <w:rsid w:val="009D4C28"/>
    <w:rsid w:val="009D4E4B"/>
    <w:rsid w:val="009D54E1"/>
    <w:rsid w:val="009D5F28"/>
    <w:rsid w:val="009D5F6A"/>
    <w:rsid w:val="009D6A80"/>
    <w:rsid w:val="009D6DBC"/>
    <w:rsid w:val="009D6DD0"/>
    <w:rsid w:val="009D6E43"/>
    <w:rsid w:val="009D6F0E"/>
    <w:rsid w:val="009D73DF"/>
    <w:rsid w:val="009D741D"/>
    <w:rsid w:val="009D7AD4"/>
    <w:rsid w:val="009D7E0D"/>
    <w:rsid w:val="009D7ECF"/>
    <w:rsid w:val="009E0128"/>
    <w:rsid w:val="009E0193"/>
    <w:rsid w:val="009E0382"/>
    <w:rsid w:val="009E0DCA"/>
    <w:rsid w:val="009E123F"/>
    <w:rsid w:val="009E209A"/>
    <w:rsid w:val="009E3D7A"/>
    <w:rsid w:val="009E4141"/>
    <w:rsid w:val="009E4602"/>
    <w:rsid w:val="009E496E"/>
    <w:rsid w:val="009E55A3"/>
    <w:rsid w:val="009E58AE"/>
    <w:rsid w:val="009E5C31"/>
    <w:rsid w:val="009E5C4A"/>
    <w:rsid w:val="009E5C9A"/>
    <w:rsid w:val="009E611E"/>
    <w:rsid w:val="009E618A"/>
    <w:rsid w:val="009E649E"/>
    <w:rsid w:val="009E6DD0"/>
    <w:rsid w:val="009E75C5"/>
    <w:rsid w:val="009F00DF"/>
    <w:rsid w:val="009F0A58"/>
    <w:rsid w:val="009F0AD5"/>
    <w:rsid w:val="009F0FA8"/>
    <w:rsid w:val="009F127F"/>
    <w:rsid w:val="009F13E8"/>
    <w:rsid w:val="009F2234"/>
    <w:rsid w:val="009F2A89"/>
    <w:rsid w:val="009F2D6C"/>
    <w:rsid w:val="009F3011"/>
    <w:rsid w:val="009F3427"/>
    <w:rsid w:val="009F3DD0"/>
    <w:rsid w:val="009F4798"/>
    <w:rsid w:val="009F4939"/>
    <w:rsid w:val="009F4BB9"/>
    <w:rsid w:val="009F5086"/>
    <w:rsid w:val="009F51B9"/>
    <w:rsid w:val="009F5396"/>
    <w:rsid w:val="009F58E2"/>
    <w:rsid w:val="009F6301"/>
    <w:rsid w:val="009F6539"/>
    <w:rsid w:val="009F65A1"/>
    <w:rsid w:val="009F65D8"/>
    <w:rsid w:val="009F725E"/>
    <w:rsid w:val="009F7838"/>
    <w:rsid w:val="00A000B2"/>
    <w:rsid w:val="00A000F6"/>
    <w:rsid w:val="00A0069B"/>
    <w:rsid w:val="00A00C45"/>
    <w:rsid w:val="00A01682"/>
    <w:rsid w:val="00A0171A"/>
    <w:rsid w:val="00A019EC"/>
    <w:rsid w:val="00A01B8F"/>
    <w:rsid w:val="00A01DAA"/>
    <w:rsid w:val="00A01E5E"/>
    <w:rsid w:val="00A01F76"/>
    <w:rsid w:val="00A0210E"/>
    <w:rsid w:val="00A0260B"/>
    <w:rsid w:val="00A02BB9"/>
    <w:rsid w:val="00A02C49"/>
    <w:rsid w:val="00A03018"/>
    <w:rsid w:val="00A03C4A"/>
    <w:rsid w:val="00A03D5A"/>
    <w:rsid w:val="00A05B0F"/>
    <w:rsid w:val="00A0693C"/>
    <w:rsid w:val="00A06AC6"/>
    <w:rsid w:val="00A06BF9"/>
    <w:rsid w:val="00A072D4"/>
    <w:rsid w:val="00A0737C"/>
    <w:rsid w:val="00A075D6"/>
    <w:rsid w:val="00A10CAF"/>
    <w:rsid w:val="00A10F39"/>
    <w:rsid w:val="00A110FA"/>
    <w:rsid w:val="00A11B72"/>
    <w:rsid w:val="00A124BE"/>
    <w:rsid w:val="00A130D2"/>
    <w:rsid w:val="00A13109"/>
    <w:rsid w:val="00A13751"/>
    <w:rsid w:val="00A13858"/>
    <w:rsid w:val="00A13EAE"/>
    <w:rsid w:val="00A1405A"/>
    <w:rsid w:val="00A1424A"/>
    <w:rsid w:val="00A14ADA"/>
    <w:rsid w:val="00A14AE7"/>
    <w:rsid w:val="00A14B20"/>
    <w:rsid w:val="00A14CA5"/>
    <w:rsid w:val="00A155CD"/>
    <w:rsid w:val="00A156EF"/>
    <w:rsid w:val="00A15BC4"/>
    <w:rsid w:val="00A15F41"/>
    <w:rsid w:val="00A16C8D"/>
    <w:rsid w:val="00A175E2"/>
    <w:rsid w:val="00A2010E"/>
    <w:rsid w:val="00A2029A"/>
    <w:rsid w:val="00A21708"/>
    <w:rsid w:val="00A22A7E"/>
    <w:rsid w:val="00A22C71"/>
    <w:rsid w:val="00A22D82"/>
    <w:rsid w:val="00A23046"/>
    <w:rsid w:val="00A24CC6"/>
    <w:rsid w:val="00A24FD4"/>
    <w:rsid w:val="00A25650"/>
    <w:rsid w:val="00A2644F"/>
    <w:rsid w:val="00A26742"/>
    <w:rsid w:val="00A274AA"/>
    <w:rsid w:val="00A276B2"/>
    <w:rsid w:val="00A2770C"/>
    <w:rsid w:val="00A27ADE"/>
    <w:rsid w:val="00A3020F"/>
    <w:rsid w:val="00A305CD"/>
    <w:rsid w:val="00A30669"/>
    <w:rsid w:val="00A30765"/>
    <w:rsid w:val="00A30B79"/>
    <w:rsid w:val="00A31397"/>
    <w:rsid w:val="00A3183D"/>
    <w:rsid w:val="00A31DAA"/>
    <w:rsid w:val="00A32820"/>
    <w:rsid w:val="00A32AAC"/>
    <w:rsid w:val="00A32F68"/>
    <w:rsid w:val="00A33210"/>
    <w:rsid w:val="00A33733"/>
    <w:rsid w:val="00A33827"/>
    <w:rsid w:val="00A33F89"/>
    <w:rsid w:val="00A3480D"/>
    <w:rsid w:val="00A349D0"/>
    <w:rsid w:val="00A34AC9"/>
    <w:rsid w:val="00A3564A"/>
    <w:rsid w:val="00A35EE8"/>
    <w:rsid w:val="00A363A6"/>
    <w:rsid w:val="00A364C9"/>
    <w:rsid w:val="00A36729"/>
    <w:rsid w:val="00A3677E"/>
    <w:rsid w:val="00A36A9A"/>
    <w:rsid w:val="00A36C93"/>
    <w:rsid w:val="00A372C1"/>
    <w:rsid w:val="00A37A78"/>
    <w:rsid w:val="00A4022E"/>
    <w:rsid w:val="00A40390"/>
    <w:rsid w:val="00A407D6"/>
    <w:rsid w:val="00A407DA"/>
    <w:rsid w:val="00A413DF"/>
    <w:rsid w:val="00A41577"/>
    <w:rsid w:val="00A41B2B"/>
    <w:rsid w:val="00A41D8C"/>
    <w:rsid w:val="00A421CB"/>
    <w:rsid w:val="00A42270"/>
    <w:rsid w:val="00A424BD"/>
    <w:rsid w:val="00A427AE"/>
    <w:rsid w:val="00A42AE0"/>
    <w:rsid w:val="00A42B3A"/>
    <w:rsid w:val="00A42E4B"/>
    <w:rsid w:val="00A4335A"/>
    <w:rsid w:val="00A43760"/>
    <w:rsid w:val="00A4393E"/>
    <w:rsid w:val="00A43A94"/>
    <w:rsid w:val="00A43B84"/>
    <w:rsid w:val="00A4430E"/>
    <w:rsid w:val="00A44597"/>
    <w:rsid w:val="00A44D7A"/>
    <w:rsid w:val="00A44EF0"/>
    <w:rsid w:val="00A453F3"/>
    <w:rsid w:val="00A4547A"/>
    <w:rsid w:val="00A455F0"/>
    <w:rsid w:val="00A4564D"/>
    <w:rsid w:val="00A45E74"/>
    <w:rsid w:val="00A46054"/>
    <w:rsid w:val="00A46553"/>
    <w:rsid w:val="00A465AE"/>
    <w:rsid w:val="00A4660A"/>
    <w:rsid w:val="00A4672E"/>
    <w:rsid w:val="00A46B20"/>
    <w:rsid w:val="00A474B8"/>
    <w:rsid w:val="00A47707"/>
    <w:rsid w:val="00A505D0"/>
    <w:rsid w:val="00A5074F"/>
    <w:rsid w:val="00A507D6"/>
    <w:rsid w:val="00A50A53"/>
    <w:rsid w:val="00A5137A"/>
    <w:rsid w:val="00A516D6"/>
    <w:rsid w:val="00A51747"/>
    <w:rsid w:val="00A51CFC"/>
    <w:rsid w:val="00A526B4"/>
    <w:rsid w:val="00A52DF4"/>
    <w:rsid w:val="00A53469"/>
    <w:rsid w:val="00A534B6"/>
    <w:rsid w:val="00A53990"/>
    <w:rsid w:val="00A54775"/>
    <w:rsid w:val="00A54908"/>
    <w:rsid w:val="00A54C39"/>
    <w:rsid w:val="00A54ED7"/>
    <w:rsid w:val="00A5538A"/>
    <w:rsid w:val="00A554FA"/>
    <w:rsid w:val="00A55C09"/>
    <w:rsid w:val="00A55EB0"/>
    <w:rsid w:val="00A55FEB"/>
    <w:rsid w:val="00A5663E"/>
    <w:rsid w:val="00A56856"/>
    <w:rsid w:val="00A569D3"/>
    <w:rsid w:val="00A56ECD"/>
    <w:rsid w:val="00A56F50"/>
    <w:rsid w:val="00A57648"/>
    <w:rsid w:val="00A57C14"/>
    <w:rsid w:val="00A57CAC"/>
    <w:rsid w:val="00A57E95"/>
    <w:rsid w:val="00A6098F"/>
    <w:rsid w:val="00A614FF"/>
    <w:rsid w:val="00A616FA"/>
    <w:rsid w:val="00A61D70"/>
    <w:rsid w:val="00A61F9D"/>
    <w:rsid w:val="00A62369"/>
    <w:rsid w:val="00A63B6F"/>
    <w:rsid w:val="00A6414E"/>
    <w:rsid w:val="00A64485"/>
    <w:rsid w:val="00A64AE0"/>
    <w:rsid w:val="00A652E4"/>
    <w:rsid w:val="00A65720"/>
    <w:rsid w:val="00A65960"/>
    <w:rsid w:val="00A6601C"/>
    <w:rsid w:val="00A661BF"/>
    <w:rsid w:val="00A66418"/>
    <w:rsid w:val="00A666CB"/>
    <w:rsid w:val="00A66757"/>
    <w:rsid w:val="00A66FAF"/>
    <w:rsid w:val="00A7001B"/>
    <w:rsid w:val="00A705EE"/>
    <w:rsid w:val="00A70D54"/>
    <w:rsid w:val="00A71266"/>
    <w:rsid w:val="00A71276"/>
    <w:rsid w:val="00A7142B"/>
    <w:rsid w:val="00A714AC"/>
    <w:rsid w:val="00A7162E"/>
    <w:rsid w:val="00A719A6"/>
    <w:rsid w:val="00A72149"/>
    <w:rsid w:val="00A7221B"/>
    <w:rsid w:val="00A7229A"/>
    <w:rsid w:val="00A72345"/>
    <w:rsid w:val="00A7258A"/>
    <w:rsid w:val="00A7277B"/>
    <w:rsid w:val="00A72C3A"/>
    <w:rsid w:val="00A72F75"/>
    <w:rsid w:val="00A7392F"/>
    <w:rsid w:val="00A739E0"/>
    <w:rsid w:val="00A743FC"/>
    <w:rsid w:val="00A7495F"/>
    <w:rsid w:val="00A75429"/>
    <w:rsid w:val="00A75963"/>
    <w:rsid w:val="00A75E2E"/>
    <w:rsid w:val="00A762C6"/>
    <w:rsid w:val="00A766CC"/>
    <w:rsid w:val="00A76DEA"/>
    <w:rsid w:val="00A77F77"/>
    <w:rsid w:val="00A80580"/>
    <w:rsid w:val="00A80848"/>
    <w:rsid w:val="00A80B34"/>
    <w:rsid w:val="00A816C3"/>
    <w:rsid w:val="00A819A1"/>
    <w:rsid w:val="00A81F78"/>
    <w:rsid w:val="00A823B5"/>
    <w:rsid w:val="00A82666"/>
    <w:rsid w:val="00A832A8"/>
    <w:rsid w:val="00A83762"/>
    <w:rsid w:val="00A83D72"/>
    <w:rsid w:val="00A83E92"/>
    <w:rsid w:val="00A83FB8"/>
    <w:rsid w:val="00A84976"/>
    <w:rsid w:val="00A84D76"/>
    <w:rsid w:val="00A84E17"/>
    <w:rsid w:val="00A84FC6"/>
    <w:rsid w:val="00A85232"/>
    <w:rsid w:val="00A85361"/>
    <w:rsid w:val="00A8580B"/>
    <w:rsid w:val="00A86191"/>
    <w:rsid w:val="00A86A77"/>
    <w:rsid w:val="00A86C82"/>
    <w:rsid w:val="00A86C9B"/>
    <w:rsid w:val="00A877DE"/>
    <w:rsid w:val="00A879DF"/>
    <w:rsid w:val="00A87CEE"/>
    <w:rsid w:val="00A9032A"/>
    <w:rsid w:val="00A912DC"/>
    <w:rsid w:val="00A915E4"/>
    <w:rsid w:val="00A91627"/>
    <w:rsid w:val="00A92038"/>
    <w:rsid w:val="00A92AE3"/>
    <w:rsid w:val="00A92BC3"/>
    <w:rsid w:val="00A92E7B"/>
    <w:rsid w:val="00A930CC"/>
    <w:rsid w:val="00A93F05"/>
    <w:rsid w:val="00A93F5B"/>
    <w:rsid w:val="00A9412C"/>
    <w:rsid w:val="00A942ED"/>
    <w:rsid w:val="00A94637"/>
    <w:rsid w:val="00A94925"/>
    <w:rsid w:val="00A94AEB"/>
    <w:rsid w:val="00A9505C"/>
    <w:rsid w:val="00A95CC7"/>
    <w:rsid w:val="00A9634D"/>
    <w:rsid w:val="00A9657E"/>
    <w:rsid w:val="00A965CD"/>
    <w:rsid w:val="00A9710D"/>
    <w:rsid w:val="00A97B36"/>
    <w:rsid w:val="00A97BAE"/>
    <w:rsid w:val="00AA0016"/>
    <w:rsid w:val="00AA0239"/>
    <w:rsid w:val="00AA04AF"/>
    <w:rsid w:val="00AA11C6"/>
    <w:rsid w:val="00AA16D4"/>
    <w:rsid w:val="00AA1CCD"/>
    <w:rsid w:val="00AA1FB5"/>
    <w:rsid w:val="00AA2180"/>
    <w:rsid w:val="00AA24D8"/>
    <w:rsid w:val="00AA277E"/>
    <w:rsid w:val="00AA2934"/>
    <w:rsid w:val="00AA29DB"/>
    <w:rsid w:val="00AA2A65"/>
    <w:rsid w:val="00AA2BEC"/>
    <w:rsid w:val="00AA352C"/>
    <w:rsid w:val="00AA397F"/>
    <w:rsid w:val="00AA3ACA"/>
    <w:rsid w:val="00AA3E81"/>
    <w:rsid w:val="00AA4441"/>
    <w:rsid w:val="00AA455B"/>
    <w:rsid w:val="00AA45D5"/>
    <w:rsid w:val="00AA4DB0"/>
    <w:rsid w:val="00AA53B7"/>
    <w:rsid w:val="00AA54C2"/>
    <w:rsid w:val="00AA55B6"/>
    <w:rsid w:val="00AA55E8"/>
    <w:rsid w:val="00AA5647"/>
    <w:rsid w:val="00AA62DF"/>
    <w:rsid w:val="00AA67C9"/>
    <w:rsid w:val="00AA6A2C"/>
    <w:rsid w:val="00AA6BA3"/>
    <w:rsid w:val="00AA6BF6"/>
    <w:rsid w:val="00AA6C29"/>
    <w:rsid w:val="00AA735A"/>
    <w:rsid w:val="00AA74E8"/>
    <w:rsid w:val="00AA7712"/>
    <w:rsid w:val="00AA7F13"/>
    <w:rsid w:val="00AB0B2C"/>
    <w:rsid w:val="00AB0DC0"/>
    <w:rsid w:val="00AB1513"/>
    <w:rsid w:val="00AB1802"/>
    <w:rsid w:val="00AB1E4B"/>
    <w:rsid w:val="00AB28BA"/>
    <w:rsid w:val="00AB2B4E"/>
    <w:rsid w:val="00AB3B51"/>
    <w:rsid w:val="00AB409E"/>
    <w:rsid w:val="00AB4317"/>
    <w:rsid w:val="00AB4354"/>
    <w:rsid w:val="00AB495E"/>
    <w:rsid w:val="00AB50BF"/>
    <w:rsid w:val="00AB60C3"/>
    <w:rsid w:val="00AB6139"/>
    <w:rsid w:val="00AB6577"/>
    <w:rsid w:val="00AB6F3D"/>
    <w:rsid w:val="00AB7158"/>
    <w:rsid w:val="00AB73EB"/>
    <w:rsid w:val="00AB7F00"/>
    <w:rsid w:val="00AC0022"/>
    <w:rsid w:val="00AC0485"/>
    <w:rsid w:val="00AC0591"/>
    <w:rsid w:val="00AC05F3"/>
    <w:rsid w:val="00AC0909"/>
    <w:rsid w:val="00AC0AF4"/>
    <w:rsid w:val="00AC1295"/>
    <w:rsid w:val="00AC12C6"/>
    <w:rsid w:val="00AC1575"/>
    <w:rsid w:val="00AC17E5"/>
    <w:rsid w:val="00AC18DB"/>
    <w:rsid w:val="00AC194A"/>
    <w:rsid w:val="00AC262C"/>
    <w:rsid w:val="00AC26AB"/>
    <w:rsid w:val="00AC2D46"/>
    <w:rsid w:val="00AC34BE"/>
    <w:rsid w:val="00AC3912"/>
    <w:rsid w:val="00AC3948"/>
    <w:rsid w:val="00AC3B1C"/>
    <w:rsid w:val="00AC4D44"/>
    <w:rsid w:val="00AC5179"/>
    <w:rsid w:val="00AC5B48"/>
    <w:rsid w:val="00AC6407"/>
    <w:rsid w:val="00AC66BB"/>
    <w:rsid w:val="00AC6B44"/>
    <w:rsid w:val="00AC6D9B"/>
    <w:rsid w:val="00AC6FAE"/>
    <w:rsid w:val="00AC7369"/>
    <w:rsid w:val="00AC7BA7"/>
    <w:rsid w:val="00AC7F2D"/>
    <w:rsid w:val="00AC7FFE"/>
    <w:rsid w:val="00AD035A"/>
    <w:rsid w:val="00AD074F"/>
    <w:rsid w:val="00AD07DD"/>
    <w:rsid w:val="00AD10D4"/>
    <w:rsid w:val="00AD1329"/>
    <w:rsid w:val="00AD139D"/>
    <w:rsid w:val="00AD140A"/>
    <w:rsid w:val="00AD14F8"/>
    <w:rsid w:val="00AD203E"/>
    <w:rsid w:val="00AD2364"/>
    <w:rsid w:val="00AD23B3"/>
    <w:rsid w:val="00AD34D2"/>
    <w:rsid w:val="00AD355F"/>
    <w:rsid w:val="00AD3810"/>
    <w:rsid w:val="00AD3965"/>
    <w:rsid w:val="00AD4B71"/>
    <w:rsid w:val="00AD51F8"/>
    <w:rsid w:val="00AD54BE"/>
    <w:rsid w:val="00AD5983"/>
    <w:rsid w:val="00AD59F9"/>
    <w:rsid w:val="00AD5A34"/>
    <w:rsid w:val="00AD5AFA"/>
    <w:rsid w:val="00AD6A8A"/>
    <w:rsid w:val="00AD6BAF"/>
    <w:rsid w:val="00AD71FB"/>
    <w:rsid w:val="00AD7237"/>
    <w:rsid w:val="00AD724D"/>
    <w:rsid w:val="00AD7F2C"/>
    <w:rsid w:val="00AE00CF"/>
    <w:rsid w:val="00AE03B5"/>
    <w:rsid w:val="00AE0505"/>
    <w:rsid w:val="00AE0603"/>
    <w:rsid w:val="00AE0684"/>
    <w:rsid w:val="00AE0760"/>
    <w:rsid w:val="00AE0925"/>
    <w:rsid w:val="00AE0BCC"/>
    <w:rsid w:val="00AE0EA9"/>
    <w:rsid w:val="00AE104A"/>
    <w:rsid w:val="00AE1A3B"/>
    <w:rsid w:val="00AE1E97"/>
    <w:rsid w:val="00AE262E"/>
    <w:rsid w:val="00AE2A0E"/>
    <w:rsid w:val="00AE2BC3"/>
    <w:rsid w:val="00AE3934"/>
    <w:rsid w:val="00AE39C8"/>
    <w:rsid w:val="00AE3A6C"/>
    <w:rsid w:val="00AE3ED0"/>
    <w:rsid w:val="00AE3EEC"/>
    <w:rsid w:val="00AE4648"/>
    <w:rsid w:val="00AE4A2E"/>
    <w:rsid w:val="00AE4A97"/>
    <w:rsid w:val="00AE4AB2"/>
    <w:rsid w:val="00AE5000"/>
    <w:rsid w:val="00AE50AB"/>
    <w:rsid w:val="00AE572B"/>
    <w:rsid w:val="00AE58AC"/>
    <w:rsid w:val="00AE5A11"/>
    <w:rsid w:val="00AE5BB3"/>
    <w:rsid w:val="00AE5CD1"/>
    <w:rsid w:val="00AE6212"/>
    <w:rsid w:val="00AE6303"/>
    <w:rsid w:val="00AE6674"/>
    <w:rsid w:val="00AE6689"/>
    <w:rsid w:val="00AE67D0"/>
    <w:rsid w:val="00AE6D67"/>
    <w:rsid w:val="00AE6DA5"/>
    <w:rsid w:val="00AE6E52"/>
    <w:rsid w:val="00AE7667"/>
    <w:rsid w:val="00AE7AC9"/>
    <w:rsid w:val="00AF0294"/>
    <w:rsid w:val="00AF05E6"/>
    <w:rsid w:val="00AF0EAB"/>
    <w:rsid w:val="00AF137B"/>
    <w:rsid w:val="00AF14D4"/>
    <w:rsid w:val="00AF1B74"/>
    <w:rsid w:val="00AF1E1C"/>
    <w:rsid w:val="00AF1F72"/>
    <w:rsid w:val="00AF2017"/>
    <w:rsid w:val="00AF22A2"/>
    <w:rsid w:val="00AF27B4"/>
    <w:rsid w:val="00AF2BFD"/>
    <w:rsid w:val="00AF2E9C"/>
    <w:rsid w:val="00AF3129"/>
    <w:rsid w:val="00AF35A5"/>
    <w:rsid w:val="00AF4099"/>
    <w:rsid w:val="00AF442C"/>
    <w:rsid w:val="00AF4E0A"/>
    <w:rsid w:val="00AF4E5B"/>
    <w:rsid w:val="00AF513A"/>
    <w:rsid w:val="00AF523A"/>
    <w:rsid w:val="00AF5E62"/>
    <w:rsid w:val="00AF63CD"/>
    <w:rsid w:val="00AF65C2"/>
    <w:rsid w:val="00AF663A"/>
    <w:rsid w:val="00AF6BA8"/>
    <w:rsid w:val="00AF6F0C"/>
    <w:rsid w:val="00AF6F11"/>
    <w:rsid w:val="00AF7358"/>
    <w:rsid w:val="00AF78B8"/>
    <w:rsid w:val="00AF797F"/>
    <w:rsid w:val="00AF7A39"/>
    <w:rsid w:val="00B006F9"/>
    <w:rsid w:val="00B014B8"/>
    <w:rsid w:val="00B015B6"/>
    <w:rsid w:val="00B01DD3"/>
    <w:rsid w:val="00B02230"/>
    <w:rsid w:val="00B022A1"/>
    <w:rsid w:val="00B0272C"/>
    <w:rsid w:val="00B02A74"/>
    <w:rsid w:val="00B02BFA"/>
    <w:rsid w:val="00B02E1F"/>
    <w:rsid w:val="00B03133"/>
    <w:rsid w:val="00B0349A"/>
    <w:rsid w:val="00B03BFB"/>
    <w:rsid w:val="00B04D2B"/>
    <w:rsid w:val="00B04D6E"/>
    <w:rsid w:val="00B050A6"/>
    <w:rsid w:val="00B053C6"/>
    <w:rsid w:val="00B0542B"/>
    <w:rsid w:val="00B05446"/>
    <w:rsid w:val="00B05583"/>
    <w:rsid w:val="00B05850"/>
    <w:rsid w:val="00B0591A"/>
    <w:rsid w:val="00B06353"/>
    <w:rsid w:val="00B0646A"/>
    <w:rsid w:val="00B067BC"/>
    <w:rsid w:val="00B07D92"/>
    <w:rsid w:val="00B07E80"/>
    <w:rsid w:val="00B07F5F"/>
    <w:rsid w:val="00B10569"/>
    <w:rsid w:val="00B10CD3"/>
    <w:rsid w:val="00B10F00"/>
    <w:rsid w:val="00B11658"/>
    <w:rsid w:val="00B116C3"/>
    <w:rsid w:val="00B1210B"/>
    <w:rsid w:val="00B12390"/>
    <w:rsid w:val="00B124E4"/>
    <w:rsid w:val="00B12DCF"/>
    <w:rsid w:val="00B135C3"/>
    <w:rsid w:val="00B13BDC"/>
    <w:rsid w:val="00B144FC"/>
    <w:rsid w:val="00B14886"/>
    <w:rsid w:val="00B14889"/>
    <w:rsid w:val="00B15189"/>
    <w:rsid w:val="00B152F0"/>
    <w:rsid w:val="00B1537C"/>
    <w:rsid w:val="00B15D87"/>
    <w:rsid w:val="00B16109"/>
    <w:rsid w:val="00B1623E"/>
    <w:rsid w:val="00B163F0"/>
    <w:rsid w:val="00B16722"/>
    <w:rsid w:val="00B16956"/>
    <w:rsid w:val="00B174D2"/>
    <w:rsid w:val="00B17577"/>
    <w:rsid w:val="00B177C7"/>
    <w:rsid w:val="00B20077"/>
    <w:rsid w:val="00B2074D"/>
    <w:rsid w:val="00B20F74"/>
    <w:rsid w:val="00B212F9"/>
    <w:rsid w:val="00B215E5"/>
    <w:rsid w:val="00B21897"/>
    <w:rsid w:val="00B21BE7"/>
    <w:rsid w:val="00B21C5F"/>
    <w:rsid w:val="00B21D49"/>
    <w:rsid w:val="00B21DC1"/>
    <w:rsid w:val="00B21E27"/>
    <w:rsid w:val="00B22075"/>
    <w:rsid w:val="00B220ED"/>
    <w:rsid w:val="00B2232D"/>
    <w:rsid w:val="00B22DA6"/>
    <w:rsid w:val="00B232F3"/>
    <w:rsid w:val="00B2399A"/>
    <w:rsid w:val="00B23BF7"/>
    <w:rsid w:val="00B23F41"/>
    <w:rsid w:val="00B2432A"/>
    <w:rsid w:val="00B24B62"/>
    <w:rsid w:val="00B24EFF"/>
    <w:rsid w:val="00B2512A"/>
    <w:rsid w:val="00B25B38"/>
    <w:rsid w:val="00B26782"/>
    <w:rsid w:val="00B269CE"/>
    <w:rsid w:val="00B26CAA"/>
    <w:rsid w:val="00B27920"/>
    <w:rsid w:val="00B30217"/>
    <w:rsid w:val="00B306EB"/>
    <w:rsid w:val="00B3073E"/>
    <w:rsid w:val="00B308FA"/>
    <w:rsid w:val="00B30F35"/>
    <w:rsid w:val="00B310A9"/>
    <w:rsid w:val="00B3120E"/>
    <w:rsid w:val="00B312F1"/>
    <w:rsid w:val="00B3130F"/>
    <w:rsid w:val="00B314FB"/>
    <w:rsid w:val="00B31A50"/>
    <w:rsid w:val="00B31A6B"/>
    <w:rsid w:val="00B31B05"/>
    <w:rsid w:val="00B32569"/>
    <w:rsid w:val="00B32586"/>
    <w:rsid w:val="00B329B1"/>
    <w:rsid w:val="00B32B53"/>
    <w:rsid w:val="00B33130"/>
    <w:rsid w:val="00B33442"/>
    <w:rsid w:val="00B338C2"/>
    <w:rsid w:val="00B33AF1"/>
    <w:rsid w:val="00B34309"/>
    <w:rsid w:val="00B346EB"/>
    <w:rsid w:val="00B34CF1"/>
    <w:rsid w:val="00B352C1"/>
    <w:rsid w:val="00B356B6"/>
    <w:rsid w:val="00B35E8E"/>
    <w:rsid w:val="00B366C1"/>
    <w:rsid w:val="00B36723"/>
    <w:rsid w:val="00B3721D"/>
    <w:rsid w:val="00B3737D"/>
    <w:rsid w:val="00B374FD"/>
    <w:rsid w:val="00B37932"/>
    <w:rsid w:val="00B40521"/>
    <w:rsid w:val="00B406EF"/>
    <w:rsid w:val="00B40740"/>
    <w:rsid w:val="00B40CA9"/>
    <w:rsid w:val="00B40CBD"/>
    <w:rsid w:val="00B410E6"/>
    <w:rsid w:val="00B413C9"/>
    <w:rsid w:val="00B418E7"/>
    <w:rsid w:val="00B41C71"/>
    <w:rsid w:val="00B42287"/>
    <w:rsid w:val="00B42666"/>
    <w:rsid w:val="00B4268F"/>
    <w:rsid w:val="00B42B45"/>
    <w:rsid w:val="00B4347F"/>
    <w:rsid w:val="00B4366B"/>
    <w:rsid w:val="00B43B7A"/>
    <w:rsid w:val="00B43E65"/>
    <w:rsid w:val="00B444FD"/>
    <w:rsid w:val="00B4496B"/>
    <w:rsid w:val="00B45007"/>
    <w:rsid w:val="00B452EA"/>
    <w:rsid w:val="00B45F35"/>
    <w:rsid w:val="00B46070"/>
    <w:rsid w:val="00B46344"/>
    <w:rsid w:val="00B46BD9"/>
    <w:rsid w:val="00B471EC"/>
    <w:rsid w:val="00B4743B"/>
    <w:rsid w:val="00B47EB5"/>
    <w:rsid w:val="00B504E2"/>
    <w:rsid w:val="00B5092F"/>
    <w:rsid w:val="00B50AF8"/>
    <w:rsid w:val="00B51564"/>
    <w:rsid w:val="00B51728"/>
    <w:rsid w:val="00B51D9B"/>
    <w:rsid w:val="00B51EFF"/>
    <w:rsid w:val="00B52542"/>
    <w:rsid w:val="00B525E0"/>
    <w:rsid w:val="00B52F29"/>
    <w:rsid w:val="00B53226"/>
    <w:rsid w:val="00B53735"/>
    <w:rsid w:val="00B54235"/>
    <w:rsid w:val="00B5467F"/>
    <w:rsid w:val="00B5478D"/>
    <w:rsid w:val="00B547B7"/>
    <w:rsid w:val="00B54A9F"/>
    <w:rsid w:val="00B54DBD"/>
    <w:rsid w:val="00B553DB"/>
    <w:rsid w:val="00B5541C"/>
    <w:rsid w:val="00B5576B"/>
    <w:rsid w:val="00B558D8"/>
    <w:rsid w:val="00B55BF1"/>
    <w:rsid w:val="00B56A67"/>
    <w:rsid w:val="00B57421"/>
    <w:rsid w:val="00B576B0"/>
    <w:rsid w:val="00B57DFA"/>
    <w:rsid w:val="00B57F06"/>
    <w:rsid w:val="00B57F9D"/>
    <w:rsid w:val="00B6008C"/>
    <w:rsid w:val="00B600DA"/>
    <w:rsid w:val="00B606F2"/>
    <w:rsid w:val="00B60A59"/>
    <w:rsid w:val="00B60CD4"/>
    <w:rsid w:val="00B611D2"/>
    <w:rsid w:val="00B617BA"/>
    <w:rsid w:val="00B618CA"/>
    <w:rsid w:val="00B61968"/>
    <w:rsid w:val="00B61BC5"/>
    <w:rsid w:val="00B62D19"/>
    <w:rsid w:val="00B631D9"/>
    <w:rsid w:val="00B631E8"/>
    <w:rsid w:val="00B63807"/>
    <w:rsid w:val="00B63C12"/>
    <w:rsid w:val="00B63FD5"/>
    <w:rsid w:val="00B64263"/>
    <w:rsid w:val="00B645A4"/>
    <w:rsid w:val="00B64820"/>
    <w:rsid w:val="00B64A2A"/>
    <w:rsid w:val="00B64A31"/>
    <w:rsid w:val="00B64A37"/>
    <w:rsid w:val="00B64B23"/>
    <w:rsid w:val="00B6533A"/>
    <w:rsid w:val="00B660E6"/>
    <w:rsid w:val="00B66373"/>
    <w:rsid w:val="00B670D9"/>
    <w:rsid w:val="00B67A93"/>
    <w:rsid w:val="00B70102"/>
    <w:rsid w:val="00B70710"/>
    <w:rsid w:val="00B70736"/>
    <w:rsid w:val="00B7118E"/>
    <w:rsid w:val="00B71309"/>
    <w:rsid w:val="00B71BAA"/>
    <w:rsid w:val="00B7253B"/>
    <w:rsid w:val="00B725E1"/>
    <w:rsid w:val="00B7269A"/>
    <w:rsid w:val="00B72954"/>
    <w:rsid w:val="00B72F78"/>
    <w:rsid w:val="00B736D5"/>
    <w:rsid w:val="00B73A44"/>
    <w:rsid w:val="00B73B69"/>
    <w:rsid w:val="00B742F9"/>
    <w:rsid w:val="00B74CFB"/>
    <w:rsid w:val="00B75050"/>
    <w:rsid w:val="00B75242"/>
    <w:rsid w:val="00B752BD"/>
    <w:rsid w:val="00B75963"/>
    <w:rsid w:val="00B75A68"/>
    <w:rsid w:val="00B76ACB"/>
    <w:rsid w:val="00B76B1E"/>
    <w:rsid w:val="00B77001"/>
    <w:rsid w:val="00B7734E"/>
    <w:rsid w:val="00B77AE8"/>
    <w:rsid w:val="00B77C71"/>
    <w:rsid w:val="00B77D29"/>
    <w:rsid w:val="00B77DDD"/>
    <w:rsid w:val="00B805C3"/>
    <w:rsid w:val="00B807E2"/>
    <w:rsid w:val="00B810F1"/>
    <w:rsid w:val="00B815CE"/>
    <w:rsid w:val="00B81DE0"/>
    <w:rsid w:val="00B81F19"/>
    <w:rsid w:val="00B82291"/>
    <w:rsid w:val="00B825DB"/>
    <w:rsid w:val="00B82C53"/>
    <w:rsid w:val="00B82CF9"/>
    <w:rsid w:val="00B82E87"/>
    <w:rsid w:val="00B832CA"/>
    <w:rsid w:val="00B838F2"/>
    <w:rsid w:val="00B839D0"/>
    <w:rsid w:val="00B83B08"/>
    <w:rsid w:val="00B84260"/>
    <w:rsid w:val="00B8471C"/>
    <w:rsid w:val="00B84873"/>
    <w:rsid w:val="00B850D5"/>
    <w:rsid w:val="00B855A5"/>
    <w:rsid w:val="00B858E3"/>
    <w:rsid w:val="00B85FA3"/>
    <w:rsid w:val="00B863C5"/>
    <w:rsid w:val="00B86B57"/>
    <w:rsid w:val="00B86CF8"/>
    <w:rsid w:val="00B877AC"/>
    <w:rsid w:val="00B877B2"/>
    <w:rsid w:val="00B8781B"/>
    <w:rsid w:val="00B87A07"/>
    <w:rsid w:val="00B87A89"/>
    <w:rsid w:val="00B908C7"/>
    <w:rsid w:val="00B90C7A"/>
    <w:rsid w:val="00B90DB0"/>
    <w:rsid w:val="00B90E79"/>
    <w:rsid w:val="00B912B9"/>
    <w:rsid w:val="00B91768"/>
    <w:rsid w:val="00B91891"/>
    <w:rsid w:val="00B91DA5"/>
    <w:rsid w:val="00B91DF1"/>
    <w:rsid w:val="00B93176"/>
    <w:rsid w:val="00B93223"/>
    <w:rsid w:val="00B93886"/>
    <w:rsid w:val="00B9451E"/>
    <w:rsid w:val="00B94584"/>
    <w:rsid w:val="00B94B19"/>
    <w:rsid w:val="00B94BB8"/>
    <w:rsid w:val="00B94E84"/>
    <w:rsid w:val="00B952D2"/>
    <w:rsid w:val="00B953A6"/>
    <w:rsid w:val="00B96395"/>
    <w:rsid w:val="00B96DD6"/>
    <w:rsid w:val="00B97362"/>
    <w:rsid w:val="00B978D2"/>
    <w:rsid w:val="00B97A81"/>
    <w:rsid w:val="00BA1A22"/>
    <w:rsid w:val="00BA1A77"/>
    <w:rsid w:val="00BA2122"/>
    <w:rsid w:val="00BA23CF"/>
    <w:rsid w:val="00BA2D47"/>
    <w:rsid w:val="00BA2FE5"/>
    <w:rsid w:val="00BA30F8"/>
    <w:rsid w:val="00BA3C2A"/>
    <w:rsid w:val="00BA3D90"/>
    <w:rsid w:val="00BA3F77"/>
    <w:rsid w:val="00BA41CC"/>
    <w:rsid w:val="00BA4C90"/>
    <w:rsid w:val="00BA4DB4"/>
    <w:rsid w:val="00BA4E04"/>
    <w:rsid w:val="00BA4F85"/>
    <w:rsid w:val="00BA50AA"/>
    <w:rsid w:val="00BA5A48"/>
    <w:rsid w:val="00BA5E9C"/>
    <w:rsid w:val="00BA5FFC"/>
    <w:rsid w:val="00BA60E6"/>
    <w:rsid w:val="00BA699E"/>
    <w:rsid w:val="00BA6C5A"/>
    <w:rsid w:val="00BA6C9C"/>
    <w:rsid w:val="00BA6D01"/>
    <w:rsid w:val="00BA767F"/>
    <w:rsid w:val="00BB015F"/>
    <w:rsid w:val="00BB13AD"/>
    <w:rsid w:val="00BB1A1B"/>
    <w:rsid w:val="00BB1F2C"/>
    <w:rsid w:val="00BB2133"/>
    <w:rsid w:val="00BB228B"/>
    <w:rsid w:val="00BB24F9"/>
    <w:rsid w:val="00BB2854"/>
    <w:rsid w:val="00BB2A95"/>
    <w:rsid w:val="00BB2AF2"/>
    <w:rsid w:val="00BB2FB5"/>
    <w:rsid w:val="00BB33CB"/>
    <w:rsid w:val="00BB4464"/>
    <w:rsid w:val="00BB44C0"/>
    <w:rsid w:val="00BB4717"/>
    <w:rsid w:val="00BB479F"/>
    <w:rsid w:val="00BB4F9C"/>
    <w:rsid w:val="00BB53B7"/>
    <w:rsid w:val="00BB5474"/>
    <w:rsid w:val="00BB5672"/>
    <w:rsid w:val="00BB5748"/>
    <w:rsid w:val="00BB59B5"/>
    <w:rsid w:val="00BB64D3"/>
    <w:rsid w:val="00BB65FB"/>
    <w:rsid w:val="00BB667A"/>
    <w:rsid w:val="00BB753B"/>
    <w:rsid w:val="00BB7923"/>
    <w:rsid w:val="00BB7CCE"/>
    <w:rsid w:val="00BB7FDD"/>
    <w:rsid w:val="00BC0391"/>
    <w:rsid w:val="00BC0B8D"/>
    <w:rsid w:val="00BC0C85"/>
    <w:rsid w:val="00BC0EC3"/>
    <w:rsid w:val="00BC0FBA"/>
    <w:rsid w:val="00BC0FBB"/>
    <w:rsid w:val="00BC1A40"/>
    <w:rsid w:val="00BC1ADD"/>
    <w:rsid w:val="00BC20B2"/>
    <w:rsid w:val="00BC246D"/>
    <w:rsid w:val="00BC2522"/>
    <w:rsid w:val="00BC29A8"/>
    <w:rsid w:val="00BC2E17"/>
    <w:rsid w:val="00BC38B0"/>
    <w:rsid w:val="00BC402A"/>
    <w:rsid w:val="00BC47FF"/>
    <w:rsid w:val="00BC4A9D"/>
    <w:rsid w:val="00BC4C47"/>
    <w:rsid w:val="00BC500A"/>
    <w:rsid w:val="00BC53CB"/>
    <w:rsid w:val="00BC5718"/>
    <w:rsid w:val="00BC5846"/>
    <w:rsid w:val="00BC5A6F"/>
    <w:rsid w:val="00BC5A76"/>
    <w:rsid w:val="00BC5DFD"/>
    <w:rsid w:val="00BC6010"/>
    <w:rsid w:val="00BC6062"/>
    <w:rsid w:val="00BC60B3"/>
    <w:rsid w:val="00BC60ED"/>
    <w:rsid w:val="00BC7AD6"/>
    <w:rsid w:val="00BC7DD0"/>
    <w:rsid w:val="00BD0A7C"/>
    <w:rsid w:val="00BD17A8"/>
    <w:rsid w:val="00BD1A31"/>
    <w:rsid w:val="00BD1B86"/>
    <w:rsid w:val="00BD23C4"/>
    <w:rsid w:val="00BD29BD"/>
    <w:rsid w:val="00BD3631"/>
    <w:rsid w:val="00BD3717"/>
    <w:rsid w:val="00BD4A11"/>
    <w:rsid w:val="00BD59C0"/>
    <w:rsid w:val="00BD6235"/>
    <w:rsid w:val="00BD687A"/>
    <w:rsid w:val="00BD6A63"/>
    <w:rsid w:val="00BD6AFF"/>
    <w:rsid w:val="00BD6B7B"/>
    <w:rsid w:val="00BD6D83"/>
    <w:rsid w:val="00BD6E65"/>
    <w:rsid w:val="00BD6F73"/>
    <w:rsid w:val="00BD7E4C"/>
    <w:rsid w:val="00BE02DE"/>
    <w:rsid w:val="00BE0419"/>
    <w:rsid w:val="00BE0447"/>
    <w:rsid w:val="00BE068A"/>
    <w:rsid w:val="00BE0934"/>
    <w:rsid w:val="00BE1532"/>
    <w:rsid w:val="00BE1AC4"/>
    <w:rsid w:val="00BE23D9"/>
    <w:rsid w:val="00BE23DC"/>
    <w:rsid w:val="00BE247E"/>
    <w:rsid w:val="00BE37B5"/>
    <w:rsid w:val="00BE38DC"/>
    <w:rsid w:val="00BE42A2"/>
    <w:rsid w:val="00BE431D"/>
    <w:rsid w:val="00BE4DA9"/>
    <w:rsid w:val="00BE4F5A"/>
    <w:rsid w:val="00BE52DC"/>
    <w:rsid w:val="00BE5D0C"/>
    <w:rsid w:val="00BE6387"/>
    <w:rsid w:val="00BE69B5"/>
    <w:rsid w:val="00BE75EF"/>
    <w:rsid w:val="00BE780B"/>
    <w:rsid w:val="00BE793B"/>
    <w:rsid w:val="00BE7ACA"/>
    <w:rsid w:val="00BE7C0A"/>
    <w:rsid w:val="00BF00C5"/>
    <w:rsid w:val="00BF057E"/>
    <w:rsid w:val="00BF1067"/>
    <w:rsid w:val="00BF1ADD"/>
    <w:rsid w:val="00BF1C6A"/>
    <w:rsid w:val="00BF201F"/>
    <w:rsid w:val="00BF2081"/>
    <w:rsid w:val="00BF20FF"/>
    <w:rsid w:val="00BF2379"/>
    <w:rsid w:val="00BF3100"/>
    <w:rsid w:val="00BF331F"/>
    <w:rsid w:val="00BF3405"/>
    <w:rsid w:val="00BF35A5"/>
    <w:rsid w:val="00BF3B1F"/>
    <w:rsid w:val="00BF3B39"/>
    <w:rsid w:val="00BF4D3B"/>
    <w:rsid w:val="00BF4D42"/>
    <w:rsid w:val="00BF4D68"/>
    <w:rsid w:val="00BF5165"/>
    <w:rsid w:val="00BF568D"/>
    <w:rsid w:val="00BF627E"/>
    <w:rsid w:val="00BF65A4"/>
    <w:rsid w:val="00BF6C76"/>
    <w:rsid w:val="00BF6D03"/>
    <w:rsid w:val="00BF710F"/>
    <w:rsid w:val="00BF72E0"/>
    <w:rsid w:val="00BF7593"/>
    <w:rsid w:val="00BF7695"/>
    <w:rsid w:val="00BF7B82"/>
    <w:rsid w:val="00BF7BF5"/>
    <w:rsid w:val="00BF7D14"/>
    <w:rsid w:val="00BF7E19"/>
    <w:rsid w:val="00C0001C"/>
    <w:rsid w:val="00C003A5"/>
    <w:rsid w:val="00C019C1"/>
    <w:rsid w:val="00C01FA0"/>
    <w:rsid w:val="00C02338"/>
    <w:rsid w:val="00C02405"/>
    <w:rsid w:val="00C02C51"/>
    <w:rsid w:val="00C02EAA"/>
    <w:rsid w:val="00C03264"/>
    <w:rsid w:val="00C037AB"/>
    <w:rsid w:val="00C03BB8"/>
    <w:rsid w:val="00C0448C"/>
    <w:rsid w:val="00C044BC"/>
    <w:rsid w:val="00C04F8E"/>
    <w:rsid w:val="00C050C8"/>
    <w:rsid w:val="00C054D1"/>
    <w:rsid w:val="00C05526"/>
    <w:rsid w:val="00C055E5"/>
    <w:rsid w:val="00C058F4"/>
    <w:rsid w:val="00C05B36"/>
    <w:rsid w:val="00C05F64"/>
    <w:rsid w:val="00C060DD"/>
    <w:rsid w:val="00C062B7"/>
    <w:rsid w:val="00C06689"/>
    <w:rsid w:val="00C06EAD"/>
    <w:rsid w:val="00C07ADA"/>
    <w:rsid w:val="00C1005A"/>
    <w:rsid w:val="00C10250"/>
    <w:rsid w:val="00C106FF"/>
    <w:rsid w:val="00C11016"/>
    <w:rsid w:val="00C113D4"/>
    <w:rsid w:val="00C11501"/>
    <w:rsid w:val="00C11632"/>
    <w:rsid w:val="00C120A3"/>
    <w:rsid w:val="00C121AF"/>
    <w:rsid w:val="00C128AB"/>
    <w:rsid w:val="00C12947"/>
    <w:rsid w:val="00C12CE0"/>
    <w:rsid w:val="00C12DEF"/>
    <w:rsid w:val="00C132EC"/>
    <w:rsid w:val="00C139B5"/>
    <w:rsid w:val="00C13F81"/>
    <w:rsid w:val="00C14568"/>
    <w:rsid w:val="00C1496B"/>
    <w:rsid w:val="00C14A92"/>
    <w:rsid w:val="00C14AF0"/>
    <w:rsid w:val="00C14F0A"/>
    <w:rsid w:val="00C14F8D"/>
    <w:rsid w:val="00C15273"/>
    <w:rsid w:val="00C15412"/>
    <w:rsid w:val="00C15DD0"/>
    <w:rsid w:val="00C16158"/>
    <w:rsid w:val="00C161B0"/>
    <w:rsid w:val="00C16986"/>
    <w:rsid w:val="00C16EF1"/>
    <w:rsid w:val="00C16FE3"/>
    <w:rsid w:val="00C17161"/>
    <w:rsid w:val="00C171C1"/>
    <w:rsid w:val="00C1736F"/>
    <w:rsid w:val="00C17AA9"/>
    <w:rsid w:val="00C17BB2"/>
    <w:rsid w:val="00C17BF0"/>
    <w:rsid w:val="00C17F61"/>
    <w:rsid w:val="00C204A9"/>
    <w:rsid w:val="00C205FF"/>
    <w:rsid w:val="00C20C8D"/>
    <w:rsid w:val="00C20CB2"/>
    <w:rsid w:val="00C20D5C"/>
    <w:rsid w:val="00C20F26"/>
    <w:rsid w:val="00C20F4B"/>
    <w:rsid w:val="00C212EA"/>
    <w:rsid w:val="00C21922"/>
    <w:rsid w:val="00C2220C"/>
    <w:rsid w:val="00C229E1"/>
    <w:rsid w:val="00C22C1F"/>
    <w:rsid w:val="00C2336D"/>
    <w:rsid w:val="00C23B3E"/>
    <w:rsid w:val="00C24307"/>
    <w:rsid w:val="00C246A6"/>
    <w:rsid w:val="00C248F3"/>
    <w:rsid w:val="00C25212"/>
    <w:rsid w:val="00C252B5"/>
    <w:rsid w:val="00C25474"/>
    <w:rsid w:val="00C257BE"/>
    <w:rsid w:val="00C260B3"/>
    <w:rsid w:val="00C2612F"/>
    <w:rsid w:val="00C26ACA"/>
    <w:rsid w:val="00C26D6A"/>
    <w:rsid w:val="00C26E91"/>
    <w:rsid w:val="00C270B8"/>
    <w:rsid w:val="00C27605"/>
    <w:rsid w:val="00C279E8"/>
    <w:rsid w:val="00C27E77"/>
    <w:rsid w:val="00C27F56"/>
    <w:rsid w:val="00C305E7"/>
    <w:rsid w:val="00C3092F"/>
    <w:rsid w:val="00C30C38"/>
    <w:rsid w:val="00C3116C"/>
    <w:rsid w:val="00C311EB"/>
    <w:rsid w:val="00C31222"/>
    <w:rsid w:val="00C31350"/>
    <w:rsid w:val="00C317A9"/>
    <w:rsid w:val="00C3180C"/>
    <w:rsid w:val="00C31EA4"/>
    <w:rsid w:val="00C3229A"/>
    <w:rsid w:val="00C327D6"/>
    <w:rsid w:val="00C328E2"/>
    <w:rsid w:val="00C3327B"/>
    <w:rsid w:val="00C332B5"/>
    <w:rsid w:val="00C333BE"/>
    <w:rsid w:val="00C33D7E"/>
    <w:rsid w:val="00C344B3"/>
    <w:rsid w:val="00C347AC"/>
    <w:rsid w:val="00C34E6E"/>
    <w:rsid w:val="00C3550F"/>
    <w:rsid w:val="00C355FF"/>
    <w:rsid w:val="00C3561D"/>
    <w:rsid w:val="00C35BDE"/>
    <w:rsid w:val="00C35C9C"/>
    <w:rsid w:val="00C35DCD"/>
    <w:rsid w:val="00C35FC3"/>
    <w:rsid w:val="00C36014"/>
    <w:rsid w:val="00C36309"/>
    <w:rsid w:val="00C368AC"/>
    <w:rsid w:val="00C36914"/>
    <w:rsid w:val="00C36D3A"/>
    <w:rsid w:val="00C3715B"/>
    <w:rsid w:val="00C377BF"/>
    <w:rsid w:val="00C37C1F"/>
    <w:rsid w:val="00C37D07"/>
    <w:rsid w:val="00C37DC8"/>
    <w:rsid w:val="00C407FC"/>
    <w:rsid w:val="00C40A7B"/>
    <w:rsid w:val="00C40BAB"/>
    <w:rsid w:val="00C40E98"/>
    <w:rsid w:val="00C41186"/>
    <w:rsid w:val="00C4120F"/>
    <w:rsid w:val="00C41462"/>
    <w:rsid w:val="00C41561"/>
    <w:rsid w:val="00C419AF"/>
    <w:rsid w:val="00C41F50"/>
    <w:rsid w:val="00C4278C"/>
    <w:rsid w:val="00C42DDD"/>
    <w:rsid w:val="00C42EB2"/>
    <w:rsid w:val="00C44174"/>
    <w:rsid w:val="00C446FF"/>
    <w:rsid w:val="00C44969"/>
    <w:rsid w:val="00C45075"/>
    <w:rsid w:val="00C45691"/>
    <w:rsid w:val="00C456AE"/>
    <w:rsid w:val="00C45D4A"/>
    <w:rsid w:val="00C45E42"/>
    <w:rsid w:val="00C4609E"/>
    <w:rsid w:val="00C46244"/>
    <w:rsid w:val="00C4721B"/>
    <w:rsid w:val="00C47DF6"/>
    <w:rsid w:val="00C47FD2"/>
    <w:rsid w:val="00C504B3"/>
    <w:rsid w:val="00C5063E"/>
    <w:rsid w:val="00C507D8"/>
    <w:rsid w:val="00C51117"/>
    <w:rsid w:val="00C51235"/>
    <w:rsid w:val="00C512B9"/>
    <w:rsid w:val="00C5179B"/>
    <w:rsid w:val="00C518F8"/>
    <w:rsid w:val="00C51ABB"/>
    <w:rsid w:val="00C51EBC"/>
    <w:rsid w:val="00C5234F"/>
    <w:rsid w:val="00C52833"/>
    <w:rsid w:val="00C52DB4"/>
    <w:rsid w:val="00C5324B"/>
    <w:rsid w:val="00C538A3"/>
    <w:rsid w:val="00C53DCD"/>
    <w:rsid w:val="00C5413E"/>
    <w:rsid w:val="00C54D4B"/>
    <w:rsid w:val="00C54F35"/>
    <w:rsid w:val="00C55246"/>
    <w:rsid w:val="00C55CAD"/>
    <w:rsid w:val="00C56391"/>
    <w:rsid w:val="00C56699"/>
    <w:rsid w:val="00C567C7"/>
    <w:rsid w:val="00C56AA1"/>
    <w:rsid w:val="00C56BA0"/>
    <w:rsid w:val="00C572B5"/>
    <w:rsid w:val="00C57886"/>
    <w:rsid w:val="00C57A83"/>
    <w:rsid w:val="00C57ACC"/>
    <w:rsid w:val="00C6000C"/>
    <w:rsid w:val="00C60593"/>
    <w:rsid w:val="00C61A6E"/>
    <w:rsid w:val="00C61C0A"/>
    <w:rsid w:val="00C61D11"/>
    <w:rsid w:val="00C61F31"/>
    <w:rsid w:val="00C62404"/>
    <w:rsid w:val="00C624AF"/>
    <w:rsid w:val="00C633B5"/>
    <w:rsid w:val="00C63D6D"/>
    <w:rsid w:val="00C63FCC"/>
    <w:rsid w:val="00C655D9"/>
    <w:rsid w:val="00C66B2E"/>
    <w:rsid w:val="00C67598"/>
    <w:rsid w:val="00C67612"/>
    <w:rsid w:val="00C679D8"/>
    <w:rsid w:val="00C70430"/>
    <w:rsid w:val="00C70676"/>
    <w:rsid w:val="00C706B0"/>
    <w:rsid w:val="00C7085A"/>
    <w:rsid w:val="00C71016"/>
    <w:rsid w:val="00C71388"/>
    <w:rsid w:val="00C7153D"/>
    <w:rsid w:val="00C71CDD"/>
    <w:rsid w:val="00C71F6F"/>
    <w:rsid w:val="00C721C4"/>
    <w:rsid w:val="00C725BB"/>
    <w:rsid w:val="00C72823"/>
    <w:rsid w:val="00C72AE6"/>
    <w:rsid w:val="00C72DCE"/>
    <w:rsid w:val="00C738A0"/>
    <w:rsid w:val="00C7395C"/>
    <w:rsid w:val="00C73D78"/>
    <w:rsid w:val="00C743FC"/>
    <w:rsid w:val="00C745E2"/>
    <w:rsid w:val="00C74709"/>
    <w:rsid w:val="00C74894"/>
    <w:rsid w:val="00C74A90"/>
    <w:rsid w:val="00C74B29"/>
    <w:rsid w:val="00C75251"/>
    <w:rsid w:val="00C75280"/>
    <w:rsid w:val="00C75869"/>
    <w:rsid w:val="00C75AB5"/>
    <w:rsid w:val="00C75F66"/>
    <w:rsid w:val="00C76CA6"/>
    <w:rsid w:val="00C76D80"/>
    <w:rsid w:val="00C776E2"/>
    <w:rsid w:val="00C77713"/>
    <w:rsid w:val="00C77F74"/>
    <w:rsid w:val="00C80672"/>
    <w:rsid w:val="00C81ABE"/>
    <w:rsid w:val="00C81B0D"/>
    <w:rsid w:val="00C81D63"/>
    <w:rsid w:val="00C82230"/>
    <w:rsid w:val="00C823DA"/>
    <w:rsid w:val="00C825E8"/>
    <w:rsid w:val="00C8263A"/>
    <w:rsid w:val="00C82B8D"/>
    <w:rsid w:val="00C83131"/>
    <w:rsid w:val="00C8324E"/>
    <w:rsid w:val="00C8360D"/>
    <w:rsid w:val="00C83AD2"/>
    <w:rsid w:val="00C83F81"/>
    <w:rsid w:val="00C84602"/>
    <w:rsid w:val="00C8672F"/>
    <w:rsid w:val="00C86914"/>
    <w:rsid w:val="00C869D2"/>
    <w:rsid w:val="00C871A0"/>
    <w:rsid w:val="00C877CC"/>
    <w:rsid w:val="00C8786B"/>
    <w:rsid w:val="00C879A1"/>
    <w:rsid w:val="00C87F12"/>
    <w:rsid w:val="00C908B6"/>
    <w:rsid w:val="00C90958"/>
    <w:rsid w:val="00C90C63"/>
    <w:rsid w:val="00C90E6D"/>
    <w:rsid w:val="00C91101"/>
    <w:rsid w:val="00C9154A"/>
    <w:rsid w:val="00C91AAD"/>
    <w:rsid w:val="00C921B0"/>
    <w:rsid w:val="00C92235"/>
    <w:rsid w:val="00C922C2"/>
    <w:rsid w:val="00C928D4"/>
    <w:rsid w:val="00C930E5"/>
    <w:rsid w:val="00C93A3D"/>
    <w:rsid w:val="00C93BC6"/>
    <w:rsid w:val="00C9447C"/>
    <w:rsid w:val="00C94B70"/>
    <w:rsid w:val="00C95250"/>
    <w:rsid w:val="00C953BA"/>
    <w:rsid w:val="00C9573B"/>
    <w:rsid w:val="00C958BC"/>
    <w:rsid w:val="00C96389"/>
    <w:rsid w:val="00C96585"/>
    <w:rsid w:val="00C96B4E"/>
    <w:rsid w:val="00C96EEC"/>
    <w:rsid w:val="00C973BD"/>
    <w:rsid w:val="00C97550"/>
    <w:rsid w:val="00C975D5"/>
    <w:rsid w:val="00C979C5"/>
    <w:rsid w:val="00C97A5E"/>
    <w:rsid w:val="00CA0552"/>
    <w:rsid w:val="00CA077E"/>
    <w:rsid w:val="00CA07D8"/>
    <w:rsid w:val="00CA08DB"/>
    <w:rsid w:val="00CA08EA"/>
    <w:rsid w:val="00CA0958"/>
    <w:rsid w:val="00CA119F"/>
    <w:rsid w:val="00CA1875"/>
    <w:rsid w:val="00CA2166"/>
    <w:rsid w:val="00CA2363"/>
    <w:rsid w:val="00CA29D2"/>
    <w:rsid w:val="00CA2A1C"/>
    <w:rsid w:val="00CA2A36"/>
    <w:rsid w:val="00CA2B88"/>
    <w:rsid w:val="00CA2D14"/>
    <w:rsid w:val="00CA2FDF"/>
    <w:rsid w:val="00CA3039"/>
    <w:rsid w:val="00CA32F9"/>
    <w:rsid w:val="00CA3358"/>
    <w:rsid w:val="00CA33CD"/>
    <w:rsid w:val="00CA3591"/>
    <w:rsid w:val="00CA35D0"/>
    <w:rsid w:val="00CA3DB0"/>
    <w:rsid w:val="00CA411A"/>
    <w:rsid w:val="00CA41F6"/>
    <w:rsid w:val="00CA4CA6"/>
    <w:rsid w:val="00CA4CFB"/>
    <w:rsid w:val="00CA4E1D"/>
    <w:rsid w:val="00CA4F4D"/>
    <w:rsid w:val="00CA5040"/>
    <w:rsid w:val="00CA53CA"/>
    <w:rsid w:val="00CA5437"/>
    <w:rsid w:val="00CA5EF2"/>
    <w:rsid w:val="00CA680F"/>
    <w:rsid w:val="00CA6D74"/>
    <w:rsid w:val="00CA7A27"/>
    <w:rsid w:val="00CA7E69"/>
    <w:rsid w:val="00CB0000"/>
    <w:rsid w:val="00CB0F67"/>
    <w:rsid w:val="00CB1463"/>
    <w:rsid w:val="00CB194B"/>
    <w:rsid w:val="00CB21BF"/>
    <w:rsid w:val="00CB2B5A"/>
    <w:rsid w:val="00CB2E35"/>
    <w:rsid w:val="00CB3A0C"/>
    <w:rsid w:val="00CB3AD5"/>
    <w:rsid w:val="00CB3CBE"/>
    <w:rsid w:val="00CB4471"/>
    <w:rsid w:val="00CB47F9"/>
    <w:rsid w:val="00CB4B85"/>
    <w:rsid w:val="00CB52AD"/>
    <w:rsid w:val="00CB580E"/>
    <w:rsid w:val="00CB5C3D"/>
    <w:rsid w:val="00CB5C82"/>
    <w:rsid w:val="00CB6F74"/>
    <w:rsid w:val="00CB73D4"/>
    <w:rsid w:val="00CB766C"/>
    <w:rsid w:val="00CB76EB"/>
    <w:rsid w:val="00CB77B9"/>
    <w:rsid w:val="00CC0051"/>
    <w:rsid w:val="00CC0FE9"/>
    <w:rsid w:val="00CC1360"/>
    <w:rsid w:val="00CC1961"/>
    <w:rsid w:val="00CC1BC2"/>
    <w:rsid w:val="00CC252C"/>
    <w:rsid w:val="00CC26FC"/>
    <w:rsid w:val="00CC2AD8"/>
    <w:rsid w:val="00CC2C84"/>
    <w:rsid w:val="00CC2D7D"/>
    <w:rsid w:val="00CC310D"/>
    <w:rsid w:val="00CC34BB"/>
    <w:rsid w:val="00CC3720"/>
    <w:rsid w:val="00CC3F90"/>
    <w:rsid w:val="00CC4930"/>
    <w:rsid w:val="00CC4FAE"/>
    <w:rsid w:val="00CC50AC"/>
    <w:rsid w:val="00CC5A17"/>
    <w:rsid w:val="00CC5B87"/>
    <w:rsid w:val="00CC5E5C"/>
    <w:rsid w:val="00CC6852"/>
    <w:rsid w:val="00CC71F6"/>
    <w:rsid w:val="00CC73B2"/>
    <w:rsid w:val="00CC7486"/>
    <w:rsid w:val="00CC78C1"/>
    <w:rsid w:val="00CC7B98"/>
    <w:rsid w:val="00CC7E38"/>
    <w:rsid w:val="00CC7F85"/>
    <w:rsid w:val="00CD0187"/>
    <w:rsid w:val="00CD0561"/>
    <w:rsid w:val="00CD0C91"/>
    <w:rsid w:val="00CD0FFC"/>
    <w:rsid w:val="00CD16E0"/>
    <w:rsid w:val="00CD1783"/>
    <w:rsid w:val="00CD1909"/>
    <w:rsid w:val="00CD1DEF"/>
    <w:rsid w:val="00CD1FA9"/>
    <w:rsid w:val="00CD20DB"/>
    <w:rsid w:val="00CD23BD"/>
    <w:rsid w:val="00CD26B0"/>
    <w:rsid w:val="00CD28BE"/>
    <w:rsid w:val="00CD31A5"/>
    <w:rsid w:val="00CD37F6"/>
    <w:rsid w:val="00CD3DFF"/>
    <w:rsid w:val="00CD4A6F"/>
    <w:rsid w:val="00CD4ACA"/>
    <w:rsid w:val="00CD5640"/>
    <w:rsid w:val="00CD5CCB"/>
    <w:rsid w:val="00CD5F8C"/>
    <w:rsid w:val="00CD6070"/>
    <w:rsid w:val="00CD66C5"/>
    <w:rsid w:val="00CD75F3"/>
    <w:rsid w:val="00CD7908"/>
    <w:rsid w:val="00CD7939"/>
    <w:rsid w:val="00CD7B70"/>
    <w:rsid w:val="00CE03AF"/>
    <w:rsid w:val="00CE1000"/>
    <w:rsid w:val="00CE1870"/>
    <w:rsid w:val="00CE1927"/>
    <w:rsid w:val="00CE1B67"/>
    <w:rsid w:val="00CE1F12"/>
    <w:rsid w:val="00CE21B4"/>
    <w:rsid w:val="00CE2257"/>
    <w:rsid w:val="00CE2BCE"/>
    <w:rsid w:val="00CE3277"/>
    <w:rsid w:val="00CE36CC"/>
    <w:rsid w:val="00CE3A0B"/>
    <w:rsid w:val="00CE3F56"/>
    <w:rsid w:val="00CE40B4"/>
    <w:rsid w:val="00CE4124"/>
    <w:rsid w:val="00CE41CF"/>
    <w:rsid w:val="00CE465F"/>
    <w:rsid w:val="00CE4DF7"/>
    <w:rsid w:val="00CE6013"/>
    <w:rsid w:val="00CE6139"/>
    <w:rsid w:val="00CE6406"/>
    <w:rsid w:val="00CE7B24"/>
    <w:rsid w:val="00CF00E8"/>
    <w:rsid w:val="00CF03E6"/>
    <w:rsid w:val="00CF0512"/>
    <w:rsid w:val="00CF0BAE"/>
    <w:rsid w:val="00CF0F83"/>
    <w:rsid w:val="00CF1A4B"/>
    <w:rsid w:val="00CF1FC7"/>
    <w:rsid w:val="00CF296F"/>
    <w:rsid w:val="00CF2FC7"/>
    <w:rsid w:val="00CF303E"/>
    <w:rsid w:val="00CF3276"/>
    <w:rsid w:val="00CF3519"/>
    <w:rsid w:val="00CF3958"/>
    <w:rsid w:val="00CF4491"/>
    <w:rsid w:val="00CF4559"/>
    <w:rsid w:val="00CF5809"/>
    <w:rsid w:val="00CF5C25"/>
    <w:rsid w:val="00CF6907"/>
    <w:rsid w:val="00CF7870"/>
    <w:rsid w:val="00CF7AA7"/>
    <w:rsid w:val="00CF7BCB"/>
    <w:rsid w:val="00D00041"/>
    <w:rsid w:val="00D00AC2"/>
    <w:rsid w:val="00D00DFD"/>
    <w:rsid w:val="00D00EB1"/>
    <w:rsid w:val="00D00F72"/>
    <w:rsid w:val="00D01056"/>
    <w:rsid w:val="00D013ED"/>
    <w:rsid w:val="00D02112"/>
    <w:rsid w:val="00D0240E"/>
    <w:rsid w:val="00D028A1"/>
    <w:rsid w:val="00D02DE5"/>
    <w:rsid w:val="00D033FB"/>
    <w:rsid w:val="00D03DA0"/>
    <w:rsid w:val="00D04774"/>
    <w:rsid w:val="00D04A54"/>
    <w:rsid w:val="00D04AB8"/>
    <w:rsid w:val="00D058BE"/>
    <w:rsid w:val="00D058C5"/>
    <w:rsid w:val="00D058C7"/>
    <w:rsid w:val="00D05CAA"/>
    <w:rsid w:val="00D06282"/>
    <w:rsid w:val="00D066D8"/>
    <w:rsid w:val="00D06998"/>
    <w:rsid w:val="00D069C2"/>
    <w:rsid w:val="00D07306"/>
    <w:rsid w:val="00D07C62"/>
    <w:rsid w:val="00D07E12"/>
    <w:rsid w:val="00D104CB"/>
    <w:rsid w:val="00D106CA"/>
    <w:rsid w:val="00D10B3D"/>
    <w:rsid w:val="00D10C45"/>
    <w:rsid w:val="00D10E21"/>
    <w:rsid w:val="00D115B5"/>
    <w:rsid w:val="00D1169C"/>
    <w:rsid w:val="00D1172C"/>
    <w:rsid w:val="00D117C5"/>
    <w:rsid w:val="00D11BAA"/>
    <w:rsid w:val="00D12C52"/>
    <w:rsid w:val="00D12C58"/>
    <w:rsid w:val="00D13043"/>
    <w:rsid w:val="00D133E7"/>
    <w:rsid w:val="00D1350A"/>
    <w:rsid w:val="00D1369F"/>
    <w:rsid w:val="00D13999"/>
    <w:rsid w:val="00D1414F"/>
    <w:rsid w:val="00D1425E"/>
    <w:rsid w:val="00D143F7"/>
    <w:rsid w:val="00D1465F"/>
    <w:rsid w:val="00D14AA4"/>
    <w:rsid w:val="00D15252"/>
    <w:rsid w:val="00D154BB"/>
    <w:rsid w:val="00D15942"/>
    <w:rsid w:val="00D15D24"/>
    <w:rsid w:val="00D15E5D"/>
    <w:rsid w:val="00D16AE1"/>
    <w:rsid w:val="00D16B0E"/>
    <w:rsid w:val="00D16D2E"/>
    <w:rsid w:val="00D171F5"/>
    <w:rsid w:val="00D1747C"/>
    <w:rsid w:val="00D17524"/>
    <w:rsid w:val="00D177C2"/>
    <w:rsid w:val="00D17BAC"/>
    <w:rsid w:val="00D17D26"/>
    <w:rsid w:val="00D2018E"/>
    <w:rsid w:val="00D20329"/>
    <w:rsid w:val="00D20B03"/>
    <w:rsid w:val="00D21371"/>
    <w:rsid w:val="00D217CF"/>
    <w:rsid w:val="00D2191E"/>
    <w:rsid w:val="00D21A9E"/>
    <w:rsid w:val="00D21AEA"/>
    <w:rsid w:val="00D21E4A"/>
    <w:rsid w:val="00D22C4A"/>
    <w:rsid w:val="00D2325E"/>
    <w:rsid w:val="00D23D2A"/>
    <w:rsid w:val="00D23D53"/>
    <w:rsid w:val="00D23FD9"/>
    <w:rsid w:val="00D24075"/>
    <w:rsid w:val="00D2475C"/>
    <w:rsid w:val="00D247AB"/>
    <w:rsid w:val="00D247EB"/>
    <w:rsid w:val="00D24C76"/>
    <w:rsid w:val="00D24C92"/>
    <w:rsid w:val="00D258F5"/>
    <w:rsid w:val="00D25990"/>
    <w:rsid w:val="00D25F9D"/>
    <w:rsid w:val="00D26726"/>
    <w:rsid w:val="00D26EDC"/>
    <w:rsid w:val="00D276BC"/>
    <w:rsid w:val="00D27E5C"/>
    <w:rsid w:val="00D302DB"/>
    <w:rsid w:val="00D303AF"/>
    <w:rsid w:val="00D30429"/>
    <w:rsid w:val="00D30535"/>
    <w:rsid w:val="00D3053C"/>
    <w:rsid w:val="00D30674"/>
    <w:rsid w:val="00D306E8"/>
    <w:rsid w:val="00D30804"/>
    <w:rsid w:val="00D31199"/>
    <w:rsid w:val="00D31474"/>
    <w:rsid w:val="00D31D23"/>
    <w:rsid w:val="00D31DFA"/>
    <w:rsid w:val="00D32784"/>
    <w:rsid w:val="00D328E5"/>
    <w:rsid w:val="00D329C8"/>
    <w:rsid w:val="00D332BE"/>
    <w:rsid w:val="00D33537"/>
    <w:rsid w:val="00D33E71"/>
    <w:rsid w:val="00D34172"/>
    <w:rsid w:val="00D34839"/>
    <w:rsid w:val="00D34E83"/>
    <w:rsid w:val="00D3530D"/>
    <w:rsid w:val="00D35B6F"/>
    <w:rsid w:val="00D35E33"/>
    <w:rsid w:val="00D36D92"/>
    <w:rsid w:val="00D3757A"/>
    <w:rsid w:val="00D375BF"/>
    <w:rsid w:val="00D400AD"/>
    <w:rsid w:val="00D40101"/>
    <w:rsid w:val="00D4032F"/>
    <w:rsid w:val="00D40B9A"/>
    <w:rsid w:val="00D41701"/>
    <w:rsid w:val="00D4174C"/>
    <w:rsid w:val="00D4196A"/>
    <w:rsid w:val="00D41CFF"/>
    <w:rsid w:val="00D432F1"/>
    <w:rsid w:val="00D4346C"/>
    <w:rsid w:val="00D43C51"/>
    <w:rsid w:val="00D43E1D"/>
    <w:rsid w:val="00D44002"/>
    <w:rsid w:val="00D443A2"/>
    <w:rsid w:val="00D44544"/>
    <w:rsid w:val="00D446A8"/>
    <w:rsid w:val="00D44799"/>
    <w:rsid w:val="00D447BD"/>
    <w:rsid w:val="00D44891"/>
    <w:rsid w:val="00D450E7"/>
    <w:rsid w:val="00D4531C"/>
    <w:rsid w:val="00D45C5C"/>
    <w:rsid w:val="00D45D28"/>
    <w:rsid w:val="00D46185"/>
    <w:rsid w:val="00D46552"/>
    <w:rsid w:val="00D46E62"/>
    <w:rsid w:val="00D46EEB"/>
    <w:rsid w:val="00D46FB5"/>
    <w:rsid w:val="00D50A00"/>
    <w:rsid w:val="00D51842"/>
    <w:rsid w:val="00D51A4F"/>
    <w:rsid w:val="00D52A03"/>
    <w:rsid w:val="00D5306C"/>
    <w:rsid w:val="00D536E0"/>
    <w:rsid w:val="00D53BA6"/>
    <w:rsid w:val="00D53CA3"/>
    <w:rsid w:val="00D53FEA"/>
    <w:rsid w:val="00D54DCE"/>
    <w:rsid w:val="00D551A2"/>
    <w:rsid w:val="00D556BD"/>
    <w:rsid w:val="00D55829"/>
    <w:rsid w:val="00D55B54"/>
    <w:rsid w:val="00D56358"/>
    <w:rsid w:val="00D5683E"/>
    <w:rsid w:val="00D568BC"/>
    <w:rsid w:val="00D56FED"/>
    <w:rsid w:val="00D57395"/>
    <w:rsid w:val="00D5739A"/>
    <w:rsid w:val="00D57555"/>
    <w:rsid w:val="00D60680"/>
    <w:rsid w:val="00D6088D"/>
    <w:rsid w:val="00D611C2"/>
    <w:rsid w:val="00D6199E"/>
    <w:rsid w:val="00D61A1E"/>
    <w:rsid w:val="00D61ACD"/>
    <w:rsid w:val="00D61B5E"/>
    <w:rsid w:val="00D61C34"/>
    <w:rsid w:val="00D624AC"/>
    <w:rsid w:val="00D6251B"/>
    <w:rsid w:val="00D62C1E"/>
    <w:rsid w:val="00D632D3"/>
    <w:rsid w:val="00D636F7"/>
    <w:rsid w:val="00D6389A"/>
    <w:rsid w:val="00D638C7"/>
    <w:rsid w:val="00D63F3D"/>
    <w:rsid w:val="00D6475B"/>
    <w:rsid w:val="00D64D1E"/>
    <w:rsid w:val="00D64DEE"/>
    <w:rsid w:val="00D64EED"/>
    <w:rsid w:val="00D65CB9"/>
    <w:rsid w:val="00D66915"/>
    <w:rsid w:val="00D66AB0"/>
    <w:rsid w:val="00D671E4"/>
    <w:rsid w:val="00D67241"/>
    <w:rsid w:val="00D6737C"/>
    <w:rsid w:val="00D67EC8"/>
    <w:rsid w:val="00D67F88"/>
    <w:rsid w:val="00D71132"/>
    <w:rsid w:val="00D713FE"/>
    <w:rsid w:val="00D71818"/>
    <w:rsid w:val="00D71907"/>
    <w:rsid w:val="00D71E2C"/>
    <w:rsid w:val="00D721FA"/>
    <w:rsid w:val="00D72A59"/>
    <w:rsid w:val="00D72DAD"/>
    <w:rsid w:val="00D72F8A"/>
    <w:rsid w:val="00D73067"/>
    <w:rsid w:val="00D73A58"/>
    <w:rsid w:val="00D74906"/>
    <w:rsid w:val="00D75251"/>
    <w:rsid w:val="00D75317"/>
    <w:rsid w:val="00D76089"/>
    <w:rsid w:val="00D762B6"/>
    <w:rsid w:val="00D76893"/>
    <w:rsid w:val="00D768BA"/>
    <w:rsid w:val="00D7734C"/>
    <w:rsid w:val="00D774A4"/>
    <w:rsid w:val="00D775EC"/>
    <w:rsid w:val="00D8077D"/>
    <w:rsid w:val="00D813B9"/>
    <w:rsid w:val="00D817E6"/>
    <w:rsid w:val="00D819D2"/>
    <w:rsid w:val="00D81E5D"/>
    <w:rsid w:val="00D81EC9"/>
    <w:rsid w:val="00D81FA8"/>
    <w:rsid w:val="00D824D0"/>
    <w:rsid w:val="00D82972"/>
    <w:rsid w:val="00D82B3D"/>
    <w:rsid w:val="00D83078"/>
    <w:rsid w:val="00D8350F"/>
    <w:rsid w:val="00D83F4C"/>
    <w:rsid w:val="00D842AB"/>
    <w:rsid w:val="00D844A0"/>
    <w:rsid w:val="00D84948"/>
    <w:rsid w:val="00D84BB5"/>
    <w:rsid w:val="00D84E2A"/>
    <w:rsid w:val="00D84E37"/>
    <w:rsid w:val="00D8591A"/>
    <w:rsid w:val="00D860D5"/>
    <w:rsid w:val="00D86E09"/>
    <w:rsid w:val="00D86E82"/>
    <w:rsid w:val="00D87BA5"/>
    <w:rsid w:val="00D87EE9"/>
    <w:rsid w:val="00D9015D"/>
    <w:rsid w:val="00D90192"/>
    <w:rsid w:val="00D9094A"/>
    <w:rsid w:val="00D90ADD"/>
    <w:rsid w:val="00D90CCF"/>
    <w:rsid w:val="00D91218"/>
    <w:rsid w:val="00D916CC"/>
    <w:rsid w:val="00D91ADE"/>
    <w:rsid w:val="00D91E3F"/>
    <w:rsid w:val="00D91F2C"/>
    <w:rsid w:val="00D9277E"/>
    <w:rsid w:val="00D929C8"/>
    <w:rsid w:val="00D92CED"/>
    <w:rsid w:val="00D92E61"/>
    <w:rsid w:val="00D93080"/>
    <w:rsid w:val="00D93230"/>
    <w:rsid w:val="00D936F6"/>
    <w:rsid w:val="00D937BF"/>
    <w:rsid w:val="00D940A4"/>
    <w:rsid w:val="00D9488F"/>
    <w:rsid w:val="00D94A5C"/>
    <w:rsid w:val="00D94A68"/>
    <w:rsid w:val="00D94AE3"/>
    <w:rsid w:val="00D94FB1"/>
    <w:rsid w:val="00D94FCA"/>
    <w:rsid w:val="00D9513F"/>
    <w:rsid w:val="00D951F7"/>
    <w:rsid w:val="00D959DC"/>
    <w:rsid w:val="00D95ADF"/>
    <w:rsid w:val="00D95C08"/>
    <w:rsid w:val="00D95E64"/>
    <w:rsid w:val="00D9610A"/>
    <w:rsid w:val="00D96895"/>
    <w:rsid w:val="00D96A7E"/>
    <w:rsid w:val="00D97003"/>
    <w:rsid w:val="00D972B3"/>
    <w:rsid w:val="00DA01F5"/>
    <w:rsid w:val="00DA028A"/>
    <w:rsid w:val="00DA0964"/>
    <w:rsid w:val="00DA0BC4"/>
    <w:rsid w:val="00DA1405"/>
    <w:rsid w:val="00DA1925"/>
    <w:rsid w:val="00DA192E"/>
    <w:rsid w:val="00DA1B62"/>
    <w:rsid w:val="00DA1D14"/>
    <w:rsid w:val="00DA22EA"/>
    <w:rsid w:val="00DA2380"/>
    <w:rsid w:val="00DA2E69"/>
    <w:rsid w:val="00DA37A2"/>
    <w:rsid w:val="00DA3D2A"/>
    <w:rsid w:val="00DA3F20"/>
    <w:rsid w:val="00DA4026"/>
    <w:rsid w:val="00DA4325"/>
    <w:rsid w:val="00DA475B"/>
    <w:rsid w:val="00DA4FFF"/>
    <w:rsid w:val="00DA50A9"/>
    <w:rsid w:val="00DA56C6"/>
    <w:rsid w:val="00DA579B"/>
    <w:rsid w:val="00DA5A43"/>
    <w:rsid w:val="00DA61E7"/>
    <w:rsid w:val="00DA61EC"/>
    <w:rsid w:val="00DA65B9"/>
    <w:rsid w:val="00DA697F"/>
    <w:rsid w:val="00DA69F7"/>
    <w:rsid w:val="00DA73A5"/>
    <w:rsid w:val="00DB02F7"/>
    <w:rsid w:val="00DB0420"/>
    <w:rsid w:val="00DB0711"/>
    <w:rsid w:val="00DB0B04"/>
    <w:rsid w:val="00DB0D14"/>
    <w:rsid w:val="00DB100D"/>
    <w:rsid w:val="00DB15E0"/>
    <w:rsid w:val="00DB16BF"/>
    <w:rsid w:val="00DB17AA"/>
    <w:rsid w:val="00DB19E7"/>
    <w:rsid w:val="00DB22CA"/>
    <w:rsid w:val="00DB27B3"/>
    <w:rsid w:val="00DB315F"/>
    <w:rsid w:val="00DB324E"/>
    <w:rsid w:val="00DB381D"/>
    <w:rsid w:val="00DB3907"/>
    <w:rsid w:val="00DB419B"/>
    <w:rsid w:val="00DB421A"/>
    <w:rsid w:val="00DB447B"/>
    <w:rsid w:val="00DB451D"/>
    <w:rsid w:val="00DB4A98"/>
    <w:rsid w:val="00DB4FEF"/>
    <w:rsid w:val="00DB57A0"/>
    <w:rsid w:val="00DB5FBC"/>
    <w:rsid w:val="00DB608F"/>
    <w:rsid w:val="00DB6444"/>
    <w:rsid w:val="00DB66E2"/>
    <w:rsid w:val="00DB6779"/>
    <w:rsid w:val="00DB685F"/>
    <w:rsid w:val="00DB6A6D"/>
    <w:rsid w:val="00DB707E"/>
    <w:rsid w:val="00DB708A"/>
    <w:rsid w:val="00DB72DA"/>
    <w:rsid w:val="00DB7622"/>
    <w:rsid w:val="00DB7BBE"/>
    <w:rsid w:val="00DC01B2"/>
    <w:rsid w:val="00DC0EC4"/>
    <w:rsid w:val="00DC167E"/>
    <w:rsid w:val="00DC16BD"/>
    <w:rsid w:val="00DC2255"/>
    <w:rsid w:val="00DC22C8"/>
    <w:rsid w:val="00DC29D5"/>
    <w:rsid w:val="00DC3828"/>
    <w:rsid w:val="00DC3A84"/>
    <w:rsid w:val="00DC3E43"/>
    <w:rsid w:val="00DC3F65"/>
    <w:rsid w:val="00DC40C2"/>
    <w:rsid w:val="00DC5442"/>
    <w:rsid w:val="00DC6336"/>
    <w:rsid w:val="00DC6A48"/>
    <w:rsid w:val="00DC6FA0"/>
    <w:rsid w:val="00DC706E"/>
    <w:rsid w:val="00DC71FA"/>
    <w:rsid w:val="00DC79B3"/>
    <w:rsid w:val="00DD008A"/>
    <w:rsid w:val="00DD0856"/>
    <w:rsid w:val="00DD0C7B"/>
    <w:rsid w:val="00DD0EFE"/>
    <w:rsid w:val="00DD2847"/>
    <w:rsid w:val="00DD29E6"/>
    <w:rsid w:val="00DD2A87"/>
    <w:rsid w:val="00DD2BAF"/>
    <w:rsid w:val="00DD2DE1"/>
    <w:rsid w:val="00DD2FF3"/>
    <w:rsid w:val="00DD33DA"/>
    <w:rsid w:val="00DD362B"/>
    <w:rsid w:val="00DD3B1C"/>
    <w:rsid w:val="00DD518A"/>
    <w:rsid w:val="00DD52D0"/>
    <w:rsid w:val="00DD607A"/>
    <w:rsid w:val="00DD63BA"/>
    <w:rsid w:val="00DD6748"/>
    <w:rsid w:val="00DD74A6"/>
    <w:rsid w:val="00DD7C6B"/>
    <w:rsid w:val="00DD7EE8"/>
    <w:rsid w:val="00DE005C"/>
    <w:rsid w:val="00DE0204"/>
    <w:rsid w:val="00DE05A3"/>
    <w:rsid w:val="00DE0DC2"/>
    <w:rsid w:val="00DE118D"/>
    <w:rsid w:val="00DE12A6"/>
    <w:rsid w:val="00DE147F"/>
    <w:rsid w:val="00DE152C"/>
    <w:rsid w:val="00DE1F8A"/>
    <w:rsid w:val="00DE2016"/>
    <w:rsid w:val="00DE24B5"/>
    <w:rsid w:val="00DE27EA"/>
    <w:rsid w:val="00DE2A74"/>
    <w:rsid w:val="00DE2C3A"/>
    <w:rsid w:val="00DE3345"/>
    <w:rsid w:val="00DE346B"/>
    <w:rsid w:val="00DE4407"/>
    <w:rsid w:val="00DE4650"/>
    <w:rsid w:val="00DE4CAB"/>
    <w:rsid w:val="00DE55A6"/>
    <w:rsid w:val="00DE6DC3"/>
    <w:rsid w:val="00DE7061"/>
    <w:rsid w:val="00DE7694"/>
    <w:rsid w:val="00DE78E2"/>
    <w:rsid w:val="00DE7B43"/>
    <w:rsid w:val="00DE7B64"/>
    <w:rsid w:val="00DE7C43"/>
    <w:rsid w:val="00DE7DA8"/>
    <w:rsid w:val="00DE7EE1"/>
    <w:rsid w:val="00DF02BE"/>
    <w:rsid w:val="00DF0391"/>
    <w:rsid w:val="00DF0E15"/>
    <w:rsid w:val="00DF1638"/>
    <w:rsid w:val="00DF19B8"/>
    <w:rsid w:val="00DF1BCA"/>
    <w:rsid w:val="00DF25F1"/>
    <w:rsid w:val="00DF28D9"/>
    <w:rsid w:val="00DF29A2"/>
    <w:rsid w:val="00DF2C68"/>
    <w:rsid w:val="00DF2F18"/>
    <w:rsid w:val="00DF352F"/>
    <w:rsid w:val="00DF38E0"/>
    <w:rsid w:val="00DF3D2B"/>
    <w:rsid w:val="00DF3F4D"/>
    <w:rsid w:val="00DF451A"/>
    <w:rsid w:val="00DF5150"/>
    <w:rsid w:val="00DF55E1"/>
    <w:rsid w:val="00DF560A"/>
    <w:rsid w:val="00DF60DC"/>
    <w:rsid w:val="00DF61D3"/>
    <w:rsid w:val="00DF6B91"/>
    <w:rsid w:val="00DF6F5D"/>
    <w:rsid w:val="00DF6FB3"/>
    <w:rsid w:val="00DF7632"/>
    <w:rsid w:val="00DF7BDC"/>
    <w:rsid w:val="00E00B9E"/>
    <w:rsid w:val="00E00E23"/>
    <w:rsid w:val="00E011F3"/>
    <w:rsid w:val="00E01280"/>
    <w:rsid w:val="00E0166A"/>
    <w:rsid w:val="00E01BDF"/>
    <w:rsid w:val="00E021EE"/>
    <w:rsid w:val="00E02FB2"/>
    <w:rsid w:val="00E03328"/>
    <w:rsid w:val="00E03BE6"/>
    <w:rsid w:val="00E03EC6"/>
    <w:rsid w:val="00E04716"/>
    <w:rsid w:val="00E0487F"/>
    <w:rsid w:val="00E050B8"/>
    <w:rsid w:val="00E052DF"/>
    <w:rsid w:val="00E05684"/>
    <w:rsid w:val="00E05F49"/>
    <w:rsid w:val="00E062A7"/>
    <w:rsid w:val="00E06562"/>
    <w:rsid w:val="00E06A5A"/>
    <w:rsid w:val="00E06B84"/>
    <w:rsid w:val="00E06F1C"/>
    <w:rsid w:val="00E0736C"/>
    <w:rsid w:val="00E07562"/>
    <w:rsid w:val="00E07821"/>
    <w:rsid w:val="00E079EA"/>
    <w:rsid w:val="00E07ECE"/>
    <w:rsid w:val="00E1051B"/>
    <w:rsid w:val="00E109BC"/>
    <w:rsid w:val="00E10F37"/>
    <w:rsid w:val="00E11735"/>
    <w:rsid w:val="00E1245E"/>
    <w:rsid w:val="00E125D8"/>
    <w:rsid w:val="00E14613"/>
    <w:rsid w:val="00E1472F"/>
    <w:rsid w:val="00E14899"/>
    <w:rsid w:val="00E14D4C"/>
    <w:rsid w:val="00E156B7"/>
    <w:rsid w:val="00E15E0E"/>
    <w:rsid w:val="00E16ABE"/>
    <w:rsid w:val="00E16DCA"/>
    <w:rsid w:val="00E17587"/>
    <w:rsid w:val="00E179F7"/>
    <w:rsid w:val="00E17F6C"/>
    <w:rsid w:val="00E2008E"/>
    <w:rsid w:val="00E20566"/>
    <w:rsid w:val="00E20EDE"/>
    <w:rsid w:val="00E20F75"/>
    <w:rsid w:val="00E20FF6"/>
    <w:rsid w:val="00E21367"/>
    <w:rsid w:val="00E22231"/>
    <w:rsid w:val="00E22793"/>
    <w:rsid w:val="00E22FD5"/>
    <w:rsid w:val="00E230E5"/>
    <w:rsid w:val="00E24531"/>
    <w:rsid w:val="00E245BE"/>
    <w:rsid w:val="00E24836"/>
    <w:rsid w:val="00E25440"/>
    <w:rsid w:val="00E255CB"/>
    <w:rsid w:val="00E25827"/>
    <w:rsid w:val="00E25CA3"/>
    <w:rsid w:val="00E25E76"/>
    <w:rsid w:val="00E25ECE"/>
    <w:rsid w:val="00E268A6"/>
    <w:rsid w:val="00E26DF2"/>
    <w:rsid w:val="00E273CF"/>
    <w:rsid w:val="00E27630"/>
    <w:rsid w:val="00E27EDE"/>
    <w:rsid w:val="00E3042E"/>
    <w:rsid w:val="00E30570"/>
    <w:rsid w:val="00E30F38"/>
    <w:rsid w:val="00E312EC"/>
    <w:rsid w:val="00E31673"/>
    <w:rsid w:val="00E31750"/>
    <w:rsid w:val="00E319D8"/>
    <w:rsid w:val="00E32225"/>
    <w:rsid w:val="00E329D9"/>
    <w:rsid w:val="00E32EE2"/>
    <w:rsid w:val="00E32F7F"/>
    <w:rsid w:val="00E330CA"/>
    <w:rsid w:val="00E33A74"/>
    <w:rsid w:val="00E33BBC"/>
    <w:rsid w:val="00E33E83"/>
    <w:rsid w:val="00E34735"/>
    <w:rsid w:val="00E34FE8"/>
    <w:rsid w:val="00E35804"/>
    <w:rsid w:val="00E359BF"/>
    <w:rsid w:val="00E35FCF"/>
    <w:rsid w:val="00E36375"/>
    <w:rsid w:val="00E36505"/>
    <w:rsid w:val="00E366C4"/>
    <w:rsid w:val="00E3731D"/>
    <w:rsid w:val="00E37B20"/>
    <w:rsid w:val="00E37F16"/>
    <w:rsid w:val="00E37F19"/>
    <w:rsid w:val="00E40BDC"/>
    <w:rsid w:val="00E41954"/>
    <w:rsid w:val="00E4200E"/>
    <w:rsid w:val="00E4245D"/>
    <w:rsid w:val="00E42551"/>
    <w:rsid w:val="00E42866"/>
    <w:rsid w:val="00E42C58"/>
    <w:rsid w:val="00E43820"/>
    <w:rsid w:val="00E43976"/>
    <w:rsid w:val="00E43A1F"/>
    <w:rsid w:val="00E43DC0"/>
    <w:rsid w:val="00E44B42"/>
    <w:rsid w:val="00E456B9"/>
    <w:rsid w:val="00E459C0"/>
    <w:rsid w:val="00E4629A"/>
    <w:rsid w:val="00E46B3A"/>
    <w:rsid w:val="00E4708D"/>
    <w:rsid w:val="00E47545"/>
    <w:rsid w:val="00E47818"/>
    <w:rsid w:val="00E478E9"/>
    <w:rsid w:val="00E47B17"/>
    <w:rsid w:val="00E47FB8"/>
    <w:rsid w:val="00E5059F"/>
    <w:rsid w:val="00E50719"/>
    <w:rsid w:val="00E50A9F"/>
    <w:rsid w:val="00E50D51"/>
    <w:rsid w:val="00E5167D"/>
    <w:rsid w:val="00E51AF8"/>
    <w:rsid w:val="00E51FB8"/>
    <w:rsid w:val="00E52DD8"/>
    <w:rsid w:val="00E5399D"/>
    <w:rsid w:val="00E53BD3"/>
    <w:rsid w:val="00E5459E"/>
    <w:rsid w:val="00E555BF"/>
    <w:rsid w:val="00E5595C"/>
    <w:rsid w:val="00E55B83"/>
    <w:rsid w:val="00E55D16"/>
    <w:rsid w:val="00E562D5"/>
    <w:rsid w:val="00E56834"/>
    <w:rsid w:val="00E56F43"/>
    <w:rsid w:val="00E5730C"/>
    <w:rsid w:val="00E57627"/>
    <w:rsid w:val="00E57E04"/>
    <w:rsid w:val="00E6004E"/>
    <w:rsid w:val="00E60A3E"/>
    <w:rsid w:val="00E614A2"/>
    <w:rsid w:val="00E61859"/>
    <w:rsid w:val="00E61A4D"/>
    <w:rsid w:val="00E61AAC"/>
    <w:rsid w:val="00E622FA"/>
    <w:rsid w:val="00E6276D"/>
    <w:rsid w:val="00E62C73"/>
    <w:rsid w:val="00E6348A"/>
    <w:rsid w:val="00E63B57"/>
    <w:rsid w:val="00E641C1"/>
    <w:rsid w:val="00E646A6"/>
    <w:rsid w:val="00E64714"/>
    <w:rsid w:val="00E647C7"/>
    <w:rsid w:val="00E64F68"/>
    <w:rsid w:val="00E65085"/>
    <w:rsid w:val="00E65724"/>
    <w:rsid w:val="00E657E3"/>
    <w:rsid w:val="00E65AD2"/>
    <w:rsid w:val="00E65BDC"/>
    <w:rsid w:val="00E65F05"/>
    <w:rsid w:val="00E65FD1"/>
    <w:rsid w:val="00E6615D"/>
    <w:rsid w:val="00E666AB"/>
    <w:rsid w:val="00E66FAF"/>
    <w:rsid w:val="00E671F6"/>
    <w:rsid w:val="00E67363"/>
    <w:rsid w:val="00E67872"/>
    <w:rsid w:val="00E67F7E"/>
    <w:rsid w:val="00E7032D"/>
    <w:rsid w:val="00E70961"/>
    <w:rsid w:val="00E711A9"/>
    <w:rsid w:val="00E711CC"/>
    <w:rsid w:val="00E71213"/>
    <w:rsid w:val="00E7124B"/>
    <w:rsid w:val="00E71468"/>
    <w:rsid w:val="00E71578"/>
    <w:rsid w:val="00E717D1"/>
    <w:rsid w:val="00E71EAE"/>
    <w:rsid w:val="00E723E1"/>
    <w:rsid w:val="00E7359E"/>
    <w:rsid w:val="00E7394B"/>
    <w:rsid w:val="00E73AB4"/>
    <w:rsid w:val="00E73C11"/>
    <w:rsid w:val="00E73EF7"/>
    <w:rsid w:val="00E743D6"/>
    <w:rsid w:val="00E7464D"/>
    <w:rsid w:val="00E7490D"/>
    <w:rsid w:val="00E749F8"/>
    <w:rsid w:val="00E7560A"/>
    <w:rsid w:val="00E76A88"/>
    <w:rsid w:val="00E76E43"/>
    <w:rsid w:val="00E80444"/>
    <w:rsid w:val="00E80E36"/>
    <w:rsid w:val="00E81057"/>
    <w:rsid w:val="00E810A0"/>
    <w:rsid w:val="00E815D0"/>
    <w:rsid w:val="00E81E44"/>
    <w:rsid w:val="00E8218B"/>
    <w:rsid w:val="00E821C4"/>
    <w:rsid w:val="00E82ABE"/>
    <w:rsid w:val="00E82CF8"/>
    <w:rsid w:val="00E831E8"/>
    <w:rsid w:val="00E8330C"/>
    <w:rsid w:val="00E8352F"/>
    <w:rsid w:val="00E8362A"/>
    <w:rsid w:val="00E838B1"/>
    <w:rsid w:val="00E83B37"/>
    <w:rsid w:val="00E841DA"/>
    <w:rsid w:val="00E8474E"/>
    <w:rsid w:val="00E848E2"/>
    <w:rsid w:val="00E84B10"/>
    <w:rsid w:val="00E853A9"/>
    <w:rsid w:val="00E858AC"/>
    <w:rsid w:val="00E85B0A"/>
    <w:rsid w:val="00E85C70"/>
    <w:rsid w:val="00E85ECE"/>
    <w:rsid w:val="00E86A2A"/>
    <w:rsid w:val="00E86BE4"/>
    <w:rsid w:val="00E87543"/>
    <w:rsid w:val="00E87816"/>
    <w:rsid w:val="00E87C3C"/>
    <w:rsid w:val="00E87D6C"/>
    <w:rsid w:val="00E90181"/>
    <w:rsid w:val="00E901CC"/>
    <w:rsid w:val="00E903EF"/>
    <w:rsid w:val="00E9049A"/>
    <w:rsid w:val="00E90CC1"/>
    <w:rsid w:val="00E90E9F"/>
    <w:rsid w:val="00E91776"/>
    <w:rsid w:val="00E91EB6"/>
    <w:rsid w:val="00E93158"/>
    <w:rsid w:val="00E9317E"/>
    <w:rsid w:val="00E93183"/>
    <w:rsid w:val="00E935E1"/>
    <w:rsid w:val="00E93C1A"/>
    <w:rsid w:val="00E93F1A"/>
    <w:rsid w:val="00E940F7"/>
    <w:rsid w:val="00E94224"/>
    <w:rsid w:val="00E9492F"/>
    <w:rsid w:val="00E94A28"/>
    <w:rsid w:val="00E94A86"/>
    <w:rsid w:val="00E94F86"/>
    <w:rsid w:val="00E9591F"/>
    <w:rsid w:val="00E95B6B"/>
    <w:rsid w:val="00E95C9F"/>
    <w:rsid w:val="00E969D3"/>
    <w:rsid w:val="00E97633"/>
    <w:rsid w:val="00E9777E"/>
    <w:rsid w:val="00E977C9"/>
    <w:rsid w:val="00E97C9A"/>
    <w:rsid w:val="00E97F1E"/>
    <w:rsid w:val="00EA08D7"/>
    <w:rsid w:val="00EA0C02"/>
    <w:rsid w:val="00EA0C84"/>
    <w:rsid w:val="00EA113C"/>
    <w:rsid w:val="00EA1705"/>
    <w:rsid w:val="00EA1E09"/>
    <w:rsid w:val="00EA1E66"/>
    <w:rsid w:val="00EA20D7"/>
    <w:rsid w:val="00EA2581"/>
    <w:rsid w:val="00EA28A2"/>
    <w:rsid w:val="00EA3627"/>
    <w:rsid w:val="00EA37B2"/>
    <w:rsid w:val="00EA37CB"/>
    <w:rsid w:val="00EA3817"/>
    <w:rsid w:val="00EA3CE0"/>
    <w:rsid w:val="00EA3E00"/>
    <w:rsid w:val="00EA5596"/>
    <w:rsid w:val="00EA6301"/>
    <w:rsid w:val="00EA63D2"/>
    <w:rsid w:val="00EA6B2F"/>
    <w:rsid w:val="00EA6B5A"/>
    <w:rsid w:val="00EA7A4E"/>
    <w:rsid w:val="00EA7C76"/>
    <w:rsid w:val="00EA7DB6"/>
    <w:rsid w:val="00EB0107"/>
    <w:rsid w:val="00EB0437"/>
    <w:rsid w:val="00EB0E4C"/>
    <w:rsid w:val="00EB10FE"/>
    <w:rsid w:val="00EB126A"/>
    <w:rsid w:val="00EB129C"/>
    <w:rsid w:val="00EB1650"/>
    <w:rsid w:val="00EB1814"/>
    <w:rsid w:val="00EB184E"/>
    <w:rsid w:val="00EB1CA7"/>
    <w:rsid w:val="00EB219C"/>
    <w:rsid w:val="00EB2B64"/>
    <w:rsid w:val="00EB2EEE"/>
    <w:rsid w:val="00EB3163"/>
    <w:rsid w:val="00EB3411"/>
    <w:rsid w:val="00EB34C3"/>
    <w:rsid w:val="00EB37A7"/>
    <w:rsid w:val="00EB4833"/>
    <w:rsid w:val="00EB4B57"/>
    <w:rsid w:val="00EB567E"/>
    <w:rsid w:val="00EB5B1F"/>
    <w:rsid w:val="00EB5BB5"/>
    <w:rsid w:val="00EB68B9"/>
    <w:rsid w:val="00EB6D45"/>
    <w:rsid w:val="00EB6E37"/>
    <w:rsid w:val="00EB7024"/>
    <w:rsid w:val="00EB77A3"/>
    <w:rsid w:val="00EB77B3"/>
    <w:rsid w:val="00EC0C82"/>
    <w:rsid w:val="00EC10BA"/>
    <w:rsid w:val="00EC1121"/>
    <w:rsid w:val="00EC11C2"/>
    <w:rsid w:val="00EC12DB"/>
    <w:rsid w:val="00EC1E17"/>
    <w:rsid w:val="00EC25C0"/>
    <w:rsid w:val="00EC290C"/>
    <w:rsid w:val="00EC2EFD"/>
    <w:rsid w:val="00EC3295"/>
    <w:rsid w:val="00EC39CD"/>
    <w:rsid w:val="00EC451C"/>
    <w:rsid w:val="00EC4D35"/>
    <w:rsid w:val="00EC519E"/>
    <w:rsid w:val="00EC56B4"/>
    <w:rsid w:val="00EC6210"/>
    <w:rsid w:val="00EC6363"/>
    <w:rsid w:val="00EC65CF"/>
    <w:rsid w:val="00EC67BC"/>
    <w:rsid w:val="00EC710C"/>
    <w:rsid w:val="00EC752F"/>
    <w:rsid w:val="00EC7580"/>
    <w:rsid w:val="00EC79F7"/>
    <w:rsid w:val="00EC7F0F"/>
    <w:rsid w:val="00EC7FA2"/>
    <w:rsid w:val="00ED09E2"/>
    <w:rsid w:val="00ED0FAA"/>
    <w:rsid w:val="00ED1148"/>
    <w:rsid w:val="00ED1726"/>
    <w:rsid w:val="00ED2184"/>
    <w:rsid w:val="00ED23B5"/>
    <w:rsid w:val="00ED281E"/>
    <w:rsid w:val="00ED2A9F"/>
    <w:rsid w:val="00ED2D5A"/>
    <w:rsid w:val="00ED2DDE"/>
    <w:rsid w:val="00ED38CB"/>
    <w:rsid w:val="00ED3A51"/>
    <w:rsid w:val="00ED3C93"/>
    <w:rsid w:val="00ED3CA8"/>
    <w:rsid w:val="00ED3ECE"/>
    <w:rsid w:val="00ED3F49"/>
    <w:rsid w:val="00ED4253"/>
    <w:rsid w:val="00ED43C2"/>
    <w:rsid w:val="00ED465F"/>
    <w:rsid w:val="00ED46B3"/>
    <w:rsid w:val="00ED56A7"/>
    <w:rsid w:val="00ED56AA"/>
    <w:rsid w:val="00ED662F"/>
    <w:rsid w:val="00ED7179"/>
    <w:rsid w:val="00EE100F"/>
    <w:rsid w:val="00EE145B"/>
    <w:rsid w:val="00EE148D"/>
    <w:rsid w:val="00EE16A3"/>
    <w:rsid w:val="00EE1F32"/>
    <w:rsid w:val="00EE1FCB"/>
    <w:rsid w:val="00EE22AB"/>
    <w:rsid w:val="00EE2468"/>
    <w:rsid w:val="00EE24C8"/>
    <w:rsid w:val="00EE2CAA"/>
    <w:rsid w:val="00EE2DB7"/>
    <w:rsid w:val="00EE2F2D"/>
    <w:rsid w:val="00EE2F33"/>
    <w:rsid w:val="00EE2F77"/>
    <w:rsid w:val="00EE2F89"/>
    <w:rsid w:val="00EE34BF"/>
    <w:rsid w:val="00EE39F6"/>
    <w:rsid w:val="00EE3DD7"/>
    <w:rsid w:val="00EE3FDD"/>
    <w:rsid w:val="00EE41A8"/>
    <w:rsid w:val="00EE43CE"/>
    <w:rsid w:val="00EE4FFC"/>
    <w:rsid w:val="00EE59C2"/>
    <w:rsid w:val="00EE61BD"/>
    <w:rsid w:val="00EE61D2"/>
    <w:rsid w:val="00EE6D97"/>
    <w:rsid w:val="00EE6F89"/>
    <w:rsid w:val="00EE6F99"/>
    <w:rsid w:val="00EE6FC3"/>
    <w:rsid w:val="00EE71B1"/>
    <w:rsid w:val="00EE78C7"/>
    <w:rsid w:val="00EE7B54"/>
    <w:rsid w:val="00EE7C44"/>
    <w:rsid w:val="00EE7DA7"/>
    <w:rsid w:val="00EF0299"/>
    <w:rsid w:val="00EF05DC"/>
    <w:rsid w:val="00EF09C2"/>
    <w:rsid w:val="00EF1603"/>
    <w:rsid w:val="00EF1772"/>
    <w:rsid w:val="00EF1BAE"/>
    <w:rsid w:val="00EF2A0B"/>
    <w:rsid w:val="00EF2B3C"/>
    <w:rsid w:val="00EF2B8B"/>
    <w:rsid w:val="00EF2E7E"/>
    <w:rsid w:val="00EF3121"/>
    <w:rsid w:val="00EF313F"/>
    <w:rsid w:val="00EF35A3"/>
    <w:rsid w:val="00EF3915"/>
    <w:rsid w:val="00EF3B6E"/>
    <w:rsid w:val="00EF3CCB"/>
    <w:rsid w:val="00EF40FD"/>
    <w:rsid w:val="00EF4397"/>
    <w:rsid w:val="00EF4E55"/>
    <w:rsid w:val="00EF514C"/>
    <w:rsid w:val="00EF546B"/>
    <w:rsid w:val="00EF55E9"/>
    <w:rsid w:val="00EF5B4B"/>
    <w:rsid w:val="00EF60C1"/>
    <w:rsid w:val="00EF6280"/>
    <w:rsid w:val="00EF65C9"/>
    <w:rsid w:val="00EF6699"/>
    <w:rsid w:val="00EF67B9"/>
    <w:rsid w:val="00EF7158"/>
    <w:rsid w:val="00EF722E"/>
    <w:rsid w:val="00EF7406"/>
    <w:rsid w:val="00EF7BC4"/>
    <w:rsid w:val="00EF7E21"/>
    <w:rsid w:val="00F005A5"/>
    <w:rsid w:val="00F00712"/>
    <w:rsid w:val="00F00DAB"/>
    <w:rsid w:val="00F00FD8"/>
    <w:rsid w:val="00F0130C"/>
    <w:rsid w:val="00F01BAE"/>
    <w:rsid w:val="00F01BBA"/>
    <w:rsid w:val="00F02485"/>
    <w:rsid w:val="00F028FE"/>
    <w:rsid w:val="00F02F9C"/>
    <w:rsid w:val="00F03144"/>
    <w:rsid w:val="00F036DE"/>
    <w:rsid w:val="00F045F9"/>
    <w:rsid w:val="00F0461A"/>
    <w:rsid w:val="00F0545D"/>
    <w:rsid w:val="00F054B4"/>
    <w:rsid w:val="00F054CE"/>
    <w:rsid w:val="00F054DD"/>
    <w:rsid w:val="00F057C5"/>
    <w:rsid w:val="00F058C1"/>
    <w:rsid w:val="00F05C30"/>
    <w:rsid w:val="00F06272"/>
    <w:rsid w:val="00F0650F"/>
    <w:rsid w:val="00F066CF"/>
    <w:rsid w:val="00F06BB4"/>
    <w:rsid w:val="00F06E25"/>
    <w:rsid w:val="00F06E70"/>
    <w:rsid w:val="00F072F0"/>
    <w:rsid w:val="00F0740B"/>
    <w:rsid w:val="00F07AC2"/>
    <w:rsid w:val="00F07CB5"/>
    <w:rsid w:val="00F07CED"/>
    <w:rsid w:val="00F07D58"/>
    <w:rsid w:val="00F103FC"/>
    <w:rsid w:val="00F104D8"/>
    <w:rsid w:val="00F1085F"/>
    <w:rsid w:val="00F10D6F"/>
    <w:rsid w:val="00F1129C"/>
    <w:rsid w:val="00F11366"/>
    <w:rsid w:val="00F1161A"/>
    <w:rsid w:val="00F11701"/>
    <w:rsid w:val="00F117CF"/>
    <w:rsid w:val="00F11AA6"/>
    <w:rsid w:val="00F11C50"/>
    <w:rsid w:val="00F12453"/>
    <w:rsid w:val="00F129E7"/>
    <w:rsid w:val="00F133C0"/>
    <w:rsid w:val="00F134E1"/>
    <w:rsid w:val="00F13526"/>
    <w:rsid w:val="00F13890"/>
    <w:rsid w:val="00F13B7A"/>
    <w:rsid w:val="00F13E41"/>
    <w:rsid w:val="00F1462B"/>
    <w:rsid w:val="00F14642"/>
    <w:rsid w:val="00F146C9"/>
    <w:rsid w:val="00F1478D"/>
    <w:rsid w:val="00F1499D"/>
    <w:rsid w:val="00F15136"/>
    <w:rsid w:val="00F15530"/>
    <w:rsid w:val="00F159AD"/>
    <w:rsid w:val="00F164A9"/>
    <w:rsid w:val="00F16972"/>
    <w:rsid w:val="00F170DE"/>
    <w:rsid w:val="00F17793"/>
    <w:rsid w:val="00F202DA"/>
    <w:rsid w:val="00F206E8"/>
    <w:rsid w:val="00F20AC9"/>
    <w:rsid w:val="00F20CFB"/>
    <w:rsid w:val="00F2109E"/>
    <w:rsid w:val="00F213BE"/>
    <w:rsid w:val="00F213D4"/>
    <w:rsid w:val="00F214EC"/>
    <w:rsid w:val="00F216CE"/>
    <w:rsid w:val="00F21A8D"/>
    <w:rsid w:val="00F22D96"/>
    <w:rsid w:val="00F22F20"/>
    <w:rsid w:val="00F230A4"/>
    <w:rsid w:val="00F23EB6"/>
    <w:rsid w:val="00F24123"/>
    <w:rsid w:val="00F24207"/>
    <w:rsid w:val="00F243C9"/>
    <w:rsid w:val="00F2463D"/>
    <w:rsid w:val="00F24992"/>
    <w:rsid w:val="00F25077"/>
    <w:rsid w:val="00F25877"/>
    <w:rsid w:val="00F25AF5"/>
    <w:rsid w:val="00F25D32"/>
    <w:rsid w:val="00F2608C"/>
    <w:rsid w:val="00F26D16"/>
    <w:rsid w:val="00F26E6F"/>
    <w:rsid w:val="00F27543"/>
    <w:rsid w:val="00F27585"/>
    <w:rsid w:val="00F27662"/>
    <w:rsid w:val="00F30417"/>
    <w:rsid w:val="00F30882"/>
    <w:rsid w:val="00F30B9C"/>
    <w:rsid w:val="00F30C47"/>
    <w:rsid w:val="00F31C7A"/>
    <w:rsid w:val="00F31EA7"/>
    <w:rsid w:val="00F328D7"/>
    <w:rsid w:val="00F32A58"/>
    <w:rsid w:val="00F32D23"/>
    <w:rsid w:val="00F32ECB"/>
    <w:rsid w:val="00F32FC3"/>
    <w:rsid w:val="00F330EF"/>
    <w:rsid w:val="00F339C3"/>
    <w:rsid w:val="00F33E45"/>
    <w:rsid w:val="00F33FED"/>
    <w:rsid w:val="00F34C35"/>
    <w:rsid w:val="00F34CE1"/>
    <w:rsid w:val="00F34D00"/>
    <w:rsid w:val="00F34E92"/>
    <w:rsid w:val="00F3661B"/>
    <w:rsid w:val="00F36C0E"/>
    <w:rsid w:val="00F36CE4"/>
    <w:rsid w:val="00F36D96"/>
    <w:rsid w:val="00F372DA"/>
    <w:rsid w:val="00F376AF"/>
    <w:rsid w:val="00F37854"/>
    <w:rsid w:val="00F37E61"/>
    <w:rsid w:val="00F40377"/>
    <w:rsid w:val="00F40409"/>
    <w:rsid w:val="00F40532"/>
    <w:rsid w:val="00F40826"/>
    <w:rsid w:val="00F40B0C"/>
    <w:rsid w:val="00F40DBB"/>
    <w:rsid w:val="00F414B0"/>
    <w:rsid w:val="00F41E3D"/>
    <w:rsid w:val="00F42310"/>
    <w:rsid w:val="00F42F6B"/>
    <w:rsid w:val="00F436C0"/>
    <w:rsid w:val="00F43AF0"/>
    <w:rsid w:val="00F43DF2"/>
    <w:rsid w:val="00F43E7B"/>
    <w:rsid w:val="00F43FCF"/>
    <w:rsid w:val="00F44010"/>
    <w:rsid w:val="00F44E84"/>
    <w:rsid w:val="00F44F0E"/>
    <w:rsid w:val="00F45130"/>
    <w:rsid w:val="00F45781"/>
    <w:rsid w:val="00F46087"/>
    <w:rsid w:val="00F46118"/>
    <w:rsid w:val="00F46585"/>
    <w:rsid w:val="00F46D1F"/>
    <w:rsid w:val="00F4715C"/>
    <w:rsid w:val="00F47BDD"/>
    <w:rsid w:val="00F47E3E"/>
    <w:rsid w:val="00F47EFF"/>
    <w:rsid w:val="00F500D2"/>
    <w:rsid w:val="00F5030C"/>
    <w:rsid w:val="00F5069E"/>
    <w:rsid w:val="00F50A68"/>
    <w:rsid w:val="00F50ED9"/>
    <w:rsid w:val="00F5108A"/>
    <w:rsid w:val="00F51484"/>
    <w:rsid w:val="00F516A8"/>
    <w:rsid w:val="00F51B93"/>
    <w:rsid w:val="00F51D37"/>
    <w:rsid w:val="00F51D5B"/>
    <w:rsid w:val="00F51F45"/>
    <w:rsid w:val="00F5200B"/>
    <w:rsid w:val="00F5250B"/>
    <w:rsid w:val="00F529FC"/>
    <w:rsid w:val="00F5323F"/>
    <w:rsid w:val="00F53813"/>
    <w:rsid w:val="00F53931"/>
    <w:rsid w:val="00F53C1E"/>
    <w:rsid w:val="00F53DDC"/>
    <w:rsid w:val="00F5403C"/>
    <w:rsid w:val="00F54085"/>
    <w:rsid w:val="00F542D5"/>
    <w:rsid w:val="00F543C8"/>
    <w:rsid w:val="00F5443B"/>
    <w:rsid w:val="00F54543"/>
    <w:rsid w:val="00F5500B"/>
    <w:rsid w:val="00F555BE"/>
    <w:rsid w:val="00F55607"/>
    <w:rsid w:val="00F55D31"/>
    <w:rsid w:val="00F55EA9"/>
    <w:rsid w:val="00F560E3"/>
    <w:rsid w:val="00F56520"/>
    <w:rsid w:val="00F56B63"/>
    <w:rsid w:val="00F56BA0"/>
    <w:rsid w:val="00F56CBF"/>
    <w:rsid w:val="00F56D1B"/>
    <w:rsid w:val="00F5757E"/>
    <w:rsid w:val="00F57A25"/>
    <w:rsid w:val="00F6011F"/>
    <w:rsid w:val="00F60473"/>
    <w:rsid w:val="00F60B22"/>
    <w:rsid w:val="00F60CFF"/>
    <w:rsid w:val="00F60ED7"/>
    <w:rsid w:val="00F6141C"/>
    <w:rsid w:val="00F617E5"/>
    <w:rsid w:val="00F61BFB"/>
    <w:rsid w:val="00F61C2A"/>
    <w:rsid w:val="00F61DD6"/>
    <w:rsid w:val="00F623EC"/>
    <w:rsid w:val="00F624F7"/>
    <w:rsid w:val="00F626CF"/>
    <w:rsid w:val="00F62786"/>
    <w:rsid w:val="00F62F68"/>
    <w:rsid w:val="00F63728"/>
    <w:rsid w:val="00F63970"/>
    <w:rsid w:val="00F642C0"/>
    <w:rsid w:val="00F648A4"/>
    <w:rsid w:val="00F65954"/>
    <w:rsid w:val="00F65D1A"/>
    <w:rsid w:val="00F66308"/>
    <w:rsid w:val="00F666B7"/>
    <w:rsid w:val="00F669EE"/>
    <w:rsid w:val="00F66B3D"/>
    <w:rsid w:val="00F67047"/>
    <w:rsid w:val="00F671DB"/>
    <w:rsid w:val="00F6725B"/>
    <w:rsid w:val="00F672C0"/>
    <w:rsid w:val="00F6744A"/>
    <w:rsid w:val="00F67835"/>
    <w:rsid w:val="00F67C5F"/>
    <w:rsid w:val="00F67E1B"/>
    <w:rsid w:val="00F700D1"/>
    <w:rsid w:val="00F703DA"/>
    <w:rsid w:val="00F718C6"/>
    <w:rsid w:val="00F71F18"/>
    <w:rsid w:val="00F71F73"/>
    <w:rsid w:val="00F720C5"/>
    <w:rsid w:val="00F72157"/>
    <w:rsid w:val="00F7280E"/>
    <w:rsid w:val="00F730A6"/>
    <w:rsid w:val="00F73967"/>
    <w:rsid w:val="00F7397E"/>
    <w:rsid w:val="00F73CC2"/>
    <w:rsid w:val="00F751E9"/>
    <w:rsid w:val="00F757C1"/>
    <w:rsid w:val="00F75C43"/>
    <w:rsid w:val="00F76BAE"/>
    <w:rsid w:val="00F76FEE"/>
    <w:rsid w:val="00F771E5"/>
    <w:rsid w:val="00F77484"/>
    <w:rsid w:val="00F775F1"/>
    <w:rsid w:val="00F77B8F"/>
    <w:rsid w:val="00F77D33"/>
    <w:rsid w:val="00F807B4"/>
    <w:rsid w:val="00F80B89"/>
    <w:rsid w:val="00F81DA0"/>
    <w:rsid w:val="00F820EB"/>
    <w:rsid w:val="00F8296F"/>
    <w:rsid w:val="00F82B3C"/>
    <w:rsid w:val="00F83034"/>
    <w:rsid w:val="00F831FB"/>
    <w:rsid w:val="00F8320F"/>
    <w:rsid w:val="00F854B0"/>
    <w:rsid w:val="00F8551F"/>
    <w:rsid w:val="00F8579D"/>
    <w:rsid w:val="00F858DD"/>
    <w:rsid w:val="00F85B39"/>
    <w:rsid w:val="00F86078"/>
    <w:rsid w:val="00F860D3"/>
    <w:rsid w:val="00F86437"/>
    <w:rsid w:val="00F866E0"/>
    <w:rsid w:val="00F867A7"/>
    <w:rsid w:val="00F867E4"/>
    <w:rsid w:val="00F86CAD"/>
    <w:rsid w:val="00F876D0"/>
    <w:rsid w:val="00F876D8"/>
    <w:rsid w:val="00F90240"/>
    <w:rsid w:val="00F90274"/>
    <w:rsid w:val="00F90337"/>
    <w:rsid w:val="00F904CE"/>
    <w:rsid w:val="00F908FD"/>
    <w:rsid w:val="00F90AF1"/>
    <w:rsid w:val="00F9120C"/>
    <w:rsid w:val="00F91364"/>
    <w:rsid w:val="00F9181D"/>
    <w:rsid w:val="00F919C3"/>
    <w:rsid w:val="00F91EE2"/>
    <w:rsid w:val="00F92202"/>
    <w:rsid w:val="00F92D96"/>
    <w:rsid w:val="00F92F50"/>
    <w:rsid w:val="00F93213"/>
    <w:rsid w:val="00F937C7"/>
    <w:rsid w:val="00F93AD0"/>
    <w:rsid w:val="00F93F51"/>
    <w:rsid w:val="00F941B9"/>
    <w:rsid w:val="00F942D2"/>
    <w:rsid w:val="00F9452F"/>
    <w:rsid w:val="00F94AFC"/>
    <w:rsid w:val="00F94BEC"/>
    <w:rsid w:val="00F94DC5"/>
    <w:rsid w:val="00F94E28"/>
    <w:rsid w:val="00F95235"/>
    <w:rsid w:val="00F9523E"/>
    <w:rsid w:val="00F95A0F"/>
    <w:rsid w:val="00F95D2E"/>
    <w:rsid w:val="00F960FC"/>
    <w:rsid w:val="00F9678A"/>
    <w:rsid w:val="00F96BDE"/>
    <w:rsid w:val="00F97115"/>
    <w:rsid w:val="00F97257"/>
    <w:rsid w:val="00F9739B"/>
    <w:rsid w:val="00F9743B"/>
    <w:rsid w:val="00F97B72"/>
    <w:rsid w:val="00F97EC5"/>
    <w:rsid w:val="00FA03F0"/>
    <w:rsid w:val="00FA04E5"/>
    <w:rsid w:val="00FA0526"/>
    <w:rsid w:val="00FA05F4"/>
    <w:rsid w:val="00FA088D"/>
    <w:rsid w:val="00FA08FA"/>
    <w:rsid w:val="00FA1441"/>
    <w:rsid w:val="00FA1573"/>
    <w:rsid w:val="00FA2836"/>
    <w:rsid w:val="00FA3855"/>
    <w:rsid w:val="00FA439B"/>
    <w:rsid w:val="00FA441E"/>
    <w:rsid w:val="00FA4720"/>
    <w:rsid w:val="00FA4D0A"/>
    <w:rsid w:val="00FA5465"/>
    <w:rsid w:val="00FA60D6"/>
    <w:rsid w:val="00FA616D"/>
    <w:rsid w:val="00FA6E2F"/>
    <w:rsid w:val="00FA6ECD"/>
    <w:rsid w:val="00FA6FFE"/>
    <w:rsid w:val="00FA713A"/>
    <w:rsid w:val="00FA7401"/>
    <w:rsid w:val="00FA74EE"/>
    <w:rsid w:val="00FB061D"/>
    <w:rsid w:val="00FB08E9"/>
    <w:rsid w:val="00FB0DC4"/>
    <w:rsid w:val="00FB0EBA"/>
    <w:rsid w:val="00FB16B4"/>
    <w:rsid w:val="00FB1858"/>
    <w:rsid w:val="00FB19D9"/>
    <w:rsid w:val="00FB1B51"/>
    <w:rsid w:val="00FB234D"/>
    <w:rsid w:val="00FB2885"/>
    <w:rsid w:val="00FB3705"/>
    <w:rsid w:val="00FB380C"/>
    <w:rsid w:val="00FB42B0"/>
    <w:rsid w:val="00FB4843"/>
    <w:rsid w:val="00FB4D24"/>
    <w:rsid w:val="00FB4E3B"/>
    <w:rsid w:val="00FB51C9"/>
    <w:rsid w:val="00FB5849"/>
    <w:rsid w:val="00FC013D"/>
    <w:rsid w:val="00FC1468"/>
    <w:rsid w:val="00FC1B74"/>
    <w:rsid w:val="00FC2D3D"/>
    <w:rsid w:val="00FC2DC3"/>
    <w:rsid w:val="00FC3622"/>
    <w:rsid w:val="00FC39B3"/>
    <w:rsid w:val="00FC39ED"/>
    <w:rsid w:val="00FC3BC2"/>
    <w:rsid w:val="00FC4153"/>
    <w:rsid w:val="00FC49A6"/>
    <w:rsid w:val="00FC4D33"/>
    <w:rsid w:val="00FC4DBB"/>
    <w:rsid w:val="00FC51F0"/>
    <w:rsid w:val="00FC54FE"/>
    <w:rsid w:val="00FC55F7"/>
    <w:rsid w:val="00FC5CA3"/>
    <w:rsid w:val="00FC5E54"/>
    <w:rsid w:val="00FC5FD9"/>
    <w:rsid w:val="00FC6024"/>
    <w:rsid w:val="00FC6781"/>
    <w:rsid w:val="00FC6C8F"/>
    <w:rsid w:val="00FC744C"/>
    <w:rsid w:val="00FC750B"/>
    <w:rsid w:val="00FC7A08"/>
    <w:rsid w:val="00FD0671"/>
    <w:rsid w:val="00FD0767"/>
    <w:rsid w:val="00FD09E6"/>
    <w:rsid w:val="00FD0D29"/>
    <w:rsid w:val="00FD0E9F"/>
    <w:rsid w:val="00FD0F85"/>
    <w:rsid w:val="00FD0FCF"/>
    <w:rsid w:val="00FD1857"/>
    <w:rsid w:val="00FD18C3"/>
    <w:rsid w:val="00FD1C47"/>
    <w:rsid w:val="00FD1D91"/>
    <w:rsid w:val="00FD1DDD"/>
    <w:rsid w:val="00FD1EFF"/>
    <w:rsid w:val="00FD2023"/>
    <w:rsid w:val="00FD3314"/>
    <w:rsid w:val="00FD37C3"/>
    <w:rsid w:val="00FD39BA"/>
    <w:rsid w:val="00FD4ACD"/>
    <w:rsid w:val="00FD504E"/>
    <w:rsid w:val="00FD51C7"/>
    <w:rsid w:val="00FD5E18"/>
    <w:rsid w:val="00FD61BD"/>
    <w:rsid w:val="00FD62E0"/>
    <w:rsid w:val="00FD6603"/>
    <w:rsid w:val="00FD696D"/>
    <w:rsid w:val="00FD6C0F"/>
    <w:rsid w:val="00FD7878"/>
    <w:rsid w:val="00FD7E18"/>
    <w:rsid w:val="00FE00D9"/>
    <w:rsid w:val="00FE07A3"/>
    <w:rsid w:val="00FE0CA3"/>
    <w:rsid w:val="00FE0E09"/>
    <w:rsid w:val="00FE1975"/>
    <w:rsid w:val="00FE1B65"/>
    <w:rsid w:val="00FE1C24"/>
    <w:rsid w:val="00FE1F28"/>
    <w:rsid w:val="00FE2834"/>
    <w:rsid w:val="00FE2C5F"/>
    <w:rsid w:val="00FE2E0C"/>
    <w:rsid w:val="00FE2FE0"/>
    <w:rsid w:val="00FE3563"/>
    <w:rsid w:val="00FE365E"/>
    <w:rsid w:val="00FE3CEC"/>
    <w:rsid w:val="00FE3EF3"/>
    <w:rsid w:val="00FE47CB"/>
    <w:rsid w:val="00FE4B4E"/>
    <w:rsid w:val="00FE4E52"/>
    <w:rsid w:val="00FE5B44"/>
    <w:rsid w:val="00FE5D63"/>
    <w:rsid w:val="00FE6355"/>
    <w:rsid w:val="00FE713F"/>
    <w:rsid w:val="00FE71E0"/>
    <w:rsid w:val="00FE74B5"/>
    <w:rsid w:val="00FE7A41"/>
    <w:rsid w:val="00FF02B2"/>
    <w:rsid w:val="00FF058B"/>
    <w:rsid w:val="00FF0AB5"/>
    <w:rsid w:val="00FF0F1C"/>
    <w:rsid w:val="00FF1015"/>
    <w:rsid w:val="00FF16D0"/>
    <w:rsid w:val="00FF1CB1"/>
    <w:rsid w:val="00FF1F7F"/>
    <w:rsid w:val="00FF26C2"/>
    <w:rsid w:val="00FF2EB2"/>
    <w:rsid w:val="00FF33A2"/>
    <w:rsid w:val="00FF3747"/>
    <w:rsid w:val="00FF3B79"/>
    <w:rsid w:val="00FF44EB"/>
    <w:rsid w:val="00FF4877"/>
    <w:rsid w:val="00FF4DB8"/>
    <w:rsid w:val="00FF4F39"/>
    <w:rsid w:val="00FF5611"/>
    <w:rsid w:val="00FF56EF"/>
    <w:rsid w:val="00FF6348"/>
    <w:rsid w:val="00FF6AB6"/>
    <w:rsid w:val="00FF6B41"/>
    <w:rsid w:val="00FF72C1"/>
    <w:rsid w:val="00FF76EA"/>
    <w:rsid w:val="00FF7DE8"/>
    <w:rsid w:val="0B8653CE"/>
    <w:rsid w:val="0CBB7EB3"/>
    <w:rsid w:val="0D406215"/>
    <w:rsid w:val="0E375AD3"/>
    <w:rsid w:val="12E85C10"/>
    <w:rsid w:val="145F564B"/>
    <w:rsid w:val="17240D41"/>
    <w:rsid w:val="1D3257BA"/>
    <w:rsid w:val="1D4951D2"/>
    <w:rsid w:val="22AA152E"/>
    <w:rsid w:val="24324F5E"/>
    <w:rsid w:val="248C527D"/>
    <w:rsid w:val="261253E8"/>
    <w:rsid w:val="27885BC9"/>
    <w:rsid w:val="37CB61A5"/>
    <w:rsid w:val="3B15281B"/>
    <w:rsid w:val="3FD45640"/>
    <w:rsid w:val="43821597"/>
    <w:rsid w:val="465C05E6"/>
    <w:rsid w:val="499D618E"/>
    <w:rsid w:val="4F714FE0"/>
    <w:rsid w:val="5386149C"/>
    <w:rsid w:val="59464F2E"/>
    <w:rsid w:val="5AF80855"/>
    <w:rsid w:val="5D8B6C11"/>
    <w:rsid w:val="643C3794"/>
    <w:rsid w:val="693453D4"/>
    <w:rsid w:val="73252357"/>
    <w:rsid w:val="7D3B20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Unicode MS" w:hAnsi="Arial Unicode MS" w:eastAsia="等线" w:cs="Arial Unicode MS"/>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nhideWhenUsed="0" w:uiPriority="0" w:semiHidden="0" w:name="index 1" w:locked="1"/>
    <w:lsdException w:unhideWhenUsed="0" w:uiPriority="0" w:semiHidden="0" w:name="index 2" w:locked="1"/>
    <w:lsdException w:unhideWhenUsed="0" w:uiPriority="0" w:semiHidden="0" w:name="index 3" w:locked="1"/>
    <w:lsdException w:unhideWhenUsed="0" w:uiPriority="0" w:semiHidden="0" w:name="index 4" w:locked="1"/>
    <w:lsdException w:unhideWhenUsed="0" w:uiPriority="0" w:semiHidden="0" w:name="index 5" w:locked="1"/>
    <w:lsdException w:unhideWhenUsed="0" w:uiPriority="0" w:semiHidden="0" w:name="index 6" w:locked="1"/>
    <w:lsdException w:unhideWhenUsed="0" w:uiPriority="0" w:semiHidden="0" w:name="index 7" w:locked="1"/>
    <w:lsdException w:unhideWhenUsed="0" w:uiPriority="0" w:semiHidden="0" w:name="index 8" w:locked="1"/>
    <w:lsdException w:unhideWhenUsed="0" w:uiPriority="0" w:semiHidden="0" w:name="index 9" w:locked="1"/>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qFormat="1" w:unhideWhenUsed="0" w:uiPriority="0" w:semiHidden="0" w:name="Normal Indent"/>
    <w:lsdException w:unhideWhenUsed="0" w:uiPriority="0" w:semiHidden="0" w:name="footnote text" w:locked="1"/>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ocked="1"/>
    <w:lsdException w:qFormat="1" w:unhideWhenUsed="0" w:uiPriority="0" w:semiHidden="0" w:name="caption"/>
    <w:lsdException w:unhideWhenUsed="0" w:uiPriority="0" w:semiHidden="0" w:name="table of figures" w:locked="1"/>
    <w:lsdException w:unhideWhenUsed="0" w:uiPriority="0" w:semiHidden="0" w:name="envelope address" w:locked="1"/>
    <w:lsdException w:unhideWhenUsed="0" w:uiPriority="0" w:semiHidden="0" w:name="envelope return" w:locked="1"/>
    <w:lsdException w:unhideWhenUsed="0" w:uiPriority="0" w:semiHidden="0" w:name="footnote reference" w:locked="1"/>
    <w:lsdException w:unhideWhenUsed="0" w:uiPriority="0" w:semiHidden="0" w:name="annotation reference"/>
    <w:lsdException w:unhideWhenUsed="0" w:uiPriority="0" w:semiHidden="0" w:name="line number" w:locked="1"/>
    <w:lsdException w:unhideWhenUsed="0" w:uiPriority="0" w:semiHidden="0" w:name="page number"/>
    <w:lsdException w:unhideWhenUsed="0" w:uiPriority="0" w:semiHidden="0" w:name="endnote reference" w:locked="1"/>
    <w:lsdException w:unhideWhenUsed="0" w:uiPriority="0" w:semiHidden="0" w:name="endnote text" w:locked="1"/>
    <w:lsdException w:unhideWhenUsed="0" w:uiPriority="0" w:semiHidden="0" w:name="table of authorities" w:locked="1"/>
    <w:lsdException w:unhideWhenUsed="0" w:uiPriority="0" w:semiHidden="0" w:name="macro"/>
    <w:lsdException w:unhideWhenUsed="0" w:uiPriority="0" w:semiHidden="0" w:name="toa heading" w:locked="1"/>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ocked="1"/>
    <w:lsdException w:unhideWhenUsed="0" w:uiPriority="0" w:semiHidden="0" w:name="List 3" w:locked="1"/>
    <w:lsdException w:unhideWhenUsed="0" w:uiPriority="0" w:semiHidden="0" w:name="List 4" w:locked="1"/>
    <w:lsdException w:unhideWhenUsed="0" w:uiPriority="0" w:semiHidden="0" w:name="List 5" w:locked="1"/>
    <w:lsdException w:unhideWhenUsed="0" w:uiPriority="0" w:semiHidden="0" w:name="List Bullet 2" w:locked="1"/>
    <w:lsdException w:unhideWhenUsed="0" w:uiPriority="0" w:semiHidden="0" w:name="List Bullet 3" w:locked="1"/>
    <w:lsdException w:unhideWhenUsed="0" w:uiPriority="0" w:semiHidden="0" w:name="List Bullet 4" w:locked="1"/>
    <w:lsdException w:unhideWhenUsed="0" w:uiPriority="0" w:semiHidden="0" w:name="List Bullet 5" w:locked="1"/>
    <w:lsdException w:unhideWhenUsed="0" w:uiPriority="0" w:semiHidden="0" w:name="List Number 2" w:locked="1"/>
    <w:lsdException w:unhideWhenUsed="0" w:uiPriority="0" w:semiHidden="0" w:name="List Number 3" w:locked="1"/>
    <w:lsdException w:unhideWhenUsed="0" w:uiPriority="0" w:semiHidden="0" w:name="List Number 4" w:locked="1"/>
    <w:lsdException w:unhideWhenUsed="0" w:uiPriority="0" w:semiHidden="0" w:name="List Number 5" w:locked="1"/>
    <w:lsdException w:qFormat="1" w:unhideWhenUsed="0" w:uiPriority="0" w:semiHidden="0" w:name="Title" w:locked="1"/>
    <w:lsdException w:unhideWhenUsed="0" w:uiPriority="0" w:semiHidden="0" w:name="Closing" w:locked="1"/>
    <w:lsdException w:unhideWhenUsed="0" w:uiPriority="0" w:semiHidden="0" w:name="Signature" w:locked="1"/>
    <w:lsdException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ocked="1"/>
    <w:lsdException w:unhideWhenUsed="0" w:uiPriority="0" w:semiHidden="0" w:name="List Continue 2" w:locked="1"/>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ocked="1"/>
    <w:lsdException w:unhideWhenUsed="0" w:uiPriority="0" w:semiHidden="0" w:name="Salutation" w:locked="1"/>
    <w:lsdException w:qFormat="1" w:unhideWhenUsed="0" w:uiPriority="0" w:semiHidden="0" w:name="Date"/>
    <w:lsdException w:unhideWhenUsed="0" w:uiPriority="0" w:semiHidden="0" w:name="Body Text First Indent" w:locked="1"/>
    <w:lsdException w:unhideWhenUsed="0" w:uiPriority="0" w:semiHidden="0" w:name="Body Text First Indent 2" w:locked="1"/>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unhideWhenUsed="0" w:uiPriority="0" w:semiHidden="0" w:name="Hyperlink"/>
    <w:lsdException w:unhideWhenUsed="0" w:uiPriority="0" w:semiHidden="0" w:name="FollowedHyperlink" w:locked="1"/>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ocked="1"/>
    <w:lsdException w:qFormat="1" w:unhideWhenUsed="0" w:uiPriority="0" w:semiHidden="0" w:name="Normal (Web)"/>
    <w:lsdException w:unhideWhenUsed="0" w:uiPriority="0" w:semiHidden="0" w:name="HTML Acronym" w:locked="1"/>
    <w:lsdException w:unhideWhenUsed="0" w:uiPriority="0" w:semiHidden="0" w:name="HTML Address" w:locked="1"/>
    <w:lsdException w:unhideWhenUsed="0" w:uiPriority="0" w:semiHidden="0" w:name="HTML Cite" w:locked="1"/>
    <w:lsdException w:unhideWhenUsed="0" w:uiPriority="0" w:semiHidden="0" w:name="HTML Code" w:locked="1"/>
    <w:lsdException w:unhideWhenUsed="0" w:uiPriority="0" w:semiHidden="0" w:name="HTML Definition" w:locked="1"/>
    <w:lsdException w:unhideWhenUsed="0" w:uiPriority="0" w:semiHidden="0" w:name="HTML Keyboard" w:locked="1"/>
    <w:lsdException w:qFormat="1" w:unhideWhenUsed="0" w:uiPriority="0" w:semiHidden="0" w:name="HTML Preformatted"/>
    <w:lsdException w:unhideWhenUsed="0" w:uiPriority="0" w:semiHidden="0" w:name="HTML Sample" w:locked="1"/>
    <w:lsdException w:unhideWhenUsed="0" w:uiPriority="0" w:semiHidden="0" w:name="HTML Typewriter" w:locked="1"/>
    <w:lsdException w:unhideWhenUsed="0" w:uiPriority="0" w:semiHidden="0" w:name="HTML Variable" w:locked="1"/>
    <w:lsdException w:uiPriority="99" w:name="Normal Table"/>
    <w:lsdException w:qFormat="1" w:unhideWhenUsed="0" w:uiPriority="0" w:semiHidden="0" w:name="annotation subject"/>
    <w:lsdException w:uiPriority="0" w:name="Table Simple 1" w:locked="1"/>
    <w:lsdException w:uiPriority="0" w:name="Table Simple 2" w:locked="1"/>
    <w:lsdException w:uiPriority="0" w:name="Table Simple 3" w:locked="1"/>
    <w:lsdException w:uiPriority="0" w:name="Table Classic 1" w:locked="1"/>
    <w:lsdException w:uiPriority="0" w:name="Table Classic 2" w:locked="1"/>
    <w:lsdException w:uiPriority="0" w:name="Table Classic 3" w:locked="1"/>
    <w:lsdException w:uiPriority="0" w:name="Table Classic 4" w:locked="1"/>
    <w:lsdException w:uiPriority="0" w:name="Table Colorful 1" w:locked="1"/>
    <w:lsdException w:uiPriority="0" w:name="Table Colorful 2" w:locked="1"/>
    <w:lsdException w:uiPriority="0" w:name="Table Colorful 3" w:locked="1"/>
    <w:lsdException w:uiPriority="0" w:name="Table Columns 1" w:locked="1"/>
    <w:lsdException w:uiPriority="0" w:name="Table Columns 2" w:locked="1"/>
    <w:lsdException w:uiPriority="0" w:name="Table Columns 3" w:locked="1"/>
    <w:lsdException w:uiPriority="0" w:name="Table Columns 4" w:locked="1"/>
    <w:lsdException w:uiPriority="0" w:name="Table Columns 5" w:locked="1"/>
    <w:lsdException w:uiPriority="0" w:name="Table Grid 1" w:locked="1"/>
    <w:lsdException w:uiPriority="0" w:name="Table Grid 2" w:locked="1"/>
    <w:lsdException w:uiPriority="0" w:name="Table Grid 3" w:locked="1"/>
    <w:lsdException w:uiPriority="0" w:name="Table Grid 4" w:locked="1"/>
    <w:lsdException w:uiPriority="0" w:name="Table Grid 5" w:locked="1"/>
    <w:lsdException w:uiPriority="0" w:name="Table Grid 6" w:locked="1"/>
    <w:lsdException w:uiPriority="0" w:name="Table Grid 7" w:locked="1"/>
    <w:lsdException w:uiPriority="0" w:name="Table Grid 8" w:locked="1"/>
    <w:lsdException w:uiPriority="0" w:name="Table List 1" w:locked="1"/>
    <w:lsdException w:uiPriority="0" w:name="Table List 2" w:locked="1"/>
    <w:lsdException w:uiPriority="0" w:name="Table List 3" w:locked="1"/>
    <w:lsdException w:uiPriority="0" w:name="Table List 4" w:locked="1"/>
    <w:lsdException w:uiPriority="0" w:name="Table List 5" w:locked="1"/>
    <w:lsdException w:uiPriority="0" w:name="Table List 6" w:locked="1"/>
    <w:lsdException w:uiPriority="0" w:name="Table List 7" w:locked="1"/>
    <w:lsdException w:uiPriority="0" w:name="Table List 8" w:locked="1"/>
    <w:lsdException w:uiPriority="0" w:name="Table 3D effects 1" w:locked="1"/>
    <w:lsdException w:uiPriority="0" w:name="Table 3D effects 2" w:locked="1"/>
    <w:lsdException w:uiPriority="0" w:name="Table 3D effects 3" w:locked="1"/>
    <w:lsdException w:uiPriority="0" w:name="Table Contemporary" w:locked="1"/>
    <w:lsdException w:qFormat="1" w:unhideWhenUsed="0" w:uiPriority="0" w:semiHidden="0" w:name="Table Elegant"/>
    <w:lsdException w:uiPriority="0" w:name="Table Professional" w:locked="1"/>
    <w:lsdException w:uiPriority="0" w:name="Table Subtle 1" w:locked="1"/>
    <w:lsdException w:uiPriority="0" w:name="Table Subtle 2" w:locked="1"/>
    <w:lsdException w:uiPriority="0" w:name="Table Web 1" w:locked="1"/>
    <w:lsdException w:uiPriority="0" w:name="Table Web 2" w:locked="1"/>
    <w:lsdException w:uiPriority="0" w:name="Table Web 3" w:locked="1"/>
    <w:lsdException w:qFormat="1" w:unhideWhenUsed="0" w:uiPriority="99" w:semiHidden="0" w:name="Balloon Text"/>
    <w:lsdException w:qFormat="1" w:unhideWhenUsed="0" w:uiPriority="99"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Arial Unicode MS" w:hAnsi="Arial Unicode MS" w:eastAsia="等线" w:cs="Arial Unicode MS"/>
      <w:kern w:val="2"/>
      <w:sz w:val="21"/>
      <w:lang w:val="en-US" w:eastAsia="zh-CN" w:bidi="ar-SA"/>
    </w:rPr>
  </w:style>
  <w:style w:type="paragraph" w:styleId="2">
    <w:name w:val="heading 1"/>
    <w:basedOn w:val="1"/>
    <w:next w:val="1"/>
    <w:link w:val="46"/>
    <w:qFormat/>
    <w:uiPriority w:val="9"/>
    <w:pPr>
      <w:keepNext/>
      <w:spacing w:line="400" w:lineRule="exact"/>
      <w:jc w:val="center"/>
      <w:outlineLvl w:val="0"/>
    </w:pPr>
    <w:rPr>
      <w:rFonts w:ascii="Yu Mincho Light" w:hAnsi="等线" w:eastAsia="Yu Mincho Light"/>
      <w:b/>
      <w:sz w:val="24"/>
    </w:rPr>
  </w:style>
  <w:style w:type="paragraph" w:styleId="3">
    <w:name w:val="heading 2"/>
    <w:basedOn w:val="1"/>
    <w:next w:val="1"/>
    <w:qFormat/>
    <w:uiPriority w:val="0"/>
    <w:pPr>
      <w:keepNext/>
      <w:jc w:val="center"/>
      <w:outlineLvl w:val="1"/>
    </w:pPr>
    <w:rPr>
      <w:spacing w:val="-24"/>
      <w:sz w:val="28"/>
    </w:rPr>
  </w:style>
  <w:style w:type="paragraph" w:styleId="4">
    <w:name w:val="heading 3"/>
    <w:basedOn w:val="1"/>
    <w:next w:val="1"/>
    <w:qFormat/>
    <w:uiPriority w:val="0"/>
    <w:pPr>
      <w:keepNext/>
      <w:keepLines/>
      <w:adjustRightInd w:val="0"/>
      <w:spacing w:before="260" w:after="260"/>
      <w:textAlignment w:val="baseline"/>
      <w:outlineLvl w:val="2"/>
    </w:pPr>
    <w:rPr>
      <w:b/>
      <w:kern w:val="0"/>
      <w:sz w:val="28"/>
      <w:shd w:val="clear" w:color="auto" w:fill="FFFFFF"/>
    </w:rPr>
  </w:style>
  <w:style w:type="character" w:default="1" w:styleId="30">
    <w:name w:val="Default Paragraph Font"/>
    <w:unhideWhenUsed/>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styleId="5">
    <w:name w:val="Note Heading"/>
    <w:basedOn w:val="1"/>
    <w:next w:val="1"/>
    <w:qFormat/>
    <w:uiPriority w:val="0"/>
    <w:pPr>
      <w:jc w:val="center"/>
    </w:pPr>
  </w:style>
  <w:style w:type="paragraph" w:styleId="6">
    <w:name w:val="Normal Indent"/>
    <w:basedOn w:val="1"/>
    <w:link w:val="100"/>
    <w:qFormat/>
    <w:uiPriority w:val="0"/>
    <w:pPr>
      <w:ind w:firstLine="420"/>
    </w:pPr>
  </w:style>
  <w:style w:type="paragraph" w:styleId="7">
    <w:name w:val="caption"/>
    <w:basedOn w:val="1"/>
    <w:next w:val="1"/>
    <w:qFormat/>
    <w:uiPriority w:val="0"/>
    <w:pPr>
      <w:adjustRightInd w:val="0"/>
      <w:snapToGrid w:val="0"/>
      <w:ind w:firstLine="200" w:firstLineChars="200"/>
      <w:jc w:val="center"/>
    </w:pPr>
    <w:rPr>
      <w:rFonts w:eastAsia="Arial" w:cs="楷体_GB2312"/>
    </w:rPr>
  </w:style>
  <w:style w:type="paragraph" w:styleId="8">
    <w:name w:val="Document Map"/>
    <w:basedOn w:val="1"/>
    <w:qFormat/>
    <w:uiPriority w:val="0"/>
    <w:pPr>
      <w:shd w:val="clear" w:color="auto" w:fill="000080"/>
    </w:pPr>
  </w:style>
  <w:style w:type="paragraph" w:styleId="9">
    <w:name w:val="annotation text"/>
    <w:basedOn w:val="1"/>
    <w:link w:val="43"/>
    <w:qFormat/>
    <w:uiPriority w:val="0"/>
    <w:pPr>
      <w:jc w:val="left"/>
    </w:pPr>
  </w:style>
  <w:style w:type="paragraph" w:styleId="10">
    <w:name w:val="Body Text 3"/>
    <w:basedOn w:val="1"/>
    <w:qFormat/>
    <w:uiPriority w:val="0"/>
    <w:pPr>
      <w:spacing w:after="120"/>
    </w:pPr>
    <w:rPr>
      <w:sz w:val="16"/>
    </w:rPr>
  </w:style>
  <w:style w:type="paragraph" w:styleId="11">
    <w:name w:val="Body Text"/>
    <w:basedOn w:val="1"/>
    <w:link w:val="57"/>
    <w:qFormat/>
    <w:uiPriority w:val="0"/>
    <w:pPr>
      <w:jc w:val="center"/>
    </w:pPr>
  </w:style>
  <w:style w:type="paragraph" w:styleId="12">
    <w:name w:val="Body Text Indent"/>
    <w:basedOn w:val="1"/>
    <w:link w:val="176"/>
    <w:qFormat/>
    <w:uiPriority w:val="0"/>
    <w:pPr>
      <w:spacing w:line="360" w:lineRule="auto"/>
      <w:ind w:firstLine="480" w:firstLineChars="200"/>
    </w:pPr>
    <w:rPr>
      <w:sz w:val="24"/>
    </w:rPr>
  </w:style>
  <w:style w:type="paragraph" w:styleId="13">
    <w:name w:val="Block Text"/>
    <w:basedOn w:val="1"/>
    <w:qFormat/>
    <w:uiPriority w:val="0"/>
    <w:pPr>
      <w:spacing w:line="320" w:lineRule="exact"/>
      <w:ind w:left="113" w:right="113"/>
      <w:jc w:val="center"/>
    </w:pPr>
    <w:rPr>
      <w:b/>
      <w:sz w:val="13"/>
    </w:rPr>
  </w:style>
  <w:style w:type="paragraph" w:styleId="14">
    <w:name w:val="Plain Text"/>
    <w:basedOn w:val="1"/>
    <w:link w:val="52"/>
    <w:qFormat/>
    <w:uiPriority w:val="0"/>
    <w:rPr>
      <w:rFonts w:ascii="等线" w:hAnsi="Wingdings 2"/>
    </w:rPr>
  </w:style>
  <w:style w:type="paragraph" w:styleId="15">
    <w:name w:val="Date"/>
    <w:basedOn w:val="1"/>
    <w:next w:val="1"/>
    <w:qFormat/>
    <w:uiPriority w:val="0"/>
    <w:rPr>
      <w:sz w:val="24"/>
    </w:rPr>
  </w:style>
  <w:style w:type="paragraph" w:styleId="16">
    <w:name w:val="Body Text Indent 2"/>
    <w:basedOn w:val="1"/>
    <w:qFormat/>
    <w:uiPriority w:val="0"/>
    <w:pPr>
      <w:spacing w:line="460" w:lineRule="exact"/>
      <w:ind w:left="660"/>
    </w:pPr>
    <w:rPr>
      <w:sz w:val="24"/>
    </w:rPr>
  </w:style>
  <w:style w:type="paragraph" w:styleId="17">
    <w:name w:val="Balloon Text"/>
    <w:basedOn w:val="1"/>
    <w:link w:val="48"/>
    <w:qFormat/>
    <w:uiPriority w:val="99"/>
    <w:rPr>
      <w:sz w:val="18"/>
    </w:rPr>
  </w:style>
  <w:style w:type="paragraph" w:styleId="18">
    <w:name w:val="footer"/>
    <w:basedOn w:val="1"/>
    <w:link w:val="38"/>
    <w:qFormat/>
    <w:uiPriority w:val="99"/>
    <w:pPr>
      <w:tabs>
        <w:tab w:val="center" w:pos="4153"/>
        <w:tab w:val="right" w:pos="8306"/>
      </w:tabs>
      <w:snapToGrid w:val="0"/>
      <w:jc w:val="left"/>
    </w:pPr>
    <w:rPr>
      <w:sz w:val="18"/>
    </w:rPr>
  </w:style>
  <w:style w:type="paragraph" w:styleId="19">
    <w:name w:val="header"/>
    <w:basedOn w:val="1"/>
    <w:link w:val="84"/>
    <w:qFormat/>
    <w:uiPriority w:val="99"/>
    <w:pPr>
      <w:pBdr>
        <w:bottom w:val="single" w:color="auto" w:sz="6" w:space="1"/>
      </w:pBdr>
      <w:tabs>
        <w:tab w:val="center" w:pos="4153"/>
        <w:tab w:val="right" w:pos="8306"/>
      </w:tabs>
      <w:snapToGrid w:val="0"/>
      <w:jc w:val="center"/>
    </w:pPr>
    <w:rPr>
      <w:sz w:val="18"/>
    </w:rPr>
  </w:style>
  <w:style w:type="paragraph" w:styleId="20">
    <w:name w:val="List"/>
    <w:basedOn w:val="1"/>
    <w:link w:val="51"/>
    <w:qFormat/>
    <w:uiPriority w:val="0"/>
    <w:pPr>
      <w:ind w:left="200" w:hanging="200" w:hangingChars="200"/>
    </w:pPr>
  </w:style>
  <w:style w:type="paragraph" w:styleId="21">
    <w:name w:val="Body Text Indent 3"/>
    <w:basedOn w:val="1"/>
    <w:qFormat/>
    <w:uiPriority w:val="0"/>
    <w:pPr>
      <w:spacing w:line="460" w:lineRule="exact"/>
      <w:ind w:left="479" w:leftChars="228" w:firstLine="360" w:firstLineChars="150"/>
    </w:pPr>
    <w:rPr>
      <w:sz w:val="24"/>
    </w:rPr>
  </w:style>
  <w:style w:type="paragraph" w:styleId="22">
    <w:name w:val="Body Text 2"/>
    <w:basedOn w:val="1"/>
    <w:qFormat/>
    <w:uiPriority w:val="0"/>
    <w:pPr>
      <w:spacing w:line="360" w:lineRule="auto"/>
    </w:pPr>
    <w:rPr>
      <w:b/>
      <w:caps/>
      <w:sz w:val="24"/>
    </w:rPr>
  </w:style>
  <w:style w:type="paragraph" w:styleId="23">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楷体_GB2312" w:hAnsi="楷体_GB2312"/>
      <w:kern w:val="0"/>
    </w:rPr>
  </w:style>
  <w:style w:type="paragraph" w:styleId="24">
    <w:name w:val="Normal (Web)"/>
    <w:basedOn w:val="1"/>
    <w:qFormat/>
    <w:uiPriority w:val="0"/>
    <w:pPr>
      <w:widowControl/>
      <w:spacing w:before="100" w:beforeAutospacing="1" w:after="100" w:afterAutospacing="1"/>
      <w:jc w:val="left"/>
    </w:pPr>
    <w:rPr>
      <w:rFonts w:ascii="等线" w:hAnsi="等线"/>
      <w:kern w:val="0"/>
      <w:sz w:val="24"/>
    </w:rPr>
  </w:style>
  <w:style w:type="paragraph" w:styleId="25">
    <w:name w:val="annotation subject"/>
    <w:basedOn w:val="9"/>
    <w:next w:val="9"/>
    <w:qFormat/>
    <w:uiPriority w:val="0"/>
    <w:rPr>
      <w:b/>
    </w:rPr>
  </w:style>
  <w:style w:type="table" w:styleId="27">
    <w:name w:val="Table Grid"/>
    <w:basedOn w:val="26"/>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8">
    <w:name w:val="Table Theme"/>
    <w:basedOn w:val="2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9">
    <w:name w:val="Table Elegant"/>
    <w:basedOn w:val="26"/>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rFonts w:cs="Times New Roman"/>
        <w:caps/>
        <w:color w:val="auto"/>
      </w:rPr>
      <w:tblPr/>
      <w:tcPr>
        <w:tcBorders>
          <w:top w:val="nil"/>
          <w:left w:val="nil"/>
          <w:bottom w:val="nil"/>
          <w:right w:val="nil"/>
          <w:insideH w:val="nil"/>
          <w:insideV w:val="nil"/>
          <w:tl2br w:val="nil"/>
          <w:tr2bl w:val="nil"/>
        </w:tcBorders>
      </w:tcPr>
    </w:tblStylePr>
  </w:style>
  <w:style w:type="character" w:styleId="31">
    <w:name w:val="Strong"/>
    <w:qFormat/>
    <w:uiPriority w:val="0"/>
    <w:rPr>
      <w:b/>
    </w:rPr>
  </w:style>
  <w:style w:type="character" w:styleId="32">
    <w:name w:val="page number"/>
    <w:uiPriority w:val="0"/>
    <w:rPr>
      <w:rFonts w:cs="Arial Unicode MS"/>
    </w:rPr>
  </w:style>
  <w:style w:type="character" w:styleId="33">
    <w:name w:val="FollowedHyperlink"/>
    <w:locked/>
    <w:uiPriority w:val="0"/>
    <w:rPr>
      <w:color w:val="800080"/>
      <w:u w:val="single"/>
    </w:rPr>
  </w:style>
  <w:style w:type="character" w:styleId="34">
    <w:name w:val="Emphasis"/>
    <w:qFormat/>
    <w:uiPriority w:val="0"/>
    <w:rPr>
      <w:color w:val="CC0000"/>
    </w:rPr>
  </w:style>
  <w:style w:type="character" w:styleId="35">
    <w:name w:val="Hyperlink"/>
    <w:uiPriority w:val="0"/>
    <w:rPr>
      <w:color w:val="000000"/>
      <w:u w:val="none"/>
    </w:rPr>
  </w:style>
  <w:style w:type="character" w:styleId="36">
    <w:name w:val="annotation reference"/>
    <w:uiPriority w:val="0"/>
    <w:rPr>
      <w:sz w:val="21"/>
    </w:rPr>
  </w:style>
  <w:style w:type="character" w:customStyle="1" w:styleId="37">
    <w:name w:val="15"/>
    <w:uiPriority w:val="0"/>
    <w:rPr>
      <w:rFonts w:ascii="永中宋体" w:hAnsi="永中宋体"/>
      <w:sz w:val="24"/>
    </w:rPr>
  </w:style>
  <w:style w:type="character" w:customStyle="1" w:styleId="38">
    <w:name w:val="页脚 字符"/>
    <w:link w:val="18"/>
    <w:locked/>
    <w:uiPriority w:val="99"/>
    <w:rPr>
      <w:kern w:val="2"/>
      <w:sz w:val="18"/>
    </w:rPr>
  </w:style>
  <w:style w:type="character" w:customStyle="1" w:styleId="39">
    <w:name w:val="样式5 Char"/>
    <w:link w:val="40"/>
    <w:locked/>
    <w:uiPriority w:val="0"/>
    <w:rPr>
      <w:sz w:val="24"/>
    </w:rPr>
  </w:style>
  <w:style w:type="paragraph" w:customStyle="1" w:styleId="40">
    <w:name w:val="样式5"/>
    <w:basedOn w:val="1"/>
    <w:link w:val="39"/>
    <w:qFormat/>
    <w:uiPriority w:val="0"/>
    <w:pPr>
      <w:spacing w:line="360" w:lineRule="auto"/>
      <w:ind w:firstLine="1446" w:firstLineChars="200"/>
    </w:pPr>
    <w:rPr>
      <w:kern w:val="0"/>
      <w:sz w:val="24"/>
    </w:rPr>
  </w:style>
  <w:style w:type="character" w:customStyle="1" w:styleId="41">
    <w:name w:val="表格内容 Char"/>
    <w:link w:val="42"/>
    <w:locked/>
    <w:uiPriority w:val="0"/>
    <w:rPr>
      <w:sz w:val="21"/>
    </w:rPr>
  </w:style>
  <w:style w:type="paragraph" w:customStyle="1" w:styleId="42">
    <w:name w:val="表格内容"/>
    <w:basedOn w:val="6"/>
    <w:next w:val="6"/>
    <w:link w:val="41"/>
    <w:qFormat/>
    <w:uiPriority w:val="0"/>
    <w:pPr>
      <w:adjustRightInd w:val="0"/>
      <w:snapToGrid w:val="0"/>
      <w:ind w:firstLine="0"/>
      <w:jc w:val="center"/>
    </w:pPr>
    <w:rPr>
      <w:kern w:val="0"/>
    </w:rPr>
  </w:style>
  <w:style w:type="character" w:customStyle="1" w:styleId="43">
    <w:name w:val="批注文字 字符"/>
    <w:link w:val="9"/>
    <w:locked/>
    <w:uiPriority w:val="0"/>
    <w:rPr>
      <w:kern w:val="2"/>
      <w:sz w:val="21"/>
    </w:rPr>
  </w:style>
  <w:style w:type="character" w:customStyle="1" w:styleId="44">
    <w:name w:val="样式 标题 2标题2节标题1.1H2h2第一层条4.1二级标题标题 lxb2二级标题 Char表标题单位... Char"/>
    <w:link w:val="45"/>
    <w:qFormat/>
    <w:locked/>
    <w:uiPriority w:val="0"/>
    <w:rPr>
      <w:rFonts w:eastAsia="等线"/>
      <w:b/>
      <w:sz w:val="28"/>
      <w:lang w:val="en-US" w:eastAsia="zh-CN"/>
    </w:rPr>
  </w:style>
  <w:style w:type="paragraph" w:customStyle="1" w:styleId="45">
    <w:name w:val="样式 标题 2标题2节标题1.1H2h2第一层条4.1二级标题标题 lxb2二级标题 Char表标题单位..."/>
    <w:basedOn w:val="3"/>
    <w:link w:val="44"/>
    <w:qFormat/>
    <w:uiPriority w:val="0"/>
    <w:pPr>
      <w:keepLines/>
      <w:adjustRightInd w:val="0"/>
      <w:spacing w:before="260" w:after="260"/>
      <w:jc w:val="left"/>
      <w:textAlignment w:val="baseline"/>
    </w:pPr>
    <w:rPr>
      <w:rFonts w:cs="等线"/>
      <w:b/>
      <w:bCs/>
      <w:spacing w:val="0"/>
      <w:kern w:val="0"/>
    </w:rPr>
  </w:style>
  <w:style w:type="character" w:customStyle="1" w:styleId="46">
    <w:name w:val="标题 1 字符"/>
    <w:link w:val="2"/>
    <w:locked/>
    <w:uiPriority w:val="9"/>
    <w:rPr>
      <w:rFonts w:ascii="Yu Mincho Light" w:hAnsi="等线" w:eastAsia="Yu Mincho Light" w:cs="Arial Unicode MS"/>
      <w:b/>
      <w:kern w:val="2"/>
      <w:sz w:val="24"/>
    </w:rPr>
  </w:style>
  <w:style w:type="character" w:customStyle="1" w:styleId="47">
    <w:name w:val="unnamed31"/>
    <w:uiPriority w:val="0"/>
    <w:rPr>
      <w:rFonts w:cs="Arial Unicode MS"/>
    </w:rPr>
  </w:style>
  <w:style w:type="character" w:customStyle="1" w:styleId="48">
    <w:name w:val="批注框文本 字符"/>
    <w:link w:val="17"/>
    <w:locked/>
    <w:uiPriority w:val="99"/>
    <w:rPr>
      <w:rFonts w:eastAsia="等线"/>
      <w:kern w:val="2"/>
      <w:sz w:val="18"/>
      <w:lang w:val="en-US" w:eastAsia="zh-CN"/>
    </w:rPr>
  </w:style>
  <w:style w:type="character" w:customStyle="1" w:styleId="49">
    <w:name w:val="报告表格 Char"/>
    <w:link w:val="50"/>
    <w:locked/>
    <w:uiPriority w:val="0"/>
    <w:rPr>
      <w:sz w:val="21"/>
    </w:rPr>
  </w:style>
  <w:style w:type="paragraph" w:customStyle="1" w:styleId="50">
    <w:name w:val="报告表格"/>
    <w:basedOn w:val="1"/>
    <w:link w:val="49"/>
    <w:qFormat/>
    <w:uiPriority w:val="0"/>
    <w:pPr>
      <w:autoSpaceDE w:val="0"/>
      <w:autoSpaceDN w:val="0"/>
      <w:adjustRightInd w:val="0"/>
      <w:spacing w:before="40" w:after="40"/>
      <w:jc w:val="center"/>
      <w:textAlignment w:val="bottom"/>
    </w:pPr>
    <w:rPr>
      <w:kern w:val="0"/>
    </w:rPr>
  </w:style>
  <w:style w:type="character" w:customStyle="1" w:styleId="51">
    <w:name w:val="列表 字符"/>
    <w:link w:val="20"/>
    <w:locked/>
    <w:uiPriority w:val="0"/>
    <w:rPr>
      <w:kern w:val="2"/>
      <w:sz w:val="21"/>
    </w:rPr>
  </w:style>
  <w:style w:type="character" w:customStyle="1" w:styleId="52">
    <w:name w:val="纯文本 字符"/>
    <w:link w:val="14"/>
    <w:qFormat/>
    <w:locked/>
    <w:uiPriority w:val="0"/>
    <w:rPr>
      <w:rFonts w:ascii="等线" w:hAnsi="Wingdings 2" w:eastAsia="等线"/>
      <w:kern w:val="2"/>
      <w:sz w:val="21"/>
      <w:lang w:val="en-US" w:eastAsia="zh-CN"/>
    </w:rPr>
  </w:style>
  <w:style w:type="character" w:customStyle="1" w:styleId="53">
    <w:name w:val="德胜表格内容 Char"/>
    <w:link w:val="54"/>
    <w:qFormat/>
    <w:locked/>
    <w:uiPriority w:val="0"/>
    <w:rPr>
      <w:snapToGrid w:val="0"/>
      <w:color w:val="0000FF"/>
      <w:sz w:val="21"/>
    </w:rPr>
  </w:style>
  <w:style w:type="paragraph" w:customStyle="1" w:styleId="54">
    <w:name w:val="德胜表格内容"/>
    <w:basedOn w:val="1"/>
    <w:link w:val="53"/>
    <w:qFormat/>
    <w:uiPriority w:val="0"/>
    <w:pPr>
      <w:adjustRightInd w:val="0"/>
      <w:snapToGrid w:val="0"/>
      <w:spacing w:line="360" w:lineRule="auto"/>
      <w:jc w:val="center"/>
    </w:pPr>
    <w:rPr>
      <w:color w:val="0000FF"/>
      <w:kern w:val="0"/>
      <w:sz w:val="24"/>
      <w:szCs w:val="21"/>
    </w:rPr>
  </w:style>
  <w:style w:type="character" w:customStyle="1" w:styleId="55">
    <w:name w:val="表格正文(康健城) Char"/>
    <w:link w:val="56"/>
    <w:qFormat/>
    <w:uiPriority w:val="0"/>
    <w:rPr>
      <w:kern w:val="2"/>
      <w:sz w:val="21"/>
      <w:szCs w:val="21"/>
    </w:rPr>
  </w:style>
  <w:style w:type="paragraph" w:customStyle="1" w:styleId="56">
    <w:name w:val="表格正文(康健城)"/>
    <w:basedOn w:val="1"/>
    <w:link w:val="55"/>
    <w:qFormat/>
    <w:uiPriority w:val="0"/>
    <w:pPr>
      <w:adjustRightInd w:val="0"/>
      <w:snapToGrid w:val="0"/>
      <w:jc w:val="center"/>
    </w:pPr>
    <w:rPr>
      <w:szCs w:val="21"/>
    </w:rPr>
  </w:style>
  <w:style w:type="character" w:customStyle="1" w:styleId="57">
    <w:name w:val="正文文本 字符"/>
    <w:link w:val="11"/>
    <w:qFormat/>
    <w:locked/>
    <w:uiPriority w:val="0"/>
    <w:rPr>
      <w:kern w:val="2"/>
      <w:sz w:val="21"/>
    </w:rPr>
  </w:style>
  <w:style w:type="character" w:customStyle="1" w:styleId="58">
    <w:name w:val="表格左齐 Char"/>
    <w:link w:val="59"/>
    <w:qFormat/>
    <w:locked/>
    <w:uiPriority w:val="0"/>
    <w:rPr>
      <w:rFonts w:ascii="Yu Mincho Light" w:hAnsi="楷体_GB2312" w:eastAsia="Yu Mincho Light"/>
      <w:color w:val="000000"/>
      <w:kern w:val="2"/>
      <w:sz w:val="24"/>
    </w:rPr>
  </w:style>
  <w:style w:type="paragraph" w:customStyle="1" w:styleId="59">
    <w:name w:val="表格左齐"/>
    <w:basedOn w:val="1"/>
    <w:link w:val="58"/>
    <w:qFormat/>
    <w:uiPriority w:val="0"/>
    <w:pPr>
      <w:adjustRightInd w:val="0"/>
      <w:snapToGrid w:val="0"/>
      <w:ind w:left="10" w:leftChars="10"/>
    </w:pPr>
    <w:rPr>
      <w:rFonts w:ascii="Yu Mincho Light" w:hAnsi="楷体_GB2312" w:eastAsia="Yu Mincho Light"/>
      <w:color w:val="000000"/>
      <w:sz w:val="24"/>
      <w:szCs w:val="24"/>
    </w:rPr>
  </w:style>
  <w:style w:type="character" w:customStyle="1" w:styleId="60">
    <w:name w:val="正文-1 Char"/>
    <w:link w:val="61"/>
    <w:qFormat/>
    <w:locked/>
    <w:uiPriority w:val="0"/>
    <w:rPr>
      <w:kern w:val="2"/>
      <w:sz w:val="24"/>
      <w:lang w:val="en-US" w:eastAsia="zh-CN"/>
    </w:rPr>
  </w:style>
  <w:style w:type="paragraph" w:customStyle="1" w:styleId="61">
    <w:name w:val="正文-1"/>
    <w:link w:val="60"/>
    <w:qFormat/>
    <w:uiPriority w:val="0"/>
    <w:pPr>
      <w:spacing w:line="480" w:lineRule="exact"/>
      <w:ind w:firstLine="200" w:firstLineChars="200"/>
      <w:jc w:val="both"/>
    </w:pPr>
    <w:rPr>
      <w:rFonts w:ascii="Arial Unicode MS" w:hAnsi="Arial Unicode MS" w:eastAsia="等线" w:cs="等线"/>
      <w:kern w:val="2"/>
      <w:sz w:val="24"/>
      <w:lang w:val="en-US" w:eastAsia="zh-CN" w:bidi="ar-SA"/>
    </w:rPr>
  </w:style>
  <w:style w:type="character" w:customStyle="1" w:styleId="62">
    <w:name w:val="正文01 Char"/>
    <w:link w:val="63"/>
    <w:qFormat/>
    <w:locked/>
    <w:uiPriority w:val="0"/>
    <w:rPr>
      <w:sz w:val="24"/>
    </w:rPr>
  </w:style>
  <w:style w:type="paragraph" w:customStyle="1" w:styleId="63">
    <w:name w:val="正文01"/>
    <w:basedOn w:val="1"/>
    <w:link w:val="62"/>
    <w:qFormat/>
    <w:uiPriority w:val="0"/>
    <w:pPr>
      <w:widowControl/>
      <w:spacing w:line="460" w:lineRule="exact"/>
      <w:jc w:val="left"/>
    </w:pPr>
    <w:rPr>
      <w:kern w:val="0"/>
      <w:sz w:val="24"/>
      <w:szCs w:val="24"/>
    </w:rPr>
  </w:style>
  <w:style w:type="character" w:customStyle="1" w:styleId="64">
    <w:name w:val="apple-style-span"/>
    <w:qFormat/>
    <w:uiPriority w:val="0"/>
    <w:rPr>
      <w:rFonts w:cs="Arial Unicode MS"/>
    </w:rPr>
  </w:style>
  <w:style w:type="character" w:customStyle="1" w:styleId="65">
    <w:name w:val="正文格式 Char"/>
    <w:link w:val="66"/>
    <w:qFormat/>
    <w:uiPriority w:val="0"/>
    <w:rPr>
      <w:rFonts w:eastAsia="Yu Mincho Light"/>
      <w:kern w:val="2"/>
      <w:sz w:val="28"/>
      <w:szCs w:val="28"/>
    </w:rPr>
  </w:style>
  <w:style w:type="paragraph" w:customStyle="1" w:styleId="66">
    <w:name w:val="正文格式"/>
    <w:next w:val="1"/>
    <w:link w:val="65"/>
    <w:qFormat/>
    <w:uiPriority w:val="0"/>
    <w:pPr>
      <w:spacing w:before="156" w:beforeLines="50" w:line="440" w:lineRule="exact"/>
      <w:ind w:firstLine="560" w:firstLineChars="200"/>
    </w:pPr>
    <w:rPr>
      <w:rFonts w:ascii="Arial Unicode MS" w:hAnsi="Arial Unicode MS" w:eastAsia="Yu Mincho Light" w:cs="Arial Unicode MS"/>
      <w:kern w:val="2"/>
      <w:sz w:val="28"/>
      <w:szCs w:val="28"/>
      <w:lang w:val="en-US" w:eastAsia="zh-CN" w:bidi="ar-SA"/>
    </w:rPr>
  </w:style>
  <w:style w:type="character" w:customStyle="1" w:styleId="67">
    <w:name w:val="样式 宋体 小四 行距: 1.5 倍行距 Char"/>
    <w:link w:val="68"/>
    <w:qFormat/>
    <w:locked/>
    <w:uiPriority w:val="0"/>
    <w:rPr>
      <w:rFonts w:eastAsia="等线"/>
      <w:kern w:val="2"/>
      <w:sz w:val="24"/>
      <w:lang w:val="en-US" w:eastAsia="zh-CN"/>
    </w:rPr>
  </w:style>
  <w:style w:type="paragraph" w:customStyle="1" w:styleId="68">
    <w:name w:val="样式 宋体 小四 行距: 1.5 倍行距"/>
    <w:basedOn w:val="1"/>
    <w:link w:val="67"/>
    <w:qFormat/>
    <w:uiPriority w:val="0"/>
    <w:pPr>
      <w:spacing w:line="360" w:lineRule="auto"/>
      <w:ind w:firstLine="480" w:firstLineChars="200"/>
    </w:pPr>
    <w:rPr>
      <w:rFonts w:cs="等线"/>
      <w:sz w:val="24"/>
    </w:rPr>
  </w:style>
  <w:style w:type="character" w:customStyle="1" w:styleId="69">
    <w:name w:val="表格 Char"/>
    <w:link w:val="70"/>
    <w:qFormat/>
    <w:locked/>
    <w:uiPriority w:val="0"/>
    <w:rPr>
      <w:rFonts w:ascii="等线" w:hAnsi="等线" w:eastAsia="等线"/>
      <w:kern w:val="2"/>
      <w:sz w:val="24"/>
      <w:lang w:val="en-US" w:eastAsia="zh-CN"/>
    </w:rPr>
  </w:style>
  <w:style w:type="paragraph" w:customStyle="1" w:styleId="70">
    <w:name w:val="表格"/>
    <w:basedOn w:val="1"/>
    <w:link w:val="69"/>
    <w:qFormat/>
    <w:uiPriority w:val="0"/>
    <w:pPr>
      <w:jc w:val="center"/>
    </w:pPr>
    <w:rPr>
      <w:rFonts w:ascii="等线" w:hAnsi="等线"/>
      <w:szCs w:val="24"/>
    </w:rPr>
  </w:style>
  <w:style w:type="character" w:customStyle="1" w:styleId="71">
    <w:name w:val="正文(康健城) Char"/>
    <w:link w:val="72"/>
    <w:qFormat/>
    <w:locked/>
    <w:uiPriority w:val="0"/>
    <w:rPr>
      <w:sz w:val="24"/>
    </w:rPr>
  </w:style>
  <w:style w:type="paragraph" w:customStyle="1" w:styleId="72">
    <w:name w:val="正文(康健城)"/>
    <w:basedOn w:val="1"/>
    <w:link w:val="71"/>
    <w:qFormat/>
    <w:uiPriority w:val="0"/>
    <w:pPr>
      <w:adjustRightInd w:val="0"/>
      <w:snapToGrid w:val="0"/>
      <w:spacing w:line="360" w:lineRule="auto"/>
      <w:ind w:firstLine="480" w:firstLineChars="200"/>
      <w:textAlignment w:val="baseline"/>
    </w:pPr>
    <w:rPr>
      <w:kern w:val="0"/>
      <w:sz w:val="24"/>
      <w:szCs w:val="24"/>
    </w:rPr>
  </w:style>
  <w:style w:type="character" w:customStyle="1" w:styleId="73">
    <w:name w:val="样式 标题 3小标题小节标题标题3H3h33rd level第二层条标题4标题 3 Char标题 3 Cha...1 Char"/>
    <w:link w:val="74"/>
    <w:qFormat/>
    <w:locked/>
    <w:uiPriority w:val="0"/>
    <w:rPr>
      <w:rFonts w:eastAsia="等线"/>
      <w:b/>
      <w:sz w:val="24"/>
      <w:lang w:val="en-US" w:eastAsia="zh-CN"/>
    </w:rPr>
  </w:style>
  <w:style w:type="paragraph" w:customStyle="1" w:styleId="74">
    <w:name w:val="样式 标题 3小标题小节标题标题3H3h33rd level第二层条标题4标题 3 Char标题 3 Cha...1"/>
    <w:basedOn w:val="4"/>
    <w:link w:val="73"/>
    <w:qFormat/>
    <w:uiPriority w:val="0"/>
    <w:pPr>
      <w:spacing w:before="60" w:after="60" w:line="360" w:lineRule="auto"/>
      <w:jc w:val="left"/>
    </w:pPr>
    <w:rPr>
      <w:bCs/>
      <w:sz w:val="24"/>
      <w:shd w:val="clear" w:color="auto" w:fill="auto"/>
    </w:rPr>
  </w:style>
  <w:style w:type="character" w:customStyle="1" w:styleId="75">
    <w:name w:val="表内容 Char"/>
    <w:link w:val="76"/>
    <w:qFormat/>
    <w:uiPriority w:val="0"/>
    <w:rPr>
      <w:rFonts w:eastAsia="Arial"/>
      <w:spacing w:val="-10"/>
      <w:kern w:val="2"/>
      <w:sz w:val="21"/>
      <w:szCs w:val="24"/>
    </w:rPr>
  </w:style>
  <w:style w:type="paragraph" w:customStyle="1" w:styleId="76">
    <w:name w:val="表内容"/>
    <w:basedOn w:val="77"/>
    <w:link w:val="75"/>
    <w:qFormat/>
    <w:uiPriority w:val="0"/>
    <w:pPr>
      <w:framePr w:hSpace="0" w:wrap="auto" w:hAnchor="text" w:yAlign="inline"/>
      <w:adjustRightInd/>
      <w:snapToGrid/>
    </w:pPr>
    <w:rPr>
      <w:rFonts w:eastAsia="Arial"/>
      <w:b w:val="0"/>
      <w:spacing w:val="-10"/>
      <w:sz w:val="21"/>
    </w:rPr>
  </w:style>
  <w:style w:type="paragraph" w:customStyle="1" w:styleId="77">
    <w:name w:val="表头"/>
    <w:basedOn w:val="1"/>
    <w:qFormat/>
    <w:uiPriority w:val="0"/>
    <w:pPr>
      <w:framePr w:hSpace="180" w:wrap="around" w:vAnchor="margin" w:hAnchor="margin" w:y="542"/>
      <w:adjustRightInd w:val="0"/>
      <w:snapToGrid w:val="0"/>
      <w:jc w:val="center"/>
    </w:pPr>
    <w:rPr>
      <w:b/>
      <w:sz w:val="24"/>
      <w:szCs w:val="24"/>
    </w:rPr>
  </w:style>
  <w:style w:type="character" w:customStyle="1" w:styleId="78">
    <w:name w:val="表格文字 Char Char"/>
    <w:link w:val="79"/>
    <w:qFormat/>
    <w:locked/>
    <w:uiPriority w:val="0"/>
    <w:rPr>
      <w:sz w:val="21"/>
    </w:rPr>
  </w:style>
  <w:style w:type="paragraph" w:customStyle="1" w:styleId="79">
    <w:name w:val="表格文字"/>
    <w:basedOn w:val="1"/>
    <w:link w:val="78"/>
    <w:qFormat/>
    <w:uiPriority w:val="0"/>
    <w:pPr>
      <w:autoSpaceDE w:val="0"/>
      <w:autoSpaceDN w:val="0"/>
      <w:adjustRightInd w:val="0"/>
      <w:spacing w:before="60" w:after="60"/>
      <w:jc w:val="left"/>
      <w:textAlignment w:val="bottom"/>
    </w:pPr>
    <w:rPr>
      <w:kern w:val="0"/>
    </w:rPr>
  </w:style>
  <w:style w:type="character" w:customStyle="1" w:styleId="80">
    <w:name w:val="报告 Char"/>
    <w:link w:val="81"/>
    <w:qFormat/>
    <w:locked/>
    <w:uiPriority w:val="0"/>
    <w:rPr>
      <w:rFonts w:ascii="仿宋_GB2312" w:hAnsi="仿宋_GB2312"/>
      <w:sz w:val="24"/>
    </w:rPr>
  </w:style>
  <w:style w:type="paragraph" w:customStyle="1" w:styleId="81">
    <w:name w:val="报告"/>
    <w:basedOn w:val="1"/>
    <w:link w:val="80"/>
    <w:qFormat/>
    <w:uiPriority w:val="0"/>
    <w:pPr>
      <w:adjustRightInd w:val="0"/>
      <w:spacing w:line="360" w:lineRule="auto"/>
      <w:ind w:firstLine="505"/>
      <w:textAlignment w:val="center"/>
    </w:pPr>
    <w:rPr>
      <w:rFonts w:ascii="仿宋_GB2312" w:hAnsi="仿宋_GB2312"/>
      <w:kern w:val="0"/>
      <w:sz w:val="24"/>
    </w:rPr>
  </w:style>
  <w:style w:type="character" w:customStyle="1" w:styleId="82">
    <w:name w:val="tit031"/>
    <w:qFormat/>
    <w:uiPriority w:val="0"/>
    <w:rPr>
      <w:b/>
      <w:color w:val="990000"/>
      <w:spacing w:val="15"/>
      <w:sz w:val="24"/>
    </w:rPr>
  </w:style>
  <w:style w:type="character" w:customStyle="1" w:styleId="83">
    <w:name w:val="unnamed11"/>
    <w:qFormat/>
    <w:uiPriority w:val="0"/>
    <w:rPr>
      <w:rFonts w:cs="Arial Unicode MS"/>
    </w:rPr>
  </w:style>
  <w:style w:type="character" w:customStyle="1" w:styleId="84">
    <w:name w:val="页眉 字符"/>
    <w:link w:val="19"/>
    <w:qFormat/>
    <w:locked/>
    <w:uiPriority w:val="99"/>
    <w:rPr>
      <w:rFonts w:eastAsia="等线"/>
      <w:kern w:val="2"/>
      <w:sz w:val="18"/>
      <w:lang w:val="en-US" w:eastAsia="zh-CN"/>
    </w:rPr>
  </w:style>
  <w:style w:type="character" w:customStyle="1" w:styleId="85">
    <w:name w:val="表题 Char"/>
    <w:link w:val="86"/>
    <w:qFormat/>
    <w:locked/>
    <w:uiPriority w:val="0"/>
    <w:rPr>
      <w:rFonts w:hAnsi="等线"/>
      <w:b/>
      <w:kern w:val="2"/>
      <w:sz w:val="24"/>
      <w:lang w:val="en-US" w:eastAsia="zh-CN"/>
    </w:rPr>
  </w:style>
  <w:style w:type="paragraph" w:customStyle="1" w:styleId="86">
    <w:name w:val="表题"/>
    <w:link w:val="85"/>
    <w:qFormat/>
    <w:uiPriority w:val="0"/>
    <w:pPr>
      <w:spacing w:line="480" w:lineRule="exact"/>
      <w:jc w:val="center"/>
    </w:pPr>
    <w:rPr>
      <w:rFonts w:ascii="Arial Unicode MS" w:hAnsi="等线" w:eastAsia="等线" w:cs="Arial Unicode MS"/>
      <w:b/>
      <w:kern w:val="2"/>
      <w:sz w:val="21"/>
      <w:szCs w:val="24"/>
      <w:lang w:val="en-US" w:eastAsia="zh-CN" w:bidi="ar-SA"/>
    </w:rPr>
  </w:style>
  <w:style w:type="character" w:customStyle="1" w:styleId="87">
    <w:name w:val="p141"/>
    <w:qFormat/>
    <w:uiPriority w:val="0"/>
    <w:rPr>
      <w:rFonts w:ascii="等线" w:hAnsi="等线" w:eastAsia="等线"/>
      <w:sz w:val="21"/>
    </w:rPr>
  </w:style>
  <w:style w:type="character" w:customStyle="1" w:styleId="88">
    <w:name w:val="样式 样式 样式 首行缩进:  2 字符1 + 首行缩进:  2 字符 + 首行缩进:  2 字符 Char"/>
    <w:link w:val="89"/>
    <w:qFormat/>
    <w:locked/>
    <w:uiPriority w:val="0"/>
    <w:rPr>
      <w:rFonts w:eastAsia="等线"/>
      <w:sz w:val="24"/>
      <w:lang w:val="en-US" w:eastAsia="zh-CN"/>
    </w:rPr>
  </w:style>
  <w:style w:type="paragraph" w:customStyle="1" w:styleId="89">
    <w:name w:val="样式 样式 样式 首行缩进:  2 字符1 + 首行缩进:  2 字符 + 首行缩进:  2 字符"/>
    <w:basedOn w:val="1"/>
    <w:link w:val="88"/>
    <w:qFormat/>
    <w:uiPriority w:val="0"/>
    <w:pPr>
      <w:widowControl/>
      <w:spacing w:line="360" w:lineRule="auto"/>
      <w:ind w:firstLine="480" w:firstLineChars="200"/>
    </w:pPr>
    <w:rPr>
      <w:rFonts w:cs="等线"/>
      <w:kern w:val="0"/>
      <w:sz w:val="24"/>
    </w:rPr>
  </w:style>
  <w:style w:type="character" w:customStyle="1" w:styleId="90">
    <w:name w:val="表格文字1 Char"/>
    <w:link w:val="91"/>
    <w:qFormat/>
    <w:locked/>
    <w:uiPriority w:val="0"/>
    <w:rPr>
      <w:rFonts w:eastAsia="等线"/>
      <w:kern w:val="2"/>
      <w:sz w:val="24"/>
      <w:lang w:val="zh-CN" w:eastAsia="zh-CN"/>
    </w:rPr>
  </w:style>
  <w:style w:type="paragraph" w:customStyle="1" w:styleId="91">
    <w:name w:val="表格文字1"/>
    <w:basedOn w:val="1"/>
    <w:link w:val="90"/>
    <w:qFormat/>
    <w:uiPriority w:val="0"/>
    <w:pPr>
      <w:spacing w:line="400" w:lineRule="atLeast"/>
      <w:jc w:val="center"/>
    </w:pPr>
    <w:rPr>
      <w:sz w:val="24"/>
      <w:lang w:val="zh-CN"/>
    </w:rPr>
  </w:style>
  <w:style w:type="character" w:customStyle="1" w:styleId="92">
    <w:name w:val="占位符文本1"/>
    <w:semiHidden/>
    <w:qFormat/>
    <w:uiPriority w:val="0"/>
    <w:rPr>
      <w:rFonts w:cs="Arial Unicode MS"/>
      <w:color w:val="808080"/>
    </w:rPr>
  </w:style>
  <w:style w:type="character" w:customStyle="1" w:styleId="93">
    <w:name w:val="No Spacing Char"/>
    <w:link w:val="94"/>
    <w:qFormat/>
    <w:locked/>
    <w:uiPriority w:val="0"/>
    <w:rPr>
      <w:rFonts w:ascii="Verdana" w:hAnsi="Verdana" w:eastAsia="Verdana" w:cs="Arial Unicode MS"/>
      <w:sz w:val="22"/>
      <w:szCs w:val="22"/>
      <w:lang w:val="en-US" w:eastAsia="zh-CN" w:bidi="ar-SA"/>
    </w:rPr>
  </w:style>
  <w:style w:type="paragraph" w:customStyle="1" w:styleId="94">
    <w:name w:val="无间隔1"/>
    <w:link w:val="93"/>
    <w:qFormat/>
    <w:uiPriority w:val="0"/>
    <w:rPr>
      <w:rFonts w:ascii="Verdana" w:hAnsi="Verdana" w:eastAsia="Verdana" w:cs="Arial Unicode MS"/>
      <w:sz w:val="22"/>
      <w:szCs w:val="22"/>
      <w:lang w:val="en-US" w:eastAsia="zh-CN" w:bidi="ar-SA"/>
    </w:rPr>
  </w:style>
  <w:style w:type="character" w:customStyle="1" w:styleId="95">
    <w:name w:val="p Char"/>
    <w:link w:val="96"/>
    <w:qFormat/>
    <w:locked/>
    <w:uiPriority w:val="0"/>
  </w:style>
  <w:style w:type="paragraph" w:customStyle="1" w:styleId="96">
    <w:name w:val="p"/>
    <w:basedOn w:val="97"/>
    <w:link w:val="95"/>
    <w:qFormat/>
    <w:uiPriority w:val="0"/>
    <w:pPr>
      <w:adjustRightInd w:val="0"/>
      <w:snapToGrid w:val="0"/>
      <w:ind w:firstLine="1446" w:firstLineChars="200"/>
      <w:jc w:val="left"/>
    </w:pPr>
    <w:rPr>
      <w:kern w:val="0"/>
      <w:sz w:val="20"/>
    </w:rPr>
  </w:style>
  <w:style w:type="paragraph" w:customStyle="1" w:styleId="97">
    <w:name w:val="样式1"/>
    <w:basedOn w:val="1"/>
    <w:qFormat/>
    <w:uiPriority w:val="0"/>
    <w:pPr>
      <w:spacing w:line="360" w:lineRule="auto"/>
      <w:ind w:firstLine="510"/>
    </w:pPr>
    <w:rPr>
      <w:sz w:val="24"/>
    </w:rPr>
  </w:style>
  <w:style w:type="character" w:customStyle="1" w:styleId="98">
    <w:name w:val="-表格 Char"/>
    <w:link w:val="99"/>
    <w:qFormat/>
    <w:locked/>
    <w:uiPriority w:val="0"/>
    <w:rPr>
      <w:rFonts w:ascii="等线" w:eastAsia="等线"/>
      <w:snapToGrid w:val="0"/>
      <w:kern w:val="2"/>
      <w:sz w:val="21"/>
    </w:rPr>
  </w:style>
  <w:style w:type="paragraph" w:customStyle="1" w:styleId="99">
    <w:name w:val="-表格"/>
    <w:basedOn w:val="70"/>
    <w:next w:val="1"/>
    <w:link w:val="98"/>
    <w:qFormat/>
    <w:uiPriority w:val="0"/>
    <w:pPr>
      <w:widowControl/>
      <w:tabs>
        <w:tab w:val="left" w:pos="3696"/>
      </w:tabs>
    </w:pPr>
    <w:rPr>
      <w:szCs w:val="20"/>
    </w:rPr>
  </w:style>
  <w:style w:type="character" w:customStyle="1" w:styleId="100">
    <w:name w:val="正文缩进 字符1"/>
    <w:link w:val="6"/>
    <w:qFormat/>
    <w:locked/>
    <w:uiPriority w:val="0"/>
    <w:rPr>
      <w:kern w:val="2"/>
      <w:sz w:val="21"/>
    </w:rPr>
  </w:style>
  <w:style w:type="character" w:customStyle="1" w:styleId="101">
    <w:name w:val="bumpedfont15"/>
    <w:qFormat/>
    <w:uiPriority w:val="0"/>
  </w:style>
  <w:style w:type="character" w:customStyle="1" w:styleId="102">
    <w:name w:val="报告 Char Char"/>
    <w:qFormat/>
    <w:uiPriority w:val="0"/>
    <w:rPr>
      <w:rFonts w:eastAsia="等线"/>
      <w:sz w:val="24"/>
      <w:lang w:val="en-US" w:eastAsia="zh-CN" w:bidi="ar-SA"/>
    </w:rPr>
  </w:style>
  <w:style w:type="character" w:customStyle="1" w:styleId="103">
    <w:name w:val="纯文本 Char1"/>
    <w:qFormat/>
    <w:uiPriority w:val="0"/>
    <w:rPr>
      <w:rFonts w:ascii="等线" w:hAnsi="Wingdings 2"/>
      <w:kern w:val="2"/>
      <w:sz w:val="21"/>
    </w:rPr>
  </w:style>
  <w:style w:type="paragraph" w:customStyle="1" w:styleId="104">
    <w:name w:val="正文文本缩进1"/>
    <w:basedOn w:val="1"/>
    <w:qFormat/>
    <w:uiPriority w:val="0"/>
    <w:pPr>
      <w:spacing w:line="336" w:lineRule="auto"/>
      <w:ind w:firstLine="540"/>
    </w:pPr>
    <w:rPr>
      <w:spacing w:val="10"/>
      <w:sz w:val="24"/>
    </w:rPr>
  </w:style>
  <w:style w:type="paragraph" w:customStyle="1" w:styleId="105">
    <w:name w:val="表格样式"/>
    <w:basedOn w:val="1"/>
    <w:qFormat/>
    <w:uiPriority w:val="0"/>
    <w:pPr>
      <w:adjustRightInd w:val="0"/>
      <w:snapToGrid w:val="0"/>
      <w:jc w:val="center"/>
      <w:textAlignment w:val="center"/>
    </w:pPr>
    <w:rPr>
      <w:sz w:val="28"/>
    </w:rPr>
  </w:style>
  <w:style w:type="paragraph" w:customStyle="1" w:styleId="106">
    <w:name w:val="报告表正文"/>
    <w:basedOn w:val="1"/>
    <w:qFormat/>
    <w:uiPriority w:val="0"/>
    <w:pPr>
      <w:adjustRightInd w:val="0"/>
      <w:spacing w:line="312" w:lineRule="auto"/>
      <w:ind w:left="113" w:right="113" w:firstLine="482"/>
      <w:jc w:val="left"/>
      <w:textAlignment w:val="baseline"/>
    </w:pPr>
    <w:rPr>
      <w:kern w:val="0"/>
      <w:sz w:val="24"/>
    </w:rPr>
  </w:style>
  <w:style w:type="paragraph" w:customStyle="1" w:styleId="107">
    <w:name w:val="Char Char Char"/>
    <w:basedOn w:val="1"/>
    <w:qFormat/>
    <w:uiPriority w:val="0"/>
    <w:pPr>
      <w:spacing w:line="360" w:lineRule="auto"/>
    </w:pPr>
    <w:rPr>
      <w:sz w:val="24"/>
      <w:szCs w:val="24"/>
    </w:rPr>
  </w:style>
  <w:style w:type="paragraph" w:customStyle="1" w:styleId="108">
    <w:name w:val="Char Char Char Char"/>
    <w:basedOn w:val="1"/>
    <w:qFormat/>
    <w:uiPriority w:val="0"/>
    <w:rPr>
      <w:sz w:val="24"/>
    </w:rPr>
  </w:style>
  <w:style w:type="paragraph" w:customStyle="1" w:styleId="109">
    <w:name w:val="标题1"/>
    <w:basedOn w:val="1"/>
    <w:next w:val="1"/>
    <w:qFormat/>
    <w:uiPriority w:val="0"/>
    <w:pPr>
      <w:numPr>
        <w:ilvl w:val="0"/>
        <w:numId w:val="1"/>
      </w:numPr>
      <w:spacing w:line="440" w:lineRule="exact"/>
    </w:pPr>
    <w:rPr>
      <w:sz w:val="24"/>
    </w:rPr>
  </w:style>
  <w:style w:type="paragraph" w:customStyle="1" w:styleId="110">
    <w:name w:val="正文(首缩进)"/>
    <w:basedOn w:val="1"/>
    <w:qFormat/>
    <w:uiPriority w:val="0"/>
    <w:pPr>
      <w:adjustRightInd w:val="0"/>
      <w:snapToGrid w:val="0"/>
      <w:spacing w:line="360" w:lineRule="auto"/>
      <w:ind w:firstLine="200" w:firstLineChars="200"/>
    </w:pPr>
    <w:rPr>
      <w:rFonts w:ascii="楷体_GB2312" w:hAnsi="楷体_GB2312" w:cs="楷体_GB2312"/>
      <w:sz w:val="24"/>
      <w:szCs w:val="28"/>
    </w:rPr>
  </w:style>
  <w:style w:type="paragraph" w:customStyle="1" w:styleId="111">
    <w:name w:val="xl31"/>
    <w:basedOn w:val="1"/>
    <w:qFormat/>
    <w:uiPriority w:val="0"/>
    <w:pPr>
      <w:widowControl/>
      <w:spacing w:before="100" w:beforeAutospacing="1" w:after="100" w:afterAutospacing="1"/>
      <w:jc w:val="center"/>
      <w:textAlignment w:val="center"/>
    </w:pPr>
    <w:rPr>
      <w:rFonts w:ascii="Courier New" w:hAnsi="Courier New" w:eastAsia="Arial Unicode MS"/>
      <w:kern w:val="0"/>
      <w:sz w:val="24"/>
      <w:szCs w:val="24"/>
    </w:rPr>
  </w:style>
  <w:style w:type="paragraph" w:customStyle="1" w:styleId="112">
    <w:name w:val="1文章"/>
    <w:basedOn w:val="1"/>
    <w:qFormat/>
    <w:uiPriority w:val="0"/>
    <w:pPr>
      <w:spacing w:line="360" w:lineRule="auto"/>
      <w:ind w:firstLine="573"/>
    </w:pPr>
    <w:rPr>
      <w:rFonts w:eastAsia="Cambria Math"/>
      <w:sz w:val="28"/>
    </w:rPr>
  </w:style>
  <w:style w:type="paragraph" w:customStyle="1" w:styleId="113">
    <w:name w:val="报告书表格"/>
    <w:basedOn w:val="1"/>
    <w:qFormat/>
    <w:uiPriority w:val="0"/>
    <w:pPr>
      <w:adjustRightInd w:val="0"/>
      <w:spacing w:before="60" w:after="60" w:line="240" w:lineRule="atLeast"/>
      <w:jc w:val="center"/>
      <w:textAlignment w:val="baseline"/>
    </w:pPr>
    <w:rPr>
      <w:kern w:val="0"/>
    </w:rPr>
  </w:style>
  <w:style w:type="paragraph" w:customStyle="1" w:styleId="114">
    <w:name w:val="xl2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eastAsia="Arial Unicode MS"/>
      <w:kern w:val="0"/>
      <w:sz w:val="24"/>
    </w:rPr>
  </w:style>
  <w:style w:type="paragraph" w:customStyle="1" w:styleId="115">
    <w:name w:val="样式 正文"/>
    <w:basedOn w:val="1"/>
    <w:next w:val="1"/>
    <w:qFormat/>
    <w:uiPriority w:val="0"/>
    <w:pPr>
      <w:spacing w:line="360" w:lineRule="auto"/>
      <w:ind w:firstLine="200" w:firstLineChars="200"/>
    </w:pPr>
    <w:rPr>
      <w:sz w:val="24"/>
      <w:szCs w:val="32"/>
    </w:rPr>
  </w:style>
  <w:style w:type="paragraph" w:customStyle="1" w:styleId="116">
    <w:name w:val="01表格"/>
    <w:basedOn w:val="1"/>
    <w:next w:val="1"/>
    <w:qFormat/>
    <w:uiPriority w:val="0"/>
    <w:pPr>
      <w:overflowPunct w:val="0"/>
      <w:topLinePunct/>
      <w:adjustRightInd w:val="0"/>
      <w:snapToGrid w:val="0"/>
      <w:jc w:val="center"/>
    </w:pPr>
    <w:rPr>
      <w:kern w:val="0"/>
      <w:szCs w:val="21"/>
    </w:rPr>
  </w:style>
  <w:style w:type="paragraph" w:customStyle="1" w:styleId="117">
    <w:name w:val="标题-3"/>
    <w:basedOn w:val="1"/>
    <w:qFormat/>
    <w:uiPriority w:val="0"/>
    <w:pPr>
      <w:spacing w:line="480" w:lineRule="exact"/>
      <w:ind w:firstLine="482" w:firstLineChars="200"/>
    </w:pPr>
    <w:rPr>
      <w:rFonts w:cs="等线"/>
      <w:b/>
      <w:bCs/>
      <w:sz w:val="24"/>
    </w:rPr>
  </w:style>
  <w:style w:type="paragraph" w:customStyle="1" w:styleId="118">
    <w:name w:val="表格正文"/>
    <w:basedOn w:val="1"/>
    <w:qFormat/>
    <w:uiPriority w:val="0"/>
    <w:pPr>
      <w:adjustRightInd w:val="0"/>
      <w:spacing w:line="240" w:lineRule="atLeast"/>
      <w:textAlignment w:val="baseline"/>
    </w:pPr>
  </w:style>
  <w:style w:type="paragraph" w:customStyle="1" w:styleId="119">
    <w:name w:val="中文报告书样式"/>
    <w:basedOn w:val="1"/>
    <w:qFormat/>
    <w:uiPriority w:val="0"/>
    <w:pPr>
      <w:adjustRightInd w:val="0"/>
      <w:spacing w:line="480" w:lineRule="atLeast"/>
      <w:ind w:firstLine="482"/>
      <w:textAlignment w:val="baseline"/>
    </w:pPr>
    <w:rPr>
      <w:kern w:val="24"/>
      <w:sz w:val="24"/>
    </w:rPr>
  </w:style>
  <w:style w:type="paragraph" w:customStyle="1" w:styleId="120">
    <w:name w:val="Char Char Char Char Char Char Char Char Char"/>
    <w:basedOn w:val="1"/>
    <w:qFormat/>
    <w:uiPriority w:val="0"/>
    <w:rPr>
      <w:sz w:val="24"/>
    </w:rPr>
  </w:style>
  <w:style w:type="paragraph" w:customStyle="1" w:styleId="121">
    <w:name w:val="样式 小四 行距: 1.5 倍行距 首行缩进:  2 字符"/>
    <w:basedOn w:val="1"/>
    <w:qFormat/>
    <w:uiPriority w:val="0"/>
    <w:pPr>
      <w:spacing w:line="360" w:lineRule="auto"/>
      <w:ind w:firstLine="200" w:firstLineChars="200"/>
    </w:pPr>
    <w:rPr>
      <w:rFonts w:cs="等线"/>
      <w:sz w:val="24"/>
    </w:rPr>
  </w:style>
  <w:style w:type="paragraph" w:customStyle="1" w:styleId="122">
    <w:name w:val="Char Char Char Char Char Char Char Char Char1 Char"/>
    <w:basedOn w:val="1"/>
    <w:qFormat/>
    <w:uiPriority w:val="0"/>
  </w:style>
  <w:style w:type="paragraph" w:customStyle="1" w:styleId="123">
    <w:name w:val="流程图"/>
    <w:basedOn w:val="1"/>
    <w:qFormat/>
    <w:uiPriority w:val="0"/>
    <w:pPr>
      <w:tabs>
        <w:tab w:val="center" w:pos="0"/>
      </w:tabs>
    </w:pPr>
    <w:rPr>
      <w:rFonts w:eastAsia="Cambria Math"/>
      <w:sz w:val="24"/>
    </w:rPr>
  </w:style>
  <w:style w:type="paragraph" w:customStyle="1" w:styleId="124">
    <w:name w:val="默认段落字体 Para Char Char"/>
    <w:basedOn w:val="1"/>
    <w:qFormat/>
    <w:uiPriority w:val="0"/>
    <w:rPr>
      <w:rFonts w:ascii="Yu Mincho Light" w:hAnsi="等线" w:eastAsia="Yu Mincho Light"/>
      <w:sz w:val="24"/>
    </w:rPr>
  </w:style>
  <w:style w:type="paragraph" w:customStyle="1" w:styleId="125">
    <w:name w:val="正文首行缩进1"/>
    <w:basedOn w:val="11"/>
    <w:qFormat/>
    <w:uiPriority w:val="0"/>
    <w:pPr>
      <w:spacing w:after="120"/>
      <w:ind w:firstLine="420"/>
      <w:jc w:val="both"/>
    </w:pPr>
  </w:style>
  <w:style w:type="paragraph" w:customStyle="1" w:styleId="126">
    <w:name w:val="居中正文"/>
    <w:basedOn w:val="125"/>
    <w:qFormat/>
    <w:uiPriority w:val="0"/>
    <w:pPr>
      <w:adjustRightInd w:val="0"/>
      <w:spacing w:before="120" w:after="0" w:line="360" w:lineRule="auto"/>
      <w:ind w:firstLine="0"/>
      <w:jc w:val="center"/>
      <w:textAlignment w:val="baseline"/>
    </w:pPr>
    <w:rPr>
      <w:rFonts w:ascii="等线"/>
      <w:kern w:val="28"/>
      <w:sz w:val="24"/>
    </w:rPr>
  </w:style>
  <w:style w:type="paragraph" w:customStyle="1" w:styleId="127">
    <w:name w:val="Char Char Char1 Char Char Char Char Char Char Char Char Char Char Char Char Char"/>
    <w:basedOn w:val="1"/>
    <w:qFormat/>
    <w:uiPriority w:val="0"/>
  </w:style>
  <w:style w:type="paragraph" w:customStyle="1" w:styleId="128">
    <w:name w:val="Char Char Char Char Char Char Char Char Char Char"/>
    <w:basedOn w:val="1"/>
    <w:qFormat/>
    <w:uiPriority w:val="0"/>
    <w:pPr>
      <w:spacing w:line="240" w:lineRule="exact"/>
      <w:ind w:firstLine="200" w:firstLineChars="200"/>
    </w:pPr>
  </w:style>
  <w:style w:type="paragraph" w:customStyle="1" w:styleId="129">
    <w:name w:val="样式 正文缩进正文（首行缩进两字） + 宋体 行距: 1.5 倍行距"/>
    <w:basedOn w:val="6"/>
    <w:qFormat/>
    <w:uiPriority w:val="0"/>
    <w:pPr>
      <w:adjustRightInd w:val="0"/>
      <w:spacing w:line="300" w:lineRule="auto"/>
      <w:ind w:firstLine="482"/>
      <w:jc w:val="left"/>
      <w:textAlignment w:val="baseline"/>
    </w:pPr>
    <w:rPr>
      <w:rFonts w:ascii="等线" w:hAnsi="等线"/>
      <w:sz w:val="24"/>
    </w:rPr>
  </w:style>
  <w:style w:type="paragraph" w:customStyle="1" w:styleId="130">
    <w:name w:val="Char1"/>
    <w:basedOn w:val="1"/>
    <w:qFormat/>
    <w:uiPriority w:val="0"/>
    <w:rPr>
      <w:sz w:val="24"/>
    </w:rPr>
  </w:style>
  <w:style w:type="paragraph" w:customStyle="1" w:styleId="131">
    <w:name w:val="表"/>
    <w:basedOn w:val="1"/>
    <w:qFormat/>
    <w:uiPriority w:val="0"/>
    <w:pPr>
      <w:spacing w:line="240" w:lineRule="exact"/>
    </w:pPr>
    <w:rPr>
      <w:rFonts w:ascii="Yu Mincho Light" w:hAnsi="等线" w:eastAsia="Yu Mincho Light"/>
      <w:sz w:val="18"/>
    </w:rPr>
  </w:style>
  <w:style w:type="paragraph" w:customStyle="1" w:styleId="132">
    <w:name w:val="xl3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Courier New" w:hAnsi="Courier New" w:eastAsia="Arial Unicode MS"/>
      <w:kern w:val="0"/>
      <w:sz w:val="24"/>
    </w:rPr>
  </w:style>
  <w:style w:type="paragraph" w:customStyle="1" w:styleId="133">
    <w:name w:val="Char"/>
    <w:basedOn w:val="1"/>
    <w:qFormat/>
    <w:uiPriority w:val="0"/>
    <w:rPr>
      <w:sz w:val="18"/>
    </w:rPr>
  </w:style>
  <w:style w:type="paragraph" w:customStyle="1" w:styleId="134">
    <w:name w:val="zhang正文"/>
    <w:basedOn w:val="12"/>
    <w:qFormat/>
    <w:uiPriority w:val="0"/>
    <w:pPr>
      <w:autoSpaceDE w:val="0"/>
      <w:autoSpaceDN w:val="0"/>
      <w:adjustRightInd w:val="0"/>
      <w:snapToGrid w:val="0"/>
      <w:spacing w:line="500" w:lineRule="exact"/>
      <w:ind w:firstLine="539" w:firstLineChars="0"/>
      <w:textAlignment w:val="baseline"/>
    </w:pPr>
    <w:rPr>
      <w:rFonts w:eastAsia="Cambria Math"/>
      <w:kern w:val="0"/>
      <w:sz w:val="28"/>
    </w:rPr>
  </w:style>
  <w:style w:type="paragraph" w:customStyle="1" w:styleId="135">
    <w:name w:val="表格标题"/>
    <w:basedOn w:val="1"/>
    <w:qFormat/>
    <w:uiPriority w:val="0"/>
    <w:pPr>
      <w:spacing w:line="540" w:lineRule="exact"/>
      <w:jc w:val="center"/>
    </w:pPr>
    <w:rPr>
      <w:rFonts w:ascii="等线" w:hAnsi="等线"/>
      <w:b/>
      <w:sz w:val="24"/>
    </w:rPr>
  </w:style>
  <w:style w:type="paragraph" w:customStyle="1" w:styleId="136">
    <w:name w:val="段落"/>
    <w:basedOn w:val="1"/>
    <w:qFormat/>
    <w:uiPriority w:val="0"/>
    <w:pPr>
      <w:tabs>
        <w:tab w:val="left" w:pos="1021"/>
      </w:tabs>
      <w:adjustRightInd w:val="0"/>
      <w:snapToGrid w:val="0"/>
      <w:spacing w:line="360" w:lineRule="auto"/>
      <w:ind w:firstLine="560" w:firstLineChars="200"/>
    </w:pPr>
    <w:rPr>
      <w:color w:val="0000FF"/>
      <w:kern w:val="0"/>
      <w:sz w:val="28"/>
    </w:rPr>
  </w:style>
  <w:style w:type="paragraph" w:customStyle="1" w:styleId="137">
    <w:name w:val="Char2"/>
    <w:basedOn w:val="1"/>
    <w:qFormat/>
    <w:uiPriority w:val="0"/>
    <w:rPr>
      <w:szCs w:val="24"/>
    </w:rPr>
  </w:style>
  <w:style w:type="paragraph" w:customStyle="1" w:styleId="138">
    <w:name w:val="简单回函地址"/>
    <w:basedOn w:val="1"/>
    <w:qFormat/>
    <w:uiPriority w:val="0"/>
  </w:style>
  <w:style w:type="paragraph" w:customStyle="1" w:styleId="139">
    <w:name w:val="列表段落1"/>
    <w:basedOn w:val="1"/>
    <w:qFormat/>
    <w:uiPriority w:val="0"/>
    <w:pPr>
      <w:ind w:firstLine="420" w:firstLineChars="200"/>
    </w:pPr>
    <w:rPr>
      <w:rFonts w:ascii="Verdana" w:hAnsi="Verdana" w:eastAsia="Verdana"/>
      <w:szCs w:val="22"/>
    </w:rPr>
  </w:style>
  <w:style w:type="paragraph" w:customStyle="1" w:styleId="140">
    <w:name w:val="目录 31"/>
    <w:basedOn w:val="1"/>
    <w:next w:val="1"/>
    <w:qFormat/>
    <w:uiPriority w:val="0"/>
    <w:pPr>
      <w:spacing w:line="360" w:lineRule="auto"/>
    </w:pPr>
    <w:rPr>
      <w:spacing w:val="-6"/>
      <w:sz w:val="24"/>
    </w:rPr>
  </w:style>
  <w:style w:type="paragraph" w:customStyle="1" w:styleId="141">
    <w:name w:val="样式 报告表正文 + 首行缩进:  2 字符 行距: 1.5 倍行距"/>
    <w:basedOn w:val="1"/>
    <w:qFormat/>
    <w:uiPriority w:val="0"/>
    <w:pPr>
      <w:adjustRightInd w:val="0"/>
      <w:spacing w:line="360" w:lineRule="auto"/>
      <w:ind w:left="113" w:right="113" w:firstLine="480" w:firstLineChars="200"/>
    </w:pPr>
    <w:rPr>
      <w:rFonts w:cs="等线"/>
      <w:kern w:val="0"/>
      <w:sz w:val="24"/>
      <w:szCs w:val="24"/>
    </w:rPr>
  </w:style>
  <w:style w:type="paragraph" w:customStyle="1" w:styleId="142">
    <w:name w:val="样式 规划正文 + 仿宋_GB2312 三号 首行缩进:  2 字符 行距: 单倍行距"/>
    <w:basedOn w:val="1"/>
    <w:qFormat/>
    <w:uiPriority w:val="0"/>
    <w:pPr>
      <w:ind w:firstLine="560" w:firstLineChars="200"/>
    </w:pPr>
    <w:rPr>
      <w:rFonts w:ascii="Yu Mincho Light" w:eastAsia="Yu Mincho Light" w:cs="等线"/>
      <w:sz w:val="28"/>
      <w:szCs w:val="28"/>
    </w:rPr>
  </w:style>
  <w:style w:type="paragraph" w:customStyle="1" w:styleId="143">
    <w:name w:val="样式 样式4 + 首行缩进:  1.92 字符"/>
    <w:basedOn w:val="1"/>
    <w:qFormat/>
    <w:uiPriority w:val="0"/>
    <w:pPr>
      <w:snapToGrid w:val="0"/>
      <w:spacing w:line="300" w:lineRule="auto"/>
      <w:ind w:firstLine="538" w:firstLineChars="192"/>
    </w:pPr>
    <w:rPr>
      <w:sz w:val="28"/>
    </w:rPr>
  </w:style>
  <w:style w:type="paragraph" w:customStyle="1" w:styleId="144">
    <w:name w:val="xl30"/>
    <w:basedOn w:val="1"/>
    <w:qFormat/>
    <w:uiPriority w:val="0"/>
    <w:pPr>
      <w:widowControl/>
      <w:pBdr>
        <w:left w:val="single" w:color="auto" w:sz="12" w:space="0"/>
        <w:right w:val="single" w:color="auto" w:sz="4" w:space="0"/>
      </w:pBdr>
      <w:spacing w:before="100" w:after="100"/>
      <w:jc w:val="center"/>
    </w:pPr>
    <w:rPr>
      <w:rFonts w:ascii="等线" w:hAnsi="等线"/>
      <w:kern w:val="0"/>
      <w:sz w:val="24"/>
    </w:rPr>
  </w:style>
  <w:style w:type="paragraph" w:customStyle="1" w:styleId="145">
    <w:name w:val="_Style 12"/>
    <w:basedOn w:val="1"/>
    <w:next w:val="22"/>
    <w:qFormat/>
    <w:uiPriority w:val="0"/>
    <w:pPr>
      <w:spacing w:line="360" w:lineRule="auto"/>
    </w:pPr>
    <w:rPr>
      <w:rFonts w:eastAsia="Arial"/>
      <w:sz w:val="28"/>
    </w:rPr>
  </w:style>
  <w:style w:type="paragraph" w:customStyle="1" w:styleId="146">
    <w:name w:val="修订1"/>
    <w:semiHidden/>
    <w:qFormat/>
    <w:uiPriority w:val="0"/>
    <w:rPr>
      <w:rFonts w:ascii="Arial Unicode MS" w:hAnsi="Arial Unicode MS" w:eastAsia="等线" w:cs="Arial Unicode MS"/>
      <w:kern w:val="2"/>
      <w:sz w:val="21"/>
      <w:lang w:val="en-US" w:eastAsia="zh-CN" w:bidi="ar-SA"/>
    </w:rPr>
  </w:style>
  <w:style w:type="paragraph" w:customStyle="1" w:styleId="147">
    <w:name w:val="p0"/>
    <w:basedOn w:val="1"/>
    <w:qFormat/>
    <w:uiPriority w:val="0"/>
    <w:pPr>
      <w:widowControl/>
    </w:pPr>
    <w:rPr>
      <w:kern w:val="0"/>
      <w:szCs w:val="21"/>
    </w:rPr>
  </w:style>
  <w:style w:type="paragraph" w:customStyle="1" w:styleId="148">
    <w:name w:val="默认段落字体 Para Char Char Char Char"/>
    <w:basedOn w:val="1"/>
    <w:qFormat/>
    <w:uiPriority w:val="0"/>
    <w:rPr>
      <w:sz w:val="24"/>
    </w:rPr>
  </w:style>
  <w:style w:type="paragraph" w:customStyle="1" w:styleId="149">
    <w:name w:val="Table Paragraph"/>
    <w:basedOn w:val="1"/>
    <w:qFormat/>
    <w:uiPriority w:val="1"/>
    <w:pPr>
      <w:jc w:val="left"/>
    </w:pPr>
    <w:rPr>
      <w:rFonts w:ascii="Arial" w:hAnsi="Arial"/>
      <w:kern w:val="0"/>
      <w:sz w:val="22"/>
      <w:szCs w:val="22"/>
      <w:lang w:eastAsia="en-US"/>
    </w:rPr>
  </w:style>
  <w:style w:type="paragraph" w:customStyle="1" w:styleId="150">
    <w:name w:val="xl22"/>
    <w:basedOn w:val="1"/>
    <w:qFormat/>
    <w:uiPriority w:val="0"/>
    <w:pPr>
      <w:widowControl/>
      <w:spacing w:before="100" w:beforeAutospacing="1" w:after="100" w:afterAutospacing="1"/>
      <w:jc w:val="center"/>
    </w:pPr>
    <w:rPr>
      <w:rFonts w:ascii="等线" w:hAnsi="等线"/>
      <w:kern w:val="0"/>
      <w:sz w:val="24"/>
    </w:rPr>
  </w:style>
  <w:style w:type="paragraph" w:customStyle="1" w:styleId="151">
    <w:name w:val="Char Char Char Char Char Char Char"/>
    <w:basedOn w:val="1"/>
    <w:qFormat/>
    <w:uiPriority w:val="0"/>
    <w:pPr>
      <w:widowControl/>
      <w:spacing w:after="160" w:line="240" w:lineRule="exact"/>
      <w:jc w:val="left"/>
    </w:pPr>
    <w:rPr>
      <w:rFonts w:ascii="永中宋体" w:hAnsi="永中宋体" w:eastAsia="Yu Mincho Light"/>
      <w:kern w:val="0"/>
      <w:sz w:val="30"/>
      <w:szCs w:val="30"/>
      <w:lang w:eastAsia="en-US"/>
    </w:rPr>
  </w:style>
  <w:style w:type="paragraph" w:customStyle="1" w:styleId="152">
    <w:name w:val="Char Char Char3 Char Char Char Char Char Char Char"/>
    <w:basedOn w:val="1"/>
    <w:qFormat/>
    <w:uiPriority w:val="0"/>
    <w:rPr>
      <w:sz w:val="24"/>
    </w:rPr>
  </w:style>
  <w:style w:type="paragraph" w:customStyle="1" w:styleId="153">
    <w:name w:val="2"/>
    <w:basedOn w:val="1"/>
    <w:next w:val="16"/>
    <w:qFormat/>
    <w:uiPriority w:val="0"/>
    <w:pPr>
      <w:spacing w:after="120" w:line="480" w:lineRule="auto"/>
      <w:ind w:left="420" w:leftChars="200"/>
    </w:pPr>
    <w:rPr>
      <w:szCs w:val="24"/>
    </w:rPr>
  </w:style>
  <w:style w:type="paragraph" w:customStyle="1" w:styleId="154">
    <w:name w:val="标题2"/>
    <w:unhideWhenUsed/>
    <w:qFormat/>
    <w:uiPriority w:val="2"/>
    <w:pPr>
      <w:outlineLvl w:val="2"/>
    </w:pPr>
    <w:rPr>
      <w:rFonts w:ascii="Arial" w:hAnsi="Arial" w:eastAsia="等线" w:cs="Arial Unicode MS"/>
      <w:kern w:val="2"/>
      <w:sz w:val="21"/>
      <w:szCs w:val="22"/>
      <w:lang w:val="en-US" w:eastAsia="zh-CN" w:bidi="ar-SA"/>
    </w:rPr>
  </w:style>
  <w:style w:type="paragraph" w:customStyle="1" w:styleId="155">
    <w:name w:val="目录 21"/>
    <w:basedOn w:val="1"/>
    <w:next w:val="1"/>
    <w:semiHidden/>
    <w:qFormat/>
    <w:uiPriority w:val="0"/>
    <w:pPr>
      <w:ind w:left="420" w:leftChars="200"/>
    </w:pPr>
  </w:style>
  <w:style w:type="paragraph" w:customStyle="1" w:styleId="156">
    <w:name w:val="正文标准样式"/>
    <w:basedOn w:val="1"/>
    <w:qFormat/>
    <w:uiPriority w:val="0"/>
    <w:pPr>
      <w:adjustRightInd w:val="0"/>
      <w:spacing w:line="300" w:lineRule="auto"/>
      <w:ind w:firstLine="482"/>
      <w:textAlignment w:val="baseline"/>
    </w:pPr>
    <w:rPr>
      <w:kern w:val="0"/>
      <w:sz w:val="24"/>
    </w:rPr>
  </w:style>
  <w:style w:type="paragraph" w:customStyle="1" w:styleId="157">
    <w:name w:val="1表格"/>
    <w:basedOn w:val="1"/>
    <w:qFormat/>
    <w:uiPriority w:val="0"/>
    <w:pPr>
      <w:snapToGrid w:val="0"/>
      <w:spacing w:line="160" w:lineRule="atLeast"/>
      <w:jc w:val="center"/>
    </w:pPr>
    <w:rPr>
      <w:rFonts w:eastAsia="Yu Mincho Light"/>
    </w:rPr>
  </w:style>
  <w:style w:type="paragraph" w:customStyle="1" w:styleId="158">
    <w:name w:val="表格文字2"/>
    <w:basedOn w:val="79"/>
    <w:qFormat/>
    <w:uiPriority w:val="0"/>
    <w:pPr>
      <w:autoSpaceDE/>
      <w:autoSpaceDN/>
      <w:spacing w:after="0"/>
      <w:jc w:val="center"/>
      <w:textAlignment w:val="baseline"/>
    </w:pPr>
    <w:rPr>
      <w:rFonts w:ascii="等线"/>
      <w:sz w:val="24"/>
    </w:rPr>
  </w:style>
  <w:style w:type="paragraph" w:customStyle="1" w:styleId="159">
    <w:name w:val="01正文"/>
    <w:basedOn w:val="1"/>
    <w:qFormat/>
    <w:uiPriority w:val="0"/>
    <w:pPr>
      <w:adjustRightInd w:val="0"/>
      <w:snapToGrid w:val="0"/>
      <w:spacing w:line="480" w:lineRule="exact"/>
      <w:ind w:firstLine="200" w:firstLineChars="200"/>
    </w:pPr>
    <w:rPr>
      <w:color w:val="000000"/>
      <w:sz w:val="24"/>
      <w:szCs w:val="21"/>
    </w:rPr>
  </w:style>
  <w:style w:type="paragraph" w:customStyle="1" w:styleId="160">
    <w:name w:val="标题4"/>
    <w:basedOn w:val="1"/>
    <w:qFormat/>
    <w:uiPriority w:val="0"/>
    <w:pPr>
      <w:spacing w:line="360" w:lineRule="auto"/>
      <w:ind w:left="-7" w:leftChars="-3" w:firstLine="554" w:firstLineChars="230"/>
      <w:jc w:val="left"/>
    </w:pPr>
    <w:rPr>
      <w:b/>
      <w:bCs/>
      <w:sz w:val="24"/>
      <w:szCs w:val="24"/>
    </w:rPr>
  </w:style>
  <w:style w:type="paragraph" w:customStyle="1" w:styleId="161">
    <w:name w:val="样式2"/>
    <w:basedOn w:val="1"/>
    <w:qFormat/>
    <w:uiPriority w:val="0"/>
    <w:pPr>
      <w:adjustRightInd w:val="0"/>
      <w:spacing w:line="288" w:lineRule="auto"/>
      <w:ind w:left="170"/>
      <w:jc w:val="left"/>
    </w:pPr>
    <w:rPr>
      <w:b/>
      <w:kern w:val="0"/>
      <w:sz w:val="24"/>
    </w:rPr>
  </w:style>
  <w:style w:type="paragraph" w:customStyle="1" w:styleId="162">
    <w:name w:val="Char Char2"/>
    <w:basedOn w:val="1"/>
    <w:qFormat/>
    <w:uiPriority w:val="0"/>
  </w:style>
  <w:style w:type="paragraph" w:customStyle="1" w:styleId="163">
    <w:name w:val="目录 11"/>
    <w:basedOn w:val="1"/>
    <w:next w:val="1"/>
    <w:qFormat/>
    <w:uiPriority w:val="0"/>
  </w:style>
  <w:style w:type="paragraph" w:customStyle="1" w:styleId="164">
    <w:name w:val="正文缩进2"/>
    <w:basedOn w:val="1"/>
    <w:qFormat/>
    <w:uiPriority w:val="0"/>
    <w:pPr>
      <w:ind w:firstLine="420"/>
    </w:pPr>
  </w:style>
  <w:style w:type="paragraph" w:customStyle="1" w:styleId="165">
    <w:name w:val="样式 正文首行缩进:  2 字符 + 首行缩进:  2 字符"/>
    <w:basedOn w:val="1"/>
    <w:qFormat/>
    <w:uiPriority w:val="0"/>
    <w:pPr>
      <w:spacing w:line="360" w:lineRule="auto"/>
      <w:ind w:firstLine="480" w:firstLineChars="200"/>
    </w:pPr>
    <w:rPr>
      <w:rFonts w:cs="等线"/>
      <w:sz w:val="24"/>
    </w:rPr>
  </w:style>
  <w:style w:type="paragraph" w:customStyle="1" w:styleId="166">
    <w:name w:val="样式4"/>
    <w:basedOn w:val="1"/>
    <w:next w:val="1"/>
    <w:qFormat/>
    <w:uiPriority w:val="0"/>
    <w:pPr>
      <w:spacing w:line="440" w:lineRule="exact"/>
    </w:pPr>
    <w:rPr>
      <w:sz w:val="24"/>
    </w:rPr>
  </w:style>
  <w:style w:type="paragraph" w:customStyle="1" w:styleId="167">
    <w:name w:val="表格1"/>
    <w:basedOn w:val="1"/>
    <w:qFormat/>
    <w:uiPriority w:val="0"/>
    <w:pPr>
      <w:adjustRightInd w:val="0"/>
      <w:spacing w:line="20" w:lineRule="atLeast"/>
      <w:jc w:val="center"/>
      <w:textAlignment w:val="center"/>
    </w:pPr>
    <w:rPr>
      <w:kern w:val="0"/>
    </w:rPr>
  </w:style>
  <w:style w:type="paragraph" w:customStyle="1" w:styleId="168">
    <w:name w:val="目录 41"/>
    <w:basedOn w:val="1"/>
    <w:next w:val="1"/>
    <w:qFormat/>
    <w:uiPriority w:val="0"/>
    <w:pPr>
      <w:widowControl/>
      <w:ind w:left="1260" w:leftChars="600"/>
      <w:jc w:val="left"/>
    </w:pPr>
    <w:rPr>
      <w:rFonts w:ascii="Arial" w:hAnsi="Arial"/>
      <w:sz w:val="24"/>
      <w:szCs w:val="24"/>
    </w:rPr>
  </w:style>
  <w:style w:type="paragraph" w:customStyle="1" w:styleId="169">
    <w:name w:val="Default"/>
    <w:qFormat/>
    <w:uiPriority w:val="0"/>
    <w:pPr>
      <w:widowControl w:val="0"/>
      <w:autoSpaceDE w:val="0"/>
      <w:autoSpaceDN w:val="0"/>
      <w:adjustRightInd w:val="0"/>
    </w:pPr>
    <w:rPr>
      <w:rFonts w:ascii="等线" w:hAnsi="Arial Unicode MS" w:eastAsia="等线" w:cs="等线"/>
      <w:color w:val="000000"/>
      <w:sz w:val="24"/>
      <w:szCs w:val="24"/>
      <w:lang w:val="en-US" w:eastAsia="zh-CN" w:bidi="ar-SA"/>
    </w:rPr>
  </w:style>
  <w:style w:type="paragraph" w:customStyle="1" w:styleId="170">
    <w:name w:val="xl2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171">
    <w:name w:val="0正文"/>
    <w:basedOn w:val="12"/>
    <w:qFormat/>
    <w:uiPriority w:val="0"/>
    <w:pPr>
      <w:ind w:firstLine="720"/>
    </w:pPr>
    <w:rPr>
      <w:szCs w:val="22"/>
    </w:rPr>
  </w:style>
  <w:style w:type="paragraph" w:customStyle="1" w:styleId="172">
    <w:name w:val="p16"/>
    <w:basedOn w:val="1"/>
    <w:qFormat/>
    <w:uiPriority w:val="0"/>
    <w:pPr>
      <w:widowControl/>
      <w:spacing w:before="60" w:after="60" w:line="300" w:lineRule="auto"/>
      <w:ind w:firstLine="420"/>
    </w:pPr>
    <w:rPr>
      <w:kern w:val="0"/>
      <w:sz w:val="24"/>
      <w:szCs w:val="24"/>
    </w:rPr>
  </w:style>
  <w:style w:type="paragraph" w:customStyle="1" w:styleId="173">
    <w:name w:val="xl26"/>
    <w:basedOn w:val="1"/>
    <w:qFormat/>
    <w:uiPriority w:val="0"/>
    <w:pPr>
      <w:widowControl/>
      <w:spacing w:before="100" w:beforeAutospacing="1" w:after="100" w:afterAutospacing="1"/>
      <w:jc w:val="center"/>
    </w:pPr>
    <w:rPr>
      <w:rFonts w:ascii="Courier New" w:hAnsi="Courier New" w:eastAsia="Arial Unicode MS"/>
      <w:kern w:val="0"/>
      <w:sz w:val="24"/>
      <w:szCs w:val="24"/>
    </w:rPr>
  </w:style>
  <w:style w:type="paragraph" w:customStyle="1" w:styleId="174">
    <w:name w:val="表格内部"/>
    <w:basedOn w:val="1"/>
    <w:qFormat/>
    <w:uiPriority w:val="0"/>
    <w:pPr>
      <w:adjustRightInd w:val="0"/>
      <w:snapToGrid w:val="0"/>
      <w:spacing w:line="300" w:lineRule="auto"/>
      <w:jc w:val="center"/>
    </w:pPr>
    <w:rPr>
      <w:rFonts w:ascii="楷体_GB2312" w:hAnsi="楷体_GB2312" w:eastAsia="Yu Mincho Light"/>
      <w:szCs w:val="24"/>
    </w:rPr>
  </w:style>
  <w:style w:type="paragraph" w:customStyle="1" w:styleId="175">
    <w:name w:val="_Style 2"/>
    <w:basedOn w:val="1"/>
    <w:qFormat/>
    <w:uiPriority w:val="0"/>
    <w:pPr>
      <w:ind w:firstLine="420" w:firstLineChars="200"/>
    </w:pPr>
    <w:rPr>
      <w:sz w:val="28"/>
      <w:szCs w:val="24"/>
    </w:rPr>
  </w:style>
  <w:style w:type="character" w:customStyle="1" w:styleId="176">
    <w:name w:val="正文文本缩进 字符"/>
    <w:link w:val="12"/>
    <w:qFormat/>
    <w:uiPriority w:val="0"/>
    <w:rPr>
      <w:kern w:val="2"/>
      <w:sz w:val="24"/>
    </w:rPr>
  </w:style>
  <w:style w:type="paragraph" w:customStyle="1" w:styleId="177">
    <w:name w:val="Char Char1 Char Char Char Char"/>
    <w:basedOn w:val="1"/>
    <w:semiHidden/>
    <w:qFormat/>
    <w:uiPriority w:val="0"/>
    <w:pPr>
      <w:adjustRightInd w:val="0"/>
      <w:snapToGrid w:val="0"/>
      <w:spacing w:line="360" w:lineRule="auto"/>
      <w:ind w:firstLine="200" w:firstLineChars="200"/>
    </w:pPr>
    <w:rPr>
      <w:rFonts w:ascii="等线"/>
      <w:sz w:val="24"/>
      <w:szCs w:val="24"/>
    </w:rPr>
  </w:style>
  <w:style w:type="paragraph" w:customStyle="1" w:styleId="178">
    <w:name w:val="正文首行缩进 21"/>
    <w:basedOn w:val="12"/>
    <w:link w:val="179"/>
    <w:qFormat/>
    <w:locked/>
    <w:uiPriority w:val="0"/>
    <w:pPr>
      <w:spacing w:after="120" w:line="240" w:lineRule="auto"/>
      <w:ind w:left="420" w:leftChars="200" w:firstLine="420"/>
    </w:pPr>
    <w:rPr>
      <w:sz w:val="21"/>
    </w:rPr>
  </w:style>
  <w:style w:type="character" w:customStyle="1" w:styleId="179">
    <w:name w:val="正文首行缩进 2 Char"/>
    <w:link w:val="178"/>
    <w:qFormat/>
    <w:uiPriority w:val="0"/>
    <w:rPr>
      <w:kern w:val="2"/>
      <w:sz w:val="21"/>
    </w:rPr>
  </w:style>
  <w:style w:type="character" w:customStyle="1" w:styleId="180">
    <w:name w:val="Unresolved Mention"/>
    <w:semiHidden/>
    <w:unhideWhenUsed/>
    <w:qFormat/>
    <w:uiPriority w:val="99"/>
    <w:rPr>
      <w:color w:val="605E5C"/>
      <w:shd w:val="clear" w:color="auto" w:fill="E1DFDD"/>
    </w:rPr>
  </w:style>
  <w:style w:type="character" w:customStyle="1" w:styleId="181">
    <w:name w:val="正文缩进 字符"/>
    <w:qFormat/>
    <w:locked/>
    <w:uiPriority w:val="0"/>
    <w:rPr>
      <w:kern w:val="2"/>
      <w:sz w:val="21"/>
    </w:rPr>
  </w:style>
  <w:style w:type="table" w:customStyle="1" w:styleId="182">
    <w:name w:val="Table Normal"/>
    <w:semiHidden/>
    <w:unhideWhenUsed/>
    <w:qFormat/>
    <w:uiPriority w:val="2"/>
    <w:pPr>
      <w:widowControl w:val="0"/>
    </w:pPr>
    <w:rPr>
      <w:rFonts w:ascii="Calibri" w:hAnsi="Calibri" w:eastAsia="宋体" w:cs="Times New Roman"/>
      <w:sz w:val="22"/>
      <w:szCs w:val="22"/>
      <w:lang w:eastAsia="en-US"/>
    </w:rPr>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0" Type="http://schemas.openxmlformats.org/officeDocument/2006/relationships/fontTable" Target="fontTable.xml"/><Relationship Id="rId4" Type="http://schemas.openxmlformats.org/officeDocument/2006/relationships/footer" Target="footer1.xml"/><Relationship Id="rId39" Type="http://schemas.openxmlformats.org/officeDocument/2006/relationships/customXml" Target="../customXml/item2.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21.jpeg"/><Relationship Id="rId35" Type="http://schemas.openxmlformats.org/officeDocument/2006/relationships/image" Target="media/image20.wmf"/><Relationship Id="rId34" Type="http://schemas.openxmlformats.org/officeDocument/2006/relationships/oleObject" Target="embeddings/oleObject6.bin"/><Relationship Id="rId33" Type="http://schemas.openxmlformats.org/officeDocument/2006/relationships/image" Target="media/image19.wmf"/><Relationship Id="rId32" Type="http://schemas.openxmlformats.org/officeDocument/2006/relationships/oleObject" Target="embeddings/oleObject5.bin"/><Relationship Id="rId31" Type="http://schemas.openxmlformats.org/officeDocument/2006/relationships/image" Target="media/image18.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7.wmf"/><Relationship Id="rId28" Type="http://schemas.openxmlformats.org/officeDocument/2006/relationships/oleObject" Target="embeddings/oleObject3.bin"/><Relationship Id="rId27" Type="http://schemas.openxmlformats.org/officeDocument/2006/relationships/image" Target="media/image16.wmf"/><Relationship Id="rId26" Type="http://schemas.openxmlformats.org/officeDocument/2006/relationships/oleObject" Target="embeddings/oleObject2.bin"/><Relationship Id="rId25" Type="http://schemas.openxmlformats.org/officeDocument/2006/relationships/image" Target="media/image15.wmf"/><Relationship Id="rId24" Type="http://schemas.openxmlformats.org/officeDocument/2006/relationships/oleObject" Target="embeddings/oleObject1.bin"/><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emf"/><Relationship Id="rId13" Type="http://schemas.openxmlformats.org/officeDocument/2006/relationships/package" Target="embeddings/Microsoft_Visio___2.vsdx"/><Relationship Id="rId12" Type="http://schemas.openxmlformats.org/officeDocument/2006/relationships/image" Target="media/image4.emf"/><Relationship Id="rId11" Type="http://schemas.openxmlformats.org/officeDocument/2006/relationships/oleObject" Target="embeddings/Microsoft_Visio_2003-2010___1.vsd"/><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Info spid="_x0000_s121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2013586-96ED-4EE2-9779-3ED5317007CE}">
  <ds:schemaRefs/>
</ds:datastoreItem>
</file>

<file path=docProps/app.xml><?xml version="1.0" encoding="utf-8"?>
<Properties xmlns="http://schemas.openxmlformats.org/officeDocument/2006/extended-properties" xmlns:vt="http://schemas.openxmlformats.org/officeDocument/2006/docPropsVTypes">
  <Template>Normal</Template>
  <Company>corp</Company>
  <Pages>82</Pages>
  <Words>25821</Words>
  <Characters>29134</Characters>
  <Lines>422</Lines>
  <Paragraphs>118</Paragraphs>
  <TotalTime>907</TotalTime>
  <ScaleCrop>false</ScaleCrop>
  <LinksUpToDate>false</LinksUpToDate>
  <CharactersWithSpaces>29466</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2020-09-04T02:46:00Z</dcterms:created>
  <dc:creator>your name</dc:creator>
  <cp:lastModifiedBy>碧云天</cp:lastModifiedBy>
  <cp:lastPrinted>2020-09-04T02:50:00Z</cp:lastPrinted>
  <dcterms:modified xsi:type="dcterms:W3CDTF">2025-02-15T03:06:10Z</dcterms:modified>
  <dc:title>建设项目基本情况</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KSOTemplateDocerSaveRecord">
    <vt:lpwstr>eyJoZGlkIjoiNzI2ZGI0OGUzMDAzMzk0YmE1OTYyMDVlZGMwMmYyODYiLCJ1c2VySWQiOiIzNjIzMDEzMzQifQ==</vt:lpwstr>
  </property>
  <property fmtid="{D5CDD505-2E9C-101B-9397-08002B2CF9AE}" pid="4" name="ICV">
    <vt:lpwstr>A0E2697E584849E692354FDFF6B16EC0_12</vt:lpwstr>
  </property>
</Properties>
</file>